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autoSpaceDE w:val="0"/>
        <w:spacing w:before="0" w:beforeAutospacing="0" w:after="0" w:afterAutospacing="0"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盐城幼儿师范高等专科学校</w:t>
      </w:r>
    </w:p>
    <w:p>
      <w:pPr>
        <w:pStyle w:val="12"/>
        <w:autoSpaceDE w:val="0"/>
        <w:spacing w:before="0" w:beforeAutospacing="0" w:after="0" w:afterAutospacing="0" w:line="560" w:lineRule="exact"/>
        <w:jc w:val="center"/>
        <w:rPr>
          <w:rFonts w:ascii="??" w:hAnsi="??"/>
          <w:sz w:val="18"/>
          <w:szCs w:val="18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面向海内外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长期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招聘高层次人才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公告</w:t>
      </w:r>
    </w:p>
    <w:p>
      <w:pPr>
        <w:pStyle w:val="11"/>
        <w:autoSpaceDE w:val="0"/>
        <w:spacing w:before="0" w:beforeAutospacing="0" w:after="0" w:afterAutospacing="0" w:line="560" w:lineRule="exact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12"/>
        <w:numPr>
          <w:ilvl w:val="0"/>
          <w:numId w:val="0"/>
        </w:numPr>
        <w:autoSpaceDE w:val="0"/>
        <w:spacing w:before="0" w:beforeAutospacing="0" w:after="0" w:afterAutospacing="0" w:line="360" w:lineRule="exact"/>
        <w:jc w:val="both"/>
        <w:rPr>
          <w:rFonts w:hint="default" w:ascii="仿宋_GB2312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盐城，太平洋西岸最大的海洋湿地，一个让人打开心扉的地方。这里，麋鹿奔腾，仙鹤翩飞；这里，枯枝牡丹盛开，五谷神树婆娑；这里，走出过范仲淹、施耐庵、胡乔木、曹子轩……</w:t>
      </w:r>
    </w:p>
    <w:p>
      <w:pPr>
        <w:pStyle w:val="12"/>
        <w:numPr>
          <w:ilvl w:val="0"/>
          <w:numId w:val="0"/>
        </w:numPr>
        <w:autoSpaceDE w:val="0"/>
        <w:spacing w:before="0" w:beforeAutospacing="0" w:after="0" w:afterAutospacing="0" w:line="360" w:lineRule="exact"/>
        <w:jc w:val="both"/>
        <w:rPr>
          <w:rFonts w:hint="default" w:ascii="仿宋_GB2312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盐城，地处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一带一路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战略和长江经济带交汇点，是江苏土地面积最大、海岸线最长的地级市，空间广阔、资源富集、环境优美、交通便捷，建有江苏唯一、全国第10个同时拥有航空和海港一类开放口岸的地级市；这里，海、陆、空立体交通网全面建成，开始进入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海阔天空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的新时代；这里，东风悦达起亚成为江苏省最大的轿车生产基地，全省唯一韩资工业园正式揭牌；这里，建设高铁枢纽，融入上海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一小时经济圈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，纳入长三角城市群，将与上海产生同城效应，有力推动加快产业创新和城市转型。</w:t>
      </w:r>
    </w:p>
    <w:p>
      <w:pPr>
        <w:pStyle w:val="12"/>
        <w:numPr>
          <w:ilvl w:val="0"/>
          <w:numId w:val="0"/>
        </w:numPr>
        <w:autoSpaceDE w:val="0"/>
        <w:spacing w:before="0" w:beforeAutospacing="0" w:after="0" w:afterAutospacing="0" w:line="360" w:lineRule="exact"/>
        <w:ind w:firstLine="600"/>
        <w:jc w:val="both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盐城幼儿师范高等专科学校就坐落在享有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东方湿地之都，仙鹤神鹿世界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美誉的历史文化名城的盐城市内，为国家教育部批准设置的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专科层次的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全日制公办普通高校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，由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原盐城高等师范学校、阜宁高等师范学校、盐城鲁迅艺术学校和盐城建筑工程学校四校融合升格而成，在近百年的办学历史中，砥砺前行，弦歌不辍且代有发展，文化积淀丰厚，教学成果斐然，优秀人才辈出。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是全国巾帼建功先进集体、江苏省文明单位、江苏省绿色学校、江苏省平安校园、江苏省职业教育先进单位、江苏省艺术教育先进单位和江苏省德育先进单位、教育科研先进集体。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</w:t>
      </w:r>
    </w:p>
    <w:p>
      <w:pPr>
        <w:pStyle w:val="12"/>
        <w:numPr>
          <w:ilvl w:val="0"/>
          <w:numId w:val="0"/>
        </w:numPr>
        <w:autoSpaceDE w:val="0"/>
        <w:spacing w:before="0" w:beforeAutospacing="0" w:after="0" w:afterAutospacing="0" w:line="360" w:lineRule="exact"/>
        <w:ind w:firstLine="600"/>
        <w:jc w:val="both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学校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占地1103亩，建筑面积2</w:t>
      </w:r>
      <w:r>
        <w:rPr>
          <w:rFonts w:hint="default" w:ascii="仿宋_GB2312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多万平方米，拥有一流的育人师资、先进的教学设备和完善的生活设施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。培养了近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10万名毕业生，为社会输送了大批优秀人才。学校形成了师范、建设、艺术、语言等专业群，学校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现有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1万多名学生，600多名教师，其中教授、副教授230多人，具有研究生学历210多人，开设了20多个专业，致力打造高素质的小学、幼儿园师资基地，建设类人才培养基地，韩语、日语等语言类人才培养基地，淮剧、杂技等国家“非物质文化遗产”文化的传承基地，环境设计类人才输出基地和港口涉海类人才培养基地。学校现为江苏省教育厅新课改小学教师培训基地，盐城市小学、幼儿园教师培训中心，国家建设部、教育部确定建设行业技能型紧缺人才培养培训基地。为全国公共英语等级考试点，全国计算机等级考试培训基地和考点，全国书法等级考试考点，江苏省普通话培训测试站。</w:t>
      </w:r>
    </w:p>
    <w:p>
      <w:pPr>
        <w:pStyle w:val="12"/>
        <w:numPr>
          <w:ilvl w:val="0"/>
          <w:numId w:val="0"/>
        </w:numPr>
        <w:autoSpaceDE w:val="0"/>
        <w:spacing w:before="0" w:beforeAutospacing="0" w:after="0" w:afterAutospacing="0" w:line="360" w:lineRule="exact"/>
        <w:ind w:firstLine="600"/>
        <w:jc w:val="both"/>
        <w:rPr>
          <w:rFonts w:hint="default" w:ascii="仿宋_GB2312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我们相信——来自竞争的繁荣！</w:t>
      </w:r>
    </w:p>
    <w:p>
      <w:pPr>
        <w:pStyle w:val="12"/>
        <w:numPr>
          <w:ilvl w:val="0"/>
          <w:numId w:val="0"/>
        </w:numPr>
        <w:autoSpaceDE w:val="0"/>
        <w:spacing w:before="0" w:beforeAutospacing="0" w:after="0" w:afterAutospacing="0" w:line="360" w:lineRule="exact"/>
        <w:ind w:firstLine="600"/>
        <w:jc w:val="both"/>
        <w:rPr>
          <w:rFonts w:hint="default" w:ascii="仿宋_GB2312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我们奋斗——为中华民族的伟大复兴！</w:t>
      </w:r>
    </w:p>
    <w:p>
      <w:pPr>
        <w:pStyle w:val="12"/>
        <w:numPr>
          <w:ilvl w:val="0"/>
          <w:numId w:val="0"/>
        </w:numPr>
        <w:autoSpaceDE w:val="0"/>
        <w:spacing w:before="0" w:beforeAutospacing="0" w:after="0" w:afterAutospacing="0" w:line="360" w:lineRule="exact"/>
        <w:ind w:firstLine="600"/>
        <w:jc w:val="both"/>
        <w:rPr>
          <w:rFonts w:hint="default" w:ascii="仿宋_GB2312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仿宋_GB2312" w:hAnsi="Times New Roman" w:eastAsia="仿宋_GB2312" w:cs="Times New Roman"/>
          <w:sz w:val="30"/>
          <w:szCs w:val="30"/>
          <w:lang w:eastAsia="zh-CN"/>
        </w:rPr>
        <w:t>我们开放——诚邀海内外各类高层次人才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共创辉煌！</w:t>
      </w:r>
    </w:p>
    <w:p>
      <w:pPr>
        <w:pStyle w:val="11"/>
        <w:autoSpaceDE w:val="0"/>
        <w:spacing w:before="0" w:beforeAutospacing="0" w:after="0" w:afterAutospacing="0" w:line="560" w:lineRule="exact"/>
        <w:jc w:val="both"/>
        <w:rPr>
          <w:rFonts w:hint="eastAsia" w:ascii="黑体" w:hAnsi="Times New Roman" w:eastAsia="黑体" w:cs="Times New Roman"/>
          <w:sz w:val="32"/>
          <w:szCs w:val="32"/>
        </w:rPr>
      </w:pPr>
    </w:p>
    <w:p>
      <w:pPr>
        <w:pStyle w:val="11"/>
        <w:autoSpaceDE w:val="0"/>
        <w:spacing w:before="0" w:beforeAutospacing="0" w:after="0" w:afterAutospacing="0" w:line="560" w:lineRule="exact"/>
        <w:ind w:firstLine="320" w:firstLineChars="100"/>
        <w:jc w:val="both"/>
        <w:rPr>
          <w:rFonts w:ascii="黑体" w:hAnsi="Arial" w:eastAsia="黑体" w:cs="Arial"/>
          <w:sz w:val="18"/>
          <w:szCs w:val="18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一、引才计划</w:t>
      </w:r>
    </w:p>
    <w:tbl>
      <w:tblPr>
        <w:tblStyle w:val="8"/>
        <w:tblW w:w="94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92"/>
        <w:gridCol w:w="2896"/>
        <w:gridCol w:w="2457"/>
        <w:gridCol w:w="1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岗位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类别</w:t>
            </w: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专业或研究方向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人才层次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学前教育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方向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方向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舞蹈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方向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美术方向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建筑学、土木工程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、建筑设计等方向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马克思主义理论、思想政治教育方向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教育学方向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心理学方向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体育方向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旅游管理、酒店管理方向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物流管理、电子商务方向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计算机方向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pStyle w:val="12"/>
        <w:autoSpaceDE w:val="0"/>
        <w:spacing w:before="0" w:beforeAutospacing="0" w:after="0" w:afterAutospacing="0" w:line="560" w:lineRule="exact"/>
        <w:ind w:firstLine="800" w:firstLineChars="250"/>
        <w:jc w:val="both"/>
        <w:rPr>
          <w:rFonts w:ascii="黑体" w:hAnsi="Times New Roman" w:eastAsia="黑体" w:cs="Times New Roman"/>
          <w:sz w:val="32"/>
          <w:szCs w:val="32"/>
        </w:rPr>
      </w:pPr>
    </w:p>
    <w:p>
      <w:pPr>
        <w:pStyle w:val="12"/>
        <w:autoSpaceDE w:val="0"/>
        <w:spacing w:before="0" w:beforeAutospacing="0" w:after="0" w:afterAutospacing="0" w:line="560" w:lineRule="exact"/>
        <w:ind w:firstLine="800" w:firstLineChars="250"/>
        <w:jc w:val="both"/>
        <w:rPr>
          <w:rFonts w:ascii="黑体" w:hAnsi="Times New Roman" w:eastAsia="黑体" w:cs="Times New Roman"/>
          <w:sz w:val="32"/>
          <w:szCs w:val="32"/>
        </w:rPr>
      </w:pPr>
    </w:p>
    <w:p>
      <w:pPr>
        <w:pStyle w:val="12"/>
        <w:autoSpaceDE w:val="0"/>
        <w:spacing w:before="0" w:beforeAutospacing="0" w:after="0" w:afterAutospacing="0" w:line="560" w:lineRule="exact"/>
        <w:ind w:firstLine="800" w:firstLineChars="250"/>
        <w:jc w:val="both"/>
        <w:rPr>
          <w:rFonts w:ascii="黑体" w:hAnsi="Times New Roman" w:eastAsia="黑体" w:cs="Times New Roman"/>
          <w:sz w:val="32"/>
          <w:szCs w:val="32"/>
        </w:rPr>
      </w:pPr>
    </w:p>
    <w:p>
      <w:pPr>
        <w:pStyle w:val="12"/>
        <w:autoSpaceDE w:val="0"/>
        <w:spacing w:before="0" w:beforeAutospacing="0" w:after="0" w:afterAutospacing="0" w:line="560" w:lineRule="exact"/>
        <w:ind w:firstLine="800" w:firstLineChars="250"/>
        <w:jc w:val="both"/>
        <w:rPr>
          <w:rFonts w:ascii="黑体" w:hAnsi="Times New Roman" w:eastAsia="黑体" w:cs="Times New Roman"/>
          <w:sz w:val="32"/>
          <w:szCs w:val="32"/>
        </w:rPr>
      </w:pPr>
    </w:p>
    <w:p>
      <w:pPr>
        <w:pStyle w:val="12"/>
        <w:autoSpaceDE w:val="0"/>
        <w:spacing w:before="0" w:beforeAutospacing="0" w:after="0" w:afterAutospacing="0" w:line="560" w:lineRule="exact"/>
        <w:ind w:firstLine="800" w:firstLineChars="250"/>
        <w:jc w:val="both"/>
        <w:rPr>
          <w:rFonts w:ascii="黑体" w:hAnsi="Times New Roman" w:eastAsia="黑体" w:cs="Times New Roman"/>
          <w:sz w:val="32"/>
          <w:szCs w:val="32"/>
        </w:rPr>
      </w:pPr>
    </w:p>
    <w:p>
      <w:pPr>
        <w:pStyle w:val="12"/>
        <w:autoSpaceDE w:val="0"/>
        <w:spacing w:before="0" w:beforeAutospacing="0" w:after="0" w:afterAutospacing="0" w:line="560" w:lineRule="exact"/>
        <w:ind w:firstLine="800" w:firstLineChars="250"/>
        <w:jc w:val="both"/>
        <w:rPr>
          <w:rFonts w:ascii="黑体" w:hAnsi="Times New Roman" w:eastAsia="黑体" w:cs="Times New Roman"/>
          <w:sz w:val="32"/>
          <w:szCs w:val="32"/>
        </w:rPr>
      </w:pPr>
    </w:p>
    <w:p>
      <w:pPr>
        <w:pStyle w:val="12"/>
        <w:autoSpaceDE w:val="0"/>
        <w:spacing w:before="0" w:beforeAutospacing="0" w:after="0" w:afterAutospacing="0" w:line="560" w:lineRule="exact"/>
        <w:ind w:firstLine="800" w:firstLineChars="250"/>
        <w:jc w:val="both"/>
        <w:rPr>
          <w:rFonts w:ascii="黑体" w:hAnsi="Times New Roman" w:eastAsia="黑体" w:cs="Times New Roman"/>
          <w:sz w:val="32"/>
          <w:szCs w:val="32"/>
        </w:rPr>
      </w:pPr>
    </w:p>
    <w:p>
      <w:pPr>
        <w:pStyle w:val="12"/>
        <w:autoSpaceDE w:val="0"/>
        <w:spacing w:before="0" w:beforeAutospacing="0" w:after="0" w:afterAutospacing="0" w:line="560" w:lineRule="exact"/>
        <w:ind w:firstLine="800" w:firstLineChars="250"/>
        <w:jc w:val="both"/>
        <w:rPr>
          <w:rFonts w:ascii="黑体" w:hAnsi="Arial" w:eastAsia="黑体" w:cs="Arial"/>
          <w:sz w:val="18"/>
          <w:szCs w:val="18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二、人才引进待遇</w:t>
      </w:r>
    </w:p>
    <w:tbl>
      <w:tblPr>
        <w:tblStyle w:val="8"/>
        <w:tblW w:w="95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421"/>
        <w:gridCol w:w="1384"/>
        <w:gridCol w:w="1425"/>
        <w:gridCol w:w="3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人才类别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安家费及购房补贴（万元）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过渡性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住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房（两年）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科研启动资金（万元）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同时具有博士学位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80-100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服务期限8年，配偶及子女可随同落户并按人员性质调动或安排工作。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教授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70-90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服务期限8年，配偶及子女可随同落户并按人员性质调动或安排工作。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同时具有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职称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服务期限8年，配偶及子女可随同落户并按人员性质调动或安排工作。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服务期限8年，配偶及子女可随同落户并按人员性质调动或安排工作。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紧缺专业副教授或省级以上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高层次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获得者（硕士研究生）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服务期限8年，配偶及子女可随同落户并按人员性质调动或安排工作。</w:t>
            </w:r>
          </w:p>
        </w:tc>
      </w:tr>
    </w:tbl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说明：</w:t>
      </w:r>
    </w:p>
    <w:p>
      <w:pPr>
        <w:pStyle w:val="12"/>
        <w:numPr>
          <w:ilvl w:val="0"/>
          <w:numId w:val="1"/>
        </w:numPr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应聘人员需身体健康，思想积极向上。</w:t>
      </w:r>
    </w:p>
    <w:p>
      <w:pPr>
        <w:pStyle w:val="12"/>
        <w:numPr>
          <w:ilvl w:val="0"/>
          <w:numId w:val="1"/>
        </w:numPr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高层次人才项目以江苏省教育厅组织或认可的项目为准。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0"/>
          <w:szCs w:val="30"/>
        </w:rPr>
        <w:t>、以上人员经面试考核后可直接入编，享受全额拨款事业编制。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0"/>
          <w:szCs w:val="30"/>
        </w:rPr>
        <w:t>、各类人才的引进待遇可在不低于上述标准的基础上面议，以最终的聘用合同为准。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0"/>
          <w:szCs w:val="30"/>
        </w:rPr>
        <w:t>、安家费及购房补贴待人事档案进校后一次性付清。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0"/>
          <w:szCs w:val="30"/>
        </w:rPr>
        <w:t>、根据各个岗位报名情况，于每个季度的最后一月月底组织考核。考核采取直接面试的办法进行，由盐城市人社局、学校共同组织。</w:t>
      </w:r>
    </w:p>
    <w:p>
      <w:pPr>
        <w:pStyle w:val="12"/>
        <w:autoSpaceDE w:val="0"/>
        <w:spacing w:before="0" w:beforeAutospacing="0" w:after="0" w:afterAutospacing="0" w:line="560" w:lineRule="exact"/>
        <w:ind w:firstLine="800" w:firstLineChars="250"/>
        <w:jc w:val="both"/>
        <w:rPr>
          <w:rFonts w:ascii="黑体" w:hAnsi="Arial" w:eastAsia="黑体" w:cs="Arial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三、联系方式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1、电子邮件标题格式：姓名+学历+应聘岗位+专业+毕业院校。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2、应聘材料接收办法：所有应聘人员简历材料请投递至人事处指定邮箱。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3、学校地址：</w:t>
      </w:r>
      <w:r>
        <w:rPr>
          <w:rFonts w:hint="eastAsia" w:ascii="仿宋_GB2312" w:hAnsi="Times New Roman" w:eastAsia="仿宋_GB2312" w:cs="Times New Roman"/>
          <w:sz w:val="30"/>
          <w:szCs w:val="30"/>
        </w:rPr>
        <w:t>盐城市学海路28号。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邮编224005。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4、学校网址：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instrText xml:space="preserve"> HYPERLINK "http://www.hytc.edu.cn/" </w:instrTex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www.ycysgz.cn，邮箱：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instrText xml:space="preserve"> HYPERLINK "mailto:hysfxyrsc@126.com" </w:instrTex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fspsg2009@163.com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fldChar w:fldCharType="end"/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5、</w:t>
      </w:r>
      <w:r>
        <w:rPr>
          <w:rFonts w:hint="eastAsia" w:ascii="仿宋_GB2312" w:hAnsi="Times New Roman" w:eastAsia="仿宋_GB2312" w:cs="Times New Roman"/>
          <w:sz w:val="30"/>
          <w:szCs w:val="30"/>
        </w:rPr>
        <w:t>联系电话：051589966211, 051589960079   15365779621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6、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联系人：盐城幼儿师范高等专科学校组织人事处 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裴老师</w:t>
      </w:r>
      <w:bookmarkStart w:id="0" w:name="_GoBack"/>
      <w:bookmarkEnd w:id="0"/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         </w:t>
      </w:r>
    </w:p>
    <w:p>
      <w:pPr>
        <w:pStyle w:val="12"/>
        <w:autoSpaceDE w:val="0"/>
        <w:spacing w:before="0" w:beforeAutospacing="0" w:after="0" w:afterAutospacing="0" w:line="360" w:lineRule="exact"/>
        <w:ind w:firstLine="641"/>
        <w:jc w:val="both"/>
        <w:rPr>
          <w:rFonts w:hint="eastAsia" w:ascii="仿宋_GB2312" w:hAnsi="Times New Roman" w:eastAsia="仿宋_GB2312" w:cs="Times New Roman"/>
          <w:sz w:val="28"/>
          <w:szCs w:val="28"/>
        </w:rPr>
      </w:pPr>
    </w:p>
    <w:sectPr>
      <w:pgSz w:w="11906" w:h="16838"/>
      <w:pgMar w:top="1191" w:right="1247" w:bottom="119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7C979"/>
    <w:multiLevelType w:val="singleLevel"/>
    <w:tmpl w:val="5847C9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661"/>
    <w:rsid w:val="0004286E"/>
    <w:rsid w:val="0007597A"/>
    <w:rsid w:val="00087B55"/>
    <w:rsid w:val="001030B8"/>
    <w:rsid w:val="001126BC"/>
    <w:rsid w:val="001215FF"/>
    <w:rsid w:val="001432EF"/>
    <w:rsid w:val="0015529F"/>
    <w:rsid w:val="001602F3"/>
    <w:rsid w:val="001664AD"/>
    <w:rsid w:val="001B1395"/>
    <w:rsid w:val="002142FC"/>
    <w:rsid w:val="00224778"/>
    <w:rsid w:val="00242D35"/>
    <w:rsid w:val="00247144"/>
    <w:rsid w:val="00276C56"/>
    <w:rsid w:val="002A7732"/>
    <w:rsid w:val="002D71B5"/>
    <w:rsid w:val="003B043A"/>
    <w:rsid w:val="00492843"/>
    <w:rsid w:val="004A66B5"/>
    <w:rsid w:val="004F799C"/>
    <w:rsid w:val="005252F6"/>
    <w:rsid w:val="005D639C"/>
    <w:rsid w:val="005E44A5"/>
    <w:rsid w:val="005F48D3"/>
    <w:rsid w:val="00671882"/>
    <w:rsid w:val="0069429C"/>
    <w:rsid w:val="006E12D9"/>
    <w:rsid w:val="00735661"/>
    <w:rsid w:val="0075281D"/>
    <w:rsid w:val="0077109D"/>
    <w:rsid w:val="007C47F4"/>
    <w:rsid w:val="007C7207"/>
    <w:rsid w:val="008A55DF"/>
    <w:rsid w:val="008C64F1"/>
    <w:rsid w:val="008C6FFF"/>
    <w:rsid w:val="008D5670"/>
    <w:rsid w:val="008E0C63"/>
    <w:rsid w:val="00992963"/>
    <w:rsid w:val="009B0033"/>
    <w:rsid w:val="00A36516"/>
    <w:rsid w:val="00A84042"/>
    <w:rsid w:val="00A94545"/>
    <w:rsid w:val="00AB223B"/>
    <w:rsid w:val="00B11784"/>
    <w:rsid w:val="00BF5381"/>
    <w:rsid w:val="00C10C49"/>
    <w:rsid w:val="00C20CF3"/>
    <w:rsid w:val="00C22FD8"/>
    <w:rsid w:val="00C253EB"/>
    <w:rsid w:val="00C75B32"/>
    <w:rsid w:val="00C92221"/>
    <w:rsid w:val="00CD434D"/>
    <w:rsid w:val="00D30D43"/>
    <w:rsid w:val="00D66058"/>
    <w:rsid w:val="00DC0A8D"/>
    <w:rsid w:val="00DD1239"/>
    <w:rsid w:val="00DF010F"/>
    <w:rsid w:val="00E21F6E"/>
    <w:rsid w:val="00E3573F"/>
    <w:rsid w:val="00E479A2"/>
    <w:rsid w:val="00E516A5"/>
    <w:rsid w:val="00E764CF"/>
    <w:rsid w:val="00E9736D"/>
    <w:rsid w:val="00EA1429"/>
    <w:rsid w:val="00EF36D1"/>
    <w:rsid w:val="00F07D78"/>
    <w:rsid w:val="00F25540"/>
    <w:rsid w:val="00FC64DB"/>
    <w:rsid w:val="00FC7552"/>
    <w:rsid w:val="00FD3340"/>
    <w:rsid w:val="00FF4A2A"/>
    <w:rsid w:val="0CF96872"/>
    <w:rsid w:val="17807A47"/>
    <w:rsid w:val="19740546"/>
    <w:rsid w:val="1F2175FF"/>
    <w:rsid w:val="22FE059A"/>
    <w:rsid w:val="23CF33B0"/>
    <w:rsid w:val="23DF4295"/>
    <w:rsid w:val="25623740"/>
    <w:rsid w:val="30225377"/>
    <w:rsid w:val="31230290"/>
    <w:rsid w:val="3492557B"/>
    <w:rsid w:val="38350B72"/>
    <w:rsid w:val="3C522031"/>
    <w:rsid w:val="427544A8"/>
    <w:rsid w:val="44737904"/>
    <w:rsid w:val="482F5D0A"/>
    <w:rsid w:val="515A32FB"/>
    <w:rsid w:val="55445E36"/>
    <w:rsid w:val="57FA79E6"/>
    <w:rsid w:val="604864EA"/>
    <w:rsid w:val="650246DD"/>
    <w:rsid w:val="661338B2"/>
    <w:rsid w:val="6B7B5379"/>
    <w:rsid w:val="6F142778"/>
    <w:rsid w:val="6FB774AF"/>
    <w:rsid w:val="72010AFC"/>
    <w:rsid w:val="732968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locked/>
    <w:uiPriority w:val="22"/>
    <w:rPr>
      <w:b/>
      <w:bCs/>
    </w:rPr>
  </w:style>
  <w:style w:type="character" w:styleId="6">
    <w:name w:val="FollowedHyperlink"/>
    <w:basedOn w:val="4"/>
    <w:unhideWhenUsed/>
    <w:qFormat/>
    <w:uiPriority w:val="99"/>
    <w:rPr>
      <w:color w:val="333333"/>
      <w:u w:val="none"/>
    </w:rPr>
  </w:style>
  <w:style w:type="character" w:styleId="7">
    <w:name w:val="Hyperlink"/>
    <w:basedOn w:val="4"/>
    <w:unhideWhenUsed/>
    <w:qFormat/>
    <w:uiPriority w:val="99"/>
    <w:rPr>
      <w:color w:val="333333"/>
      <w:u w:val="none"/>
    </w:rPr>
  </w:style>
  <w:style w:type="character" w:customStyle="1" w:styleId="9">
    <w:name w:val="页脚 Char"/>
    <w:basedOn w:val="4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4"/>
    <w:link w:val="3"/>
    <w:semiHidden/>
    <w:locked/>
    <w:uiPriority w:val="99"/>
    <w:rPr>
      <w:rFonts w:cs="Times New Roman"/>
      <w:kern w:val="2"/>
      <w:sz w:val="18"/>
      <w:szCs w:val="18"/>
    </w:rPr>
  </w:style>
  <w:style w:type="paragraph" w:customStyle="1" w:styleId="11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479BC-714F-4E4A-804A-C135896E0B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287</Words>
  <Characters>1641</Characters>
  <Lines>13</Lines>
  <Paragraphs>3</Paragraphs>
  <ScaleCrop>false</ScaleCrop>
  <LinksUpToDate>false</LinksUpToDate>
  <CharactersWithSpaces>1925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2016-01-14T09:07:00Z</dcterms:created>
  <dc:creator>Windows 用户</dc:creator>
  <cp:lastModifiedBy>Administrator</cp:lastModifiedBy>
  <cp:lastPrinted>2017-02-20T07:30:00Z</cp:lastPrinted>
  <dcterms:modified xsi:type="dcterms:W3CDTF">2017-02-27T03:22:11Z</dcterms:modified>
  <dc:title>盐城高等师范学校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