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rPr>
      </w:pPr>
    </w:p>
    <w:p>
      <w:pPr>
        <w:pStyle w:val="2"/>
      </w:pPr>
    </w:p>
    <w:p>
      <w:pPr>
        <w:spacing w:line="760" w:lineRule="exact"/>
        <w:jc w:val="center"/>
        <w:rPr>
          <w:rFonts w:eastAsiaTheme="minorEastAsia"/>
          <w:b/>
          <w:bCs/>
          <w:color w:val="000000" w:themeColor="text1"/>
          <w:sz w:val="50"/>
          <w:szCs w:val="32"/>
        </w:rPr>
      </w:pPr>
      <w:r>
        <w:rPr>
          <w:rFonts w:hint="eastAsia" w:eastAsiaTheme="minorEastAsia"/>
          <w:b/>
          <w:bCs/>
          <w:color w:val="000000" w:themeColor="text1"/>
          <w:sz w:val="50"/>
          <w:szCs w:val="32"/>
        </w:rPr>
        <w:t>盐城幼儿师范高等专科学校</w:t>
      </w:r>
    </w:p>
    <w:p>
      <w:pPr>
        <w:jc w:val="center"/>
        <w:rPr>
          <w:b/>
          <w:bCs/>
          <w:color w:val="000000" w:themeColor="text1"/>
          <w:sz w:val="32"/>
          <w:szCs w:val="32"/>
        </w:rPr>
      </w:pPr>
      <w:r>
        <w:rPr>
          <w:rFonts w:hint="eastAsia" w:eastAsiaTheme="minorEastAsia"/>
          <w:b/>
          <w:bCs/>
          <w:color w:val="000000" w:themeColor="text1"/>
          <w:sz w:val="50"/>
          <w:szCs w:val="32"/>
        </w:rPr>
        <w:t>体育中心教学设备采购项目</w:t>
      </w:r>
    </w:p>
    <w:p>
      <w:pPr>
        <w:jc w:val="center"/>
        <w:rPr>
          <w:color w:val="000000" w:themeColor="text1"/>
          <w:sz w:val="32"/>
          <w:szCs w:val="32"/>
        </w:rPr>
      </w:pPr>
    </w:p>
    <w:p>
      <w:pPr>
        <w:pStyle w:val="27"/>
      </w:pPr>
    </w:p>
    <w:p>
      <w:pPr>
        <w:pStyle w:val="27"/>
      </w:pPr>
    </w:p>
    <w:p>
      <w:pPr>
        <w:pStyle w:val="27"/>
      </w:pPr>
    </w:p>
    <w:p>
      <w:pPr>
        <w:jc w:val="center"/>
        <w:rPr>
          <w:rFonts w:eastAsia="黑体"/>
          <w:bCs/>
          <w:color w:val="000000" w:themeColor="text1"/>
          <w:sz w:val="78"/>
          <w:szCs w:val="84"/>
        </w:rPr>
      </w:pPr>
      <w:r>
        <w:rPr>
          <w:rFonts w:hint="eastAsia" w:eastAsia="黑体"/>
          <w:bCs/>
          <w:color w:val="000000" w:themeColor="text1"/>
          <w:sz w:val="78"/>
          <w:szCs w:val="84"/>
        </w:rPr>
        <w:t>招 标 文 件</w:t>
      </w:r>
    </w:p>
    <w:p>
      <w:pPr>
        <w:jc w:val="center"/>
        <w:rPr>
          <w:color w:val="000000" w:themeColor="text1"/>
          <w:sz w:val="32"/>
          <w:szCs w:val="32"/>
        </w:rPr>
      </w:pPr>
    </w:p>
    <w:p>
      <w:pPr>
        <w:jc w:val="center"/>
        <w:rPr>
          <w:rFonts w:eastAsia="黑体"/>
          <w:bCs/>
          <w:color w:val="000000" w:themeColor="text1"/>
          <w:sz w:val="36"/>
          <w:szCs w:val="36"/>
        </w:rPr>
      </w:pPr>
      <w:r>
        <w:rPr>
          <w:rFonts w:hint="eastAsia" w:eastAsia="黑体"/>
          <w:bCs/>
          <w:color w:val="000000" w:themeColor="text1"/>
          <w:sz w:val="36"/>
          <w:szCs w:val="36"/>
        </w:rPr>
        <w:t>（</w:t>
      </w:r>
      <w:r>
        <w:rPr>
          <w:rFonts w:eastAsia="黑体"/>
          <w:bCs/>
          <w:color w:val="000000" w:themeColor="text1"/>
          <w:sz w:val="36"/>
          <w:szCs w:val="36"/>
        </w:rPr>
        <w:t>项目编号：</w:t>
      </w:r>
      <w:r>
        <w:rPr>
          <w:rFonts w:hint="eastAsia" w:eastAsia="黑体"/>
          <w:bCs/>
          <w:color w:val="000000" w:themeColor="text1"/>
          <w:sz w:val="36"/>
          <w:szCs w:val="36"/>
        </w:rPr>
        <w:t>YCYZ2022HW006）</w:t>
      </w: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jc w:val="center"/>
        <w:rPr>
          <w:b/>
          <w:bCs/>
          <w:color w:val="000000" w:themeColor="text1"/>
          <w:sz w:val="32"/>
          <w:szCs w:val="32"/>
        </w:rPr>
      </w:pPr>
    </w:p>
    <w:p>
      <w:pPr>
        <w:pStyle w:val="27"/>
        <w:rPr>
          <w:color w:val="000000" w:themeColor="text1"/>
        </w:rPr>
      </w:pPr>
    </w:p>
    <w:p>
      <w:pPr>
        <w:pStyle w:val="27"/>
        <w:rPr>
          <w:color w:val="000000" w:themeColor="text1"/>
        </w:rPr>
      </w:pPr>
    </w:p>
    <w:p>
      <w:pPr>
        <w:pStyle w:val="27"/>
        <w:rPr>
          <w:color w:val="000000" w:themeColor="text1"/>
        </w:rPr>
      </w:pPr>
    </w:p>
    <w:p>
      <w:pPr>
        <w:rPr>
          <w:color w:val="000000" w:themeColor="text1"/>
        </w:rPr>
      </w:pPr>
    </w:p>
    <w:p>
      <w:pPr>
        <w:spacing w:line="360" w:lineRule="auto"/>
        <w:jc w:val="center"/>
        <w:rPr>
          <w:rFonts w:asciiTheme="minorEastAsia" w:hAnsiTheme="minorEastAsia" w:eastAsiaTheme="minorEastAsia"/>
          <w:b/>
          <w:color w:val="000000" w:themeColor="text1"/>
          <w:spacing w:val="15"/>
          <w:sz w:val="36"/>
          <w:szCs w:val="36"/>
        </w:rPr>
      </w:pPr>
      <w:r>
        <w:rPr>
          <w:rFonts w:asciiTheme="minorEastAsia" w:hAnsiTheme="minorEastAsia" w:eastAsiaTheme="minorEastAsia"/>
          <w:b/>
          <w:color w:val="000000" w:themeColor="text1"/>
          <w:spacing w:val="15"/>
          <w:sz w:val="36"/>
          <w:szCs w:val="36"/>
        </w:rPr>
        <w:t>盐城幼儿师范高等专科学校</w:t>
      </w:r>
    </w:p>
    <w:p>
      <w:pPr>
        <w:spacing w:line="360" w:lineRule="auto"/>
        <w:jc w:val="center"/>
        <w:rPr>
          <w:rFonts w:asciiTheme="minorEastAsia" w:hAnsiTheme="minorEastAsia" w:eastAsiaTheme="minorEastAsia"/>
          <w:b/>
          <w:color w:val="000000" w:themeColor="text1"/>
          <w:sz w:val="36"/>
          <w:szCs w:val="36"/>
        </w:rPr>
      </w:pPr>
      <w:r>
        <w:rPr>
          <w:rFonts w:asciiTheme="minorEastAsia" w:hAnsiTheme="minorEastAsia" w:eastAsiaTheme="minorEastAsia"/>
          <w:b/>
          <w:color w:val="000000" w:themeColor="text1"/>
          <w:sz w:val="36"/>
          <w:szCs w:val="36"/>
        </w:rPr>
        <w:t>2022年</w:t>
      </w:r>
      <w:r>
        <w:rPr>
          <w:rFonts w:hint="eastAsia" w:asciiTheme="minorEastAsia" w:hAnsiTheme="minorEastAsia" w:eastAsiaTheme="minorEastAsia"/>
          <w:b/>
          <w:color w:val="000000" w:themeColor="text1"/>
          <w:sz w:val="36"/>
          <w:szCs w:val="36"/>
        </w:rPr>
        <w:t>11</w:t>
      </w:r>
      <w:r>
        <w:rPr>
          <w:rFonts w:asciiTheme="minorEastAsia" w:hAnsiTheme="minorEastAsia" w:eastAsiaTheme="minorEastAsia"/>
          <w:b/>
          <w:color w:val="000000" w:themeColor="text1"/>
          <w:sz w:val="36"/>
          <w:szCs w:val="36"/>
        </w:rPr>
        <w:t>月</w:t>
      </w:r>
      <w:r>
        <w:rPr>
          <w:rFonts w:hint="eastAsia" w:asciiTheme="minorEastAsia" w:hAnsiTheme="minorEastAsia" w:eastAsiaTheme="minorEastAsia"/>
          <w:b/>
          <w:color w:val="000000" w:themeColor="text1"/>
          <w:sz w:val="36"/>
          <w:szCs w:val="36"/>
          <w:lang w:val="en-US" w:eastAsia="zh-CN"/>
        </w:rPr>
        <w:t>16</w:t>
      </w:r>
      <w:r>
        <w:rPr>
          <w:rFonts w:asciiTheme="minorEastAsia" w:hAnsiTheme="minorEastAsia" w:eastAsiaTheme="minorEastAsia"/>
          <w:b/>
          <w:color w:val="000000" w:themeColor="text1"/>
          <w:sz w:val="36"/>
          <w:szCs w:val="36"/>
        </w:rPr>
        <w:t>日</w:t>
      </w:r>
    </w:p>
    <w:p>
      <w:pPr>
        <w:pStyle w:val="27"/>
      </w:pPr>
      <w:r>
        <w:br w:type="page"/>
      </w:r>
    </w:p>
    <w:p>
      <w:pPr>
        <w:jc w:val="left"/>
        <w:rPr>
          <w:rFonts w:eastAsia="黑体"/>
          <w:b/>
          <w:bCs/>
          <w:color w:val="000000" w:themeColor="text1"/>
          <w:sz w:val="44"/>
          <w:szCs w:val="44"/>
        </w:rPr>
      </w:pPr>
    </w:p>
    <w:p>
      <w:pPr>
        <w:jc w:val="center"/>
        <w:outlineLvl w:val="0"/>
        <w:rPr>
          <w:rFonts w:eastAsia="黑体"/>
          <w:color w:val="000000" w:themeColor="text1"/>
          <w:sz w:val="40"/>
          <w:szCs w:val="40"/>
        </w:rPr>
      </w:pPr>
      <w:bookmarkStart w:id="0" w:name="_Toc108021864"/>
      <w:r>
        <w:rPr>
          <w:rFonts w:eastAsia="黑体"/>
          <w:color w:val="000000" w:themeColor="text1"/>
          <w:sz w:val="40"/>
          <w:szCs w:val="40"/>
        </w:rPr>
        <w:t>总 目 录</w:t>
      </w:r>
      <w:bookmarkEnd w:id="0"/>
    </w:p>
    <w:p>
      <w:pPr>
        <w:rPr>
          <w:rFonts w:eastAsia="黑体"/>
          <w:b/>
          <w:bCs/>
          <w:color w:val="000000" w:themeColor="text1"/>
          <w:sz w:val="28"/>
          <w:szCs w:val="28"/>
        </w:rPr>
      </w:pPr>
    </w:p>
    <w:p>
      <w:pPr>
        <w:pStyle w:val="18"/>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6"/>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"_Toc108021872" </w:instrText>
      </w:r>
      <w:r>
        <w:fldChar w:fldCharType="separate"/>
      </w:r>
      <w:r>
        <w:rPr>
          <w:rStyle w:val="26"/>
          <w:rFonts w:hint="eastAsia" w:eastAsia="黑体"/>
          <w:sz w:val="28"/>
          <w:szCs w:val="28"/>
        </w:rPr>
        <w:t>第二章投标人须知</w:t>
      </w:r>
      <w:r>
        <w:rPr>
          <w:sz w:val="28"/>
          <w:szCs w:val="28"/>
        </w:rPr>
        <w:tab/>
      </w:r>
      <w:r>
        <w:rPr>
          <w:rFonts w:hint="eastAsia"/>
          <w:sz w:val="28"/>
          <w:szCs w:val="28"/>
        </w:rPr>
        <w:t>6</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"_Toc108021874" </w:instrText>
      </w:r>
      <w:r>
        <w:fldChar w:fldCharType="separate"/>
      </w:r>
      <w:r>
        <w:rPr>
          <w:rStyle w:val="26"/>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"_Toc108021875" </w:instrText>
      </w:r>
      <w:r>
        <w:fldChar w:fldCharType="separate"/>
      </w:r>
      <w:r>
        <w:rPr>
          <w:rStyle w:val="26"/>
          <w:rFonts w:hint="eastAsia" w:eastAsia="黑体"/>
          <w:sz w:val="28"/>
          <w:szCs w:val="28"/>
        </w:rPr>
        <w:t>第四章项目需求</w:t>
      </w:r>
      <w:r>
        <w:rPr>
          <w:sz w:val="28"/>
          <w:szCs w:val="28"/>
        </w:rPr>
        <w:tab/>
      </w:r>
      <w:r>
        <w:rPr>
          <w:rFonts w:hint="eastAsia"/>
          <w:sz w:val="28"/>
          <w:szCs w:val="28"/>
        </w:rPr>
        <w:t>26</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"_Toc108021876" </w:instrText>
      </w:r>
      <w:r>
        <w:fldChar w:fldCharType="separate"/>
      </w:r>
      <w:r>
        <w:rPr>
          <w:rStyle w:val="26"/>
          <w:rFonts w:hint="eastAsia" w:eastAsia="黑体"/>
          <w:sz w:val="28"/>
          <w:szCs w:val="28"/>
        </w:rPr>
        <w:t>第五章定标原则与评标标准</w:t>
      </w:r>
      <w:r>
        <w:rPr>
          <w:sz w:val="28"/>
          <w:szCs w:val="28"/>
        </w:rPr>
        <w:tab/>
      </w:r>
      <w:r>
        <w:rPr>
          <w:rFonts w:hint="eastAsia"/>
          <w:sz w:val="28"/>
          <w:szCs w:val="28"/>
        </w:rPr>
        <w:t>6</w:t>
      </w:r>
      <w:r>
        <w:rPr>
          <w:rFonts w:hint="eastAsia"/>
          <w:sz w:val="28"/>
          <w:szCs w:val="28"/>
        </w:rPr>
        <w:fldChar w:fldCharType="end"/>
      </w:r>
      <w:r>
        <w:rPr>
          <w:rFonts w:hint="eastAsia"/>
          <w:sz w:val="28"/>
          <w:szCs w:val="28"/>
        </w:rPr>
        <w:t>4</w:t>
      </w:r>
    </w:p>
    <w:p>
      <w:pPr>
        <w:pStyle w:val="18"/>
        <w:tabs>
          <w:tab w:val="right" w:leader="middleDot" w:pos="8720"/>
        </w:tabs>
        <w:rPr>
          <w:sz w:val="28"/>
          <w:szCs w:val="28"/>
        </w:rPr>
      </w:pPr>
      <w:r>
        <w:fldChar w:fldCharType="begin"/>
      </w:r>
      <w:r>
        <w:instrText xml:space="preserve"> HYPERLINK \l "_Toc108021877" </w:instrText>
      </w:r>
      <w:r>
        <w:fldChar w:fldCharType="separate"/>
      </w:r>
      <w:r>
        <w:rPr>
          <w:rStyle w:val="26"/>
          <w:rFonts w:hint="eastAsia" w:eastAsia="黑体"/>
          <w:sz w:val="28"/>
          <w:szCs w:val="28"/>
        </w:rPr>
        <w:t>第六章投标文件的组成和格式</w:t>
      </w:r>
      <w:r>
        <w:rPr>
          <w:sz w:val="28"/>
          <w:szCs w:val="28"/>
        </w:rPr>
        <w:tab/>
      </w:r>
      <w:r>
        <w:rPr>
          <w:rFonts w:hint="eastAsia"/>
          <w:sz w:val="28"/>
          <w:szCs w:val="28"/>
        </w:rPr>
        <w:t>6</w:t>
      </w:r>
      <w:r>
        <w:rPr>
          <w:rFonts w:hint="eastAsia"/>
          <w:sz w:val="28"/>
          <w:szCs w:val="28"/>
        </w:rPr>
        <w:fldChar w:fldCharType="end"/>
      </w:r>
      <w:r>
        <w:rPr>
          <w:rFonts w:hint="eastAsia"/>
          <w:sz w:val="28"/>
          <w:szCs w:val="28"/>
        </w:rPr>
        <w:t>8</w:t>
      </w:r>
    </w:p>
    <w:p>
      <w:pPr>
        <w:pStyle w:val="27"/>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rPr>
      </w:pPr>
      <w:bookmarkStart w:id="1" w:name="_Toc108021865"/>
      <w:r>
        <w:rPr>
          <w:rFonts w:eastAsia="黑体"/>
          <w:color w:val="000000" w:themeColor="text1"/>
          <w:sz w:val="40"/>
          <w:szCs w:val="40"/>
        </w:rPr>
        <w:t xml:space="preserve">第一章 </w:t>
      </w:r>
      <w:r>
        <w:rPr>
          <w:rFonts w:hint="eastAsia" w:eastAsia="黑体"/>
          <w:color w:val="000000" w:themeColor="text1"/>
          <w:sz w:val="40"/>
          <w:szCs w:val="40"/>
        </w:rPr>
        <w:t>招标</w:t>
      </w:r>
      <w:r>
        <w:rPr>
          <w:rFonts w:eastAsia="黑体"/>
          <w:color w:val="000000" w:themeColor="text1"/>
          <w:sz w:val="40"/>
          <w:szCs w:val="40"/>
        </w:rPr>
        <w:t>公告</w:t>
      </w:r>
      <w:bookmarkEnd w:id="1"/>
    </w:p>
    <w:p>
      <w:pPr>
        <w:rPr>
          <w:color w:val="000000" w:themeColor="text1"/>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rPr>
      </w:pPr>
      <w:r>
        <w:rPr>
          <w:b/>
          <w:color w:val="000000" w:themeColor="text1"/>
        </w:rPr>
        <w:t>项目概况</w:t>
      </w:r>
    </w:p>
    <w:p>
      <w:pPr>
        <w:pBdr>
          <w:top w:val="single" w:color="auto" w:sz="4" w:space="1"/>
          <w:left w:val="single" w:color="auto" w:sz="4" w:space="4"/>
          <w:bottom w:val="single" w:color="auto" w:sz="4" w:space="1"/>
          <w:right w:val="single" w:color="auto" w:sz="4" w:space="4"/>
        </w:pBdr>
        <w:wordWrap w:val="0"/>
        <w:spacing w:line="360" w:lineRule="auto"/>
        <w:ind w:firstLine="440" w:firstLineChars="200"/>
        <w:rPr>
          <w:color w:val="000000" w:themeColor="text1"/>
          <w:sz w:val="22"/>
          <w:szCs w:val="22"/>
        </w:rPr>
      </w:pPr>
      <w:r>
        <w:rPr>
          <w:color w:val="000000" w:themeColor="text1"/>
          <w:sz w:val="22"/>
          <w:szCs w:val="22"/>
          <w:u w:val="single"/>
        </w:rPr>
        <w:t>盐城幼儿师范高等专科学校</w:t>
      </w:r>
      <w:r>
        <w:rPr>
          <w:rFonts w:hint="eastAsia"/>
          <w:color w:val="000000" w:themeColor="text1"/>
          <w:sz w:val="22"/>
          <w:szCs w:val="22"/>
          <w:u w:val="single"/>
        </w:rPr>
        <w:t>体育中心教学设备采购项目</w:t>
      </w:r>
      <w:r>
        <w:rPr>
          <w:color w:val="000000" w:themeColor="text1"/>
          <w:sz w:val="22"/>
          <w:szCs w:val="22"/>
        </w:rPr>
        <w:t>的潜在供应商应在</w:t>
      </w:r>
      <w:r>
        <w:rPr>
          <w:color w:val="000000" w:themeColor="text1"/>
          <w:sz w:val="22"/>
          <w:szCs w:val="22"/>
          <w:u w:val="single"/>
        </w:rPr>
        <w:t>江苏政府采购网http://www.ccgp-jiangsu.gov.cn/、盐城市政府采购网http://czj.yancheng.gov.cn/col/col2383/index.html、盐城幼儿师范高等专科学校网站www.yyz.edu.cn</w:t>
      </w:r>
      <w:r>
        <w:rPr>
          <w:color w:val="000000" w:themeColor="text1"/>
          <w:sz w:val="22"/>
          <w:szCs w:val="22"/>
        </w:rPr>
        <w:t>获取采购文件，并于</w:t>
      </w:r>
      <w:r>
        <w:rPr>
          <w:rFonts w:hint="eastAsia"/>
          <w:color w:val="000000" w:themeColor="text1"/>
          <w:sz w:val="22"/>
          <w:szCs w:val="22"/>
          <w:u w:val="single"/>
        </w:rPr>
        <w:t>2022年</w:t>
      </w:r>
      <w:r>
        <w:rPr>
          <w:color w:val="000000"/>
          <w:sz w:val="24"/>
          <w:szCs w:val="24"/>
          <w:u w:val="single"/>
        </w:rPr>
        <w:t>12</w:t>
      </w:r>
      <w:r>
        <w:rPr>
          <w:rFonts w:hint="eastAsia"/>
          <w:color w:val="000000"/>
          <w:sz w:val="24"/>
          <w:szCs w:val="24"/>
        </w:rPr>
        <w:t>月</w:t>
      </w:r>
      <w:r>
        <w:rPr>
          <w:color w:val="000000"/>
          <w:sz w:val="24"/>
          <w:szCs w:val="24"/>
          <w:u w:val="single"/>
        </w:rPr>
        <w:t>6</w:t>
      </w:r>
      <w:r>
        <w:rPr>
          <w:rFonts w:hint="eastAsia"/>
          <w:color w:val="000000"/>
          <w:sz w:val="24"/>
          <w:szCs w:val="24"/>
        </w:rPr>
        <w:t>日</w:t>
      </w:r>
      <w:r>
        <w:rPr>
          <w:rFonts w:hint="eastAsia"/>
          <w:color w:val="000000" w:themeColor="text1"/>
          <w:sz w:val="22"/>
          <w:szCs w:val="22"/>
          <w:u w:val="single"/>
        </w:rPr>
        <w:t>15</w:t>
      </w:r>
      <w:r>
        <w:rPr>
          <w:color w:val="000000" w:themeColor="text1"/>
          <w:sz w:val="22"/>
          <w:szCs w:val="22"/>
          <w:u w:val="single"/>
        </w:rPr>
        <w:t>点</w:t>
      </w:r>
      <w:r>
        <w:rPr>
          <w:rFonts w:hint="eastAsia"/>
          <w:color w:val="000000" w:themeColor="text1"/>
          <w:sz w:val="22"/>
          <w:szCs w:val="22"/>
          <w:u w:val="single"/>
        </w:rPr>
        <w:t>00</w:t>
      </w:r>
      <w:r>
        <w:rPr>
          <w:color w:val="000000" w:themeColor="text1"/>
          <w:sz w:val="22"/>
          <w:szCs w:val="22"/>
          <w:u w:val="single"/>
        </w:rPr>
        <w:t>分</w:t>
      </w:r>
      <w:r>
        <w:rPr>
          <w:color w:val="000000" w:themeColor="text1"/>
          <w:sz w:val="22"/>
          <w:szCs w:val="22"/>
        </w:rPr>
        <w:t>（北京时间）前提交投标文件。</w:t>
      </w:r>
    </w:p>
    <w:p>
      <w:pPr>
        <w:spacing w:line="440" w:lineRule="exact"/>
        <w:ind w:firstLine="482" w:firstLineChars="200"/>
        <w:rPr>
          <w:b/>
          <w:color w:val="000000" w:themeColor="text1"/>
          <w:sz w:val="24"/>
          <w:szCs w:val="24"/>
        </w:rPr>
      </w:pPr>
      <w:r>
        <w:rPr>
          <w:b/>
          <w:color w:val="000000" w:themeColor="text1"/>
          <w:sz w:val="24"/>
          <w:szCs w:val="24"/>
        </w:rPr>
        <w:t>一、项目基本情况</w:t>
      </w:r>
    </w:p>
    <w:p>
      <w:pPr>
        <w:spacing w:line="360" w:lineRule="auto"/>
        <w:ind w:firstLine="480" w:firstLineChars="200"/>
        <w:rPr>
          <w:color w:val="000000" w:themeColor="text1"/>
          <w:sz w:val="24"/>
          <w:szCs w:val="24"/>
        </w:rPr>
      </w:pPr>
      <w:r>
        <w:rPr>
          <w:rFonts w:hint="eastAsia"/>
          <w:color w:val="000000" w:themeColor="text1"/>
          <w:sz w:val="24"/>
          <w:szCs w:val="24"/>
        </w:rPr>
        <w:t>1、项目编号：YCYZ2022HW006</w:t>
      </w:r>
    </w:p>
    <w:p>
      <w:pPr>
        <w:spacing w:line="360" w:lineRule="auto"/>
        <w:ind w:firstLine="480" w:firstLineChars="200"/>
        <w:rPr>
          <w:color w:val="000000" w:themeColor="text1"/>
          <w:sz w:val="24"/>
          <w:szCs w:val="24"/>
        </w:rPr>
      </w:pPr>
      <w:r>
        <w:rPr>
          <w:rFonts w:hint="eastAsia"/>
          <w:color w:val="000000" w:themeColor="text1"/>
          <w:sz w:val="24"/>
          <w:szCs w:val="24"/>
        </w:rPr>
        <w:t>2、项目名称：盐城幼儿师范高等专科学校体育中心教学设备采购项目</w:t>
      </w:r>
    </w:p>
    <w:p>
      <w:pPr>
        <w:spacing w:line="360" w:lineRule="auto"/>
        <w:ind w:firstLine="480" w:firstLineChars="200"/>
        <w:rPr>
          <w:color w:val="000000" w:themeColor="text1"/>
          <w:sz w:val="24"/>
          <w:szCs w:val="24"/>
        </w:rPr>
      </w:pPr>
      <w:r>
        <w:rPr>
          <w:rFonts w:hint="eastAsia"/>
          <w:color w:val="000000" w:themeColor="text1"/>
          <w:sz w:val="24"/>
          <w:szCs w:val="24"/>
        </w:rPr>
        <w:t>3、采购方式：公开招标</w:t>
      </w:r>
    </w:p>
    <w:p>
      <w:pPr>
        <w:spacing w:line="360" w:lineRule="auto"/>
        <w:ind w:firstLine="480" w:firstLineChars="200"/>
        <w:rPr>
          <w:sz w:val="24"/>
          <w:szCs w:val="24"/>
        </w:rPr>
      </w:pPr>
      <w:r>
        <w:rPr>
          <w:rFonts w:hint="eastAsia"/>
          <w:sz w:val="24"/>
          <w:szCs w:val="24"/>
        </w:rPr>
        <w:t>4、预算金额：226万元，其中一标段：171万元，二标段：55万元。</w:t>
      </w:r>
    </w:p>
    <w:p>
      <w:pPr>
        <w:spacing w:line="360" w:lineRule="auto"/>
        <w:ind w:firstLine="480" w:firstLineChars="200"/>
        <w:rPr>
          <w:sz w:val="24"/>
          <w:szCs w:val="24"/>
        </w:rPr>
      </w:pPr>
      <w:r>
        <w:rPr>
          <w:rFonts w:hint="eastAsia"/>
          <w:sz w:val="24"/>
          <w:szCs w:val="24"/>
        </w:rPr>
        <w:t>一标段：体育馆运动器械（除二标段外的设备），最高限价：171万元，</w:t>
      </w:r>
    </w:p>
    <w:p>
      <w:pPr>
        <w:spacing w:line="360" w:lineRule="auto"/>
        <w:ind w:firstLine="480" w:firstLineChars="200"/>
        <w:rPr>
          <w:sz w:val="24"/>
          <w:szCs w:val="24"/>
        </w:rPr>
      </w:pPr>
      <w:r>
        <w:rPr>
          <w:rFonts w:hint="eastAsia"/>
          <w:sz w:val="24"/>
          <w:szCs w:val="24"/>
        </w:rPr>
        <w:t>二标段：体测中心、运动解剖实训室设施设备，最高限价：55万元。</w:t>
      </w:r>
    </w:p>
    <w:p>
      <w:pPr>
        <w:pStyle w:val="11"/>
        <w:spacing w:line="360" w:lineRule="auto"/>
        <w:ind w:left="0" w:right="0" w:rightChars="0" w:firstLine="480" w:firstLineChars="200"/>
        <w:rPr>
          <w:rFonts w:ascii="Times New Roman" w:eastAsia="宋体" w:cs="Times New Roman"/>
          <w:color w:val="000000" w:themeColor="text1"/>
          <w:szCs w:val="24"/>
        </w:rPr>
      </w:pPr>
      <w:r>
        <w:rPr>
          <w:rFonts w:hint="eastAsia" w:ascii="Times New Roman" w:eastAsia="宋体" w:cs="Times New Roman"/>
          <w:color w:val="000000" w:themeColor="text1"/>
          <w:szCs w:val="24"/>
        </w:rPr>
        <w:t>5、采购需求：一标段包括篮球馆、羽毛球馆、兵乓球馆、体操房、健身房等所需的运动器械及体育馆看台座椅采购；二标段包括体测中心的</w:t>
      </w:r>
      <w:r>
        <w:rPr>
          <w:rFonts w:hint="eastAsia" w:ascii="宋体" w:hAnsi="宋体" w:eastAsia="宋体" w:cs="宋体"/>
          <w:kern w:val="0"/>
        </w:rPr>
        <w:t>刷卡式自动测试设备等</w:t>
      </w:r>
      <w:r>
        <w:rPr>
          <w:rFonts w:hint="eastAsia" w:ascii="Times New Roman" w:eastAsia="宋体" w:cs="Times New Roman"/>
          <w:color w:val="000000" w:themeColor="text1"/>
          <w:szCs w:val="24"/>
        </w:rPr>
        <w:t>、运动解剖实训室的解剖模型等采购，详见第四章项目需求。</w:t>
      </w:r>
    </w:p>
    <w:p>
      <w:pPr>
        <w:pStyle w:val="13"/>
        <w:spacing w:line="360" w:lineRule="auto"/>
        <w:ind w:firstLine="480" w:firstLineChars="20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合</w:t>
      </w:r>
      <w:r>
        <w:rPr>
          <w:rFonts w:hint="eastAsia" w:ascii="Times New Roman" w:hAnsi="Times New Roman" w:cs="Times New Roman"/>
          <w:color w:val="000000" w:themeColor="text1"/>
          <w:sz w:val="24"/>
          <w:szCs w:val="24"/>
        </w:rPr>
        <w:t>同履行期限：合同签订后30个工作日内送至盐城幼儿师范高等专科学校指定地点，并安装、调试到位。</w:t>
      </w:r>
    </w:p>
    <w:p>
      <w:pPr>
        <w:spacing w:line="360" w:lineRule="auto"/>
        <w:ind w:firstLine="480" w:firstLineChars="200"/>
        <w:rPr>
          <w:color w:val="000000" w:themeColor="text1"/>
          <w:sz w:val="24"/>
          <w:szCs w:val="24"/>
        </w:rPr>
      </w:pPr>
      <w:r>
        <w:rPr>
          <w:rFonts w:hint="eastAsia"/>
          <w:color w:val="000000" w:themeColor="text1"/>
          <w:sz w:val="24"/>
          <w:szCs w:val="24"/>
        </w:rPr>
        <w:t>7、</w:t>
      </w:r>
      <w:r>
        <w:rPr>
          <w:color w:val="000000" w:themeColor="text1"/>
          <w:sz w:val="24"/>
          <w:szCs w:val="24"/>
        </w:rPr>
        <w:t>本项目不接受联合体参与投标。</w:t>
      </w:r>
    </w:p>
    <w:p>
      <w:pPr>
        <w:spacing w:line="360" w:lineRule="auto"/>
        <w:ind w:firstLine="480" w:firstLineChars="200"/>
        <w:rPr>
          <w:rFonts w:ascii="宋体" w:hAnsi="宋体" w:cs="宋体"/>
          <w:sz w:val="24"/>
        </w:rPr>
      </w:pPr>
      <w:r>
        <w:rPr>
          <w:rFonts w:hint="eastAsia" w:ascii="宋体" w:hAnsi="宋体" w:cs="宋体"/>
          <w:sz w:val="24"/>
        </w:rPr>
        <w:t>8、本项目投标人可参与两个标段的投标，兼投兼中，开标、评标、定标顺序一标段→二标段。</w:t>
      </w:r>
    </w:p>
    <w:p>
      <w:pPr>
        <w:spacing w:line="360" w:lineRule="auto"/>
        <w:ind w:firstLine="482" w:firstLineChars="200"/>
        <w:rPr>
          <w:b/>
          <w:color w:val="000000" w:themeColor="text1"/>
          <w:sz w:val="24"/>
          <w:szCs w:val="24"/>
        </w:rPr>
      </w:pPr>
      <w:r>
        <w:rPr>
          <w:b/>
          <w:color w:val="000000" w:themeColor="text1"/>
          <w:sz w:val="24"/>
          <w:szCs w:val="24"/>
        </w:rPr>
        <w:t>二、申请人的资格要求：</w:t>
      </w:r>
    </w:p>
    <w:p>
      <w:pPr>
        <w:spacing w:line="360" w:lineRule="auto"/>
        <w:ind w:firstLine="480" w:firstLineChars="200"/>
        <w:rPr>
          <w:color w:val="000000" w:themeColor="text1"/>
          <w:sz w:val="24"/>
          <w:szCs w:val="24"/>
        </w:rPr>
      </w:pPr>
      <w:r>
        <w:rPr>
          <w:color w:val="000000" w:themeColor="text1"/>
          <w:sz w:val="24"/>
          <w:szCs w:val="24"/>
        </w:rPr>
        <w:t>1.满足《中华人民共和国政府采购法》第二十二条规定，并提供下列材料；</w:t>
      </w:r>
    </w:p>
    <w:p>
      <w:pPr>
        <w:spacing w:line="360" w:lineRule="auto"/>
        <w:ind w:firstLine="480" w:firstLineChars="200"/>
        <w:rPr>
          <w:color w:val="000000" w:themeColor="text1"/>
          <w:sz w:val="24"/>
          <w:szCs w:val="24"/>
        </w:rPr>
      </w:pPr>
      <w:r>
        <w:rPr>
          <w:color w:val="000000" w:themeColor="text1"/>
          <w:sz w:val="24"/>
          <w:szCs w:val="24"/>
        </w:rPr>
        <w:t>（1）法人或者其他组织的营业执照等证明文件，自然人的身份证明；</w:t>
      </w:r>
    </w:p>
    <w:p>
      <w:pPr>
        <w:spacing w:line="360" w:lineRule="auto"/>
        <w:ind w:firstLine="480" w:firstLineChars="200"/>
        <w:rPr>
          <w:color w:val="000000" w:themeColor="text1"/>
          <w:sz w:val="24"/>
          <w:szCs w:val="24"/>
        </w:rPr>
      </w:pPr>
      <w:r>
        <w:rPr>
          <w:color w:val="000000" w:themeColor="text1"/>
          <w:sz w:val="24"/>
          <w:szCs w:val="24"/>
        </w:rPr>
        <w:t>（2）上一年度的财务报表（成立不满一年不需提供）；</w:t>
      </w:r>
    </w:p>
    <w:p>
      <w:pPr>
        <w:spacing w:line="360" w:lineRule="auto"/>
        <w:ind w:firstLine="480" w:firstLineChars="200"/>
        <w:rPr>
          <w:color w:val="000000" w:themeColor="text1"/>
          <w:sz w:val="24"/>
          <w:szCs w:val="24"/>
        </w:rPr>
      </w:pPr>
      <w:r>
        <w:rPr>
          <w:color w:val="000000" w:themeColor="text1"/>
          <w:sz w:val="24"/>
          <w:szCs w:val="24"/>
        </w:rPr>
        <w:t>（3）依法缴纳税收和社会保障资金的相关材料；</w:t>
      </w:r>
    </w:p>
    <w:p>
      <w:pPr>
        <w:spacing w:line="360" w:lineRule="auto"/>
        <w:ind w:firstLine="480" w:firstLineChars="200"/>
        <w:rPr>
          <w:color w:val="000000" w:themeColor="text1"/>
          <w:sz w:val="24"/>
          <w:szCs w:val="24"/>
        </w:rPr>
      </w:pPr>
      <w:r>
        <w:rPr>
          <w:color w:val="000000" w:themeColor="text1"/>
          <w:sz w:val="24"/>
          <w:szCs w:val="24"/>
        </w:rPr>
        <w:t>（4）具备履行合同所必需的设备和专业技术能力的书面声明；</w:t>
      </w:r>
    </w:p>
    <w:p>
      <w:pPr>
        <w:spacing w:line="360" w:lineRule="auto"/>
        <w:ind w:firstLine="480" w:firstLineChars="200"/>
        <w:rPr>
          <w:color w:val="000000" w:themeColor="text1"/>
          <w:sz w:val="24"/>
          <w:szCs w:val="24"/>
        </w:rPr>
      </w:pPr>
      <w:r>
        <w:rPr>
          <w:color w:val="000000" w:themeColor="text1"/>
          <w:sz w:val="24"/>
          <w:szCs w:val="24"/>
        </w:rPr>
        <w:t>（5）参加政府采购活动前3年内在经营活动中没有重大违法记录的书面声明；</w:t>
      </w:r>
    </w:p>
    <w:p>
      <w:pPr>
        <w:spacing w:line="360" w:lineRule="auto"/>
        <w:ind w:firstLine="480" w:firstLineChars="200"/>
        <w:rPr>
          <w:color w:val="000000" w:themeColor="text1"/>
          <w:sz w:val="24"/>
          <w:szCs w:val="24"/>
        </w:rPr>
      </w:pPr>
      <w:r>
        <w:rPr>
          <w:color w:val="000000" w:themeColor="text1"/>
          <w:sz w:val="24"/>
          <w:szCs w:val="24"/>
        </w:rPr>
        <w:t>2.落实政府采购政策需满足的资格要求：</w:t>
      </w:r>
      <w:r>
        <w:rPr>
          <w:color w:val="000000" w:themeColor="text1"/>
          <w:sz w:val="24"/>
          <w:szCs w:val="24"/>
          <w:u w:val="single"/>
        </w:rPr>
        <w:t>无</w:t>
      </w:r>
    </w:p>
    <w:p>
      <w:pPr>
        <w:spacing w:line="360" w:lineRule="auto"/>
        <w:ind w:firstLine="480" w:firstLineChars="200"/>
        <w:rPr>
          <w:color w:val="000000" w:themeColor="text1"/>
          <w:sz w:val="24"/>
          <w:szCs w:val="24"/>
        </w:rPr>
      </w:pPr>
      <w:r>
        <w:rPr>
          <w:color w:val="000000" w:themeColor="text1"/>
          <w:sz w:val="24"/>
          <w:szCs w:val="24"/>
        </w:rPr>
        <w:t>3.本项目的特定资格要求：</w:t>
      </w:r>
    </w:p>
    <w:p>
      <w:pPr>
        <w:pStyle w:val="21"/>
        <w:ind w:firstLine="480"/>
        <w:rPr>
          <w:rFonts w:asciiTheme="minorEastAsia" w:hAnsiTheme="minorEastAsia" w:eastAsiaTheme="minorEastAsia"/>
          <w:sz w:val="24"/>
          <w:szCs w:val="24"/>
        </w:rPr>
      </w:pPr>
      <w:bookmarkStart w:id="2" w:name="_Toc108021866"/>
      <w:bookmarkStart w:id="3" w:name="_Toc28359092"/>
      <w:bookmarkStart w:id="4" w:name="_Toc35393800"/>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（2）单位负责人为同一人或者存在直接控股、管理关系的不同供应商，不得参加同一合同项下的政府采购活动。</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rPr>
      </w:pPr>
      <w:r>
        <w:rPr>
          <w:rFonts w:ascii="Times New Roman" w:hAnsi="Times New Roman" w:eastAsia="宋体" w:cs="Times New Roman"/>
          <w:color w:val="000000" w:themeColor="text1"/>
          <w:sz w:val="24"/>
          <w:szCs w:val="24"/>
          <w:shd w:val="clear" w:color="auto" w:fill="FFFFFF"/>
        </w:rPr>
        <w:t>三、获取招标文件</w:t>
      </w:r>
      <w:bookmarkEnd w:id="2"/>
    </w:p>
    <w:bookmarkEnd w:id="3"/>
    <w:bookmarkEnd w:id="4"/>
    <w:p>
      <w:pPr>
        <w:tabs>
          <w:tab w:val="left" w:pos="900"/>
        </w:tabs>
        <w:spacing w:line="440" w:lineRule="exact"/>
        <w:ind w:firstLine="480" w:firstLineChars="200"/>
        <w:rPr>
          <w:color w:val="000000"/>
          <w:sz w:val="24"/>
          <w:szCs w:val="24"/>
        </w:rPr>
      </w:pPr>
      <w:bookmarkStart w:id="5" w:name="_Toc108021867"/>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w:t>
      </w:r>
      <w:r>
        <w:rPr>
          <w:color w:val="000000"/>
          <w:sz w:val="24"/>
          <w:szCs w:val="24"/>
        </w:rPr>
        <w:t>5</w:t>
      </w:r>
      <w:r>
        <w:rPr>
          <w:rFonts w:hint="eastAsia"/>
          <w:color w:val="000000"/>
          <w:sz w:val="24"/>
          <w:szCs w:val="24"/>
        </w:rPr>
        <w:t>00元/标段。</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r>
        <w:rPr>
          <w:rFonts w:ascii="Times New Roman" w:hAnsi="Times New Roman" w:eastAsia="宋体" w:cs="Times New Roman"/>
          <w:color w:val="000000" w:themeColor="text1"/>
          <w:sz w:val="24"/>
          <w:szCs w:val="24"/>
          <w:shd w:val="clear" w:color="auto" w:fill="FFFFFF"/>
        </w:rPr>
        <w:t>四、</w:t>
      </w:r>
      <w:r>
        <w:rPr>
          <w:rFonts w:hint="eastAsia" w:ascii="Times New Roman" w:hAnsi="Times New Roman" w:eastAsia="宋体" w:cs="Times New Roman"/>
          <w:color w:val="000000" w:themeColor="text1"/>
          <w:sz w:val="24"/>
          <w:szCs w:val="24"/>
          <w:shd w:val="clear" w:color="auto" w:fill="FFFFFF"/>
        </w:rPr>
        <w:t>投标</w:t>
      </w:r>
      <w:r>
        <w:rPr>
          <w:rFonts w:ascii="Times New Roman" w:hAnsi="Times New Roman" w:eastAsia="宋体" w:cs="Times New Roman"/>
          <w:color w:val="000000" w:themeColor="text1"/>
          <w:sz w:val="24"/>
          <w:szCs w:val="24"/>
          <w:shd w:val="clear" w:color="auto" w:fill="FFFFFF"/>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投标文件接收时间：2022年12月6日14: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投标文件接收截止时间：2022年12月6日15:00时</w:t>
      </w:r>
    </w:p>
    <w:p>
      <w:pPr>
        <w:spacing w:line="360" w:lineRule="auto"/>
        <w:ind w:firstLine="480" w:firstLineChars="200"/>
        <w:rPr>
          <w:rFonts w:ascii="宋体" w:hAnsi="宋体" w:cs="宋体"/>
          <w:sz w:val="24"/>
        </w:rPr>
      </w:pPr>
      <w:r>
        <w:rPr>
          <w:rFonts w:hint="eastAsia"/>
          <w:color w:val="000000"/>
          <w:sz w:val="24"/>
          <w:szCs w:val="24"/>
        </w:rPr>
        <w:t>投标文件接收地点：</w:t>
      </w:r>
      <w:r>
        <w:rPr>
          <w:rFonts w:hint="eastAsia" w:ascii="宋体" w:hAnsi="宋体" w:cs="宋体"/>
          <w:sz w:val="24"/>
        </w:rPr>
        <w:t>江苏宏天工程管理有限公司开标室（盐城市鹿鸣路988号金航财富大厦17楼）。</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 12 月 6 日</w:t>
      </w:r>
      <w:r>
        <w:rPr>
          <w:rFonts w:hint="eastAsia"/>
          <w:color w:val="000000"/>
          <w:kern w:val="0"/>
          <w:sz w:val="24"/>
          <w:szCs w:val="24"/>
        </w:rPr>
        <w:t>15:00时</w:t>
      </w:r>
    </w:p>
    <w:p>
      <w:pPr>
        <w:spacing w:line="360" w:lineRule="auto"/>
        <w:ind w:firstLine="480" w:firstLineChars="200"/>
        <w:rPr>
          <w:rFonts w:ascii="宋体" w:hAnsi="宋体" w:cs="宋体"/>
          <w:sz w:val="24"/>
        </w:rPr>
      </w:pPr>
      <w:r>
        <w:rPr>
          <w:rFonts w:hint="eastAsia"/>
          <w:color w:val="000000"/>
          <w:sz w:val="24"/>
          <w:szCs w:val="24"/>
        </w:rPr>
        <w:t>开标地点：</w:t>
      </w:r>
      <w:r>
        <w:rPr>
          <w:rFonts w:hint="eastAsia" w:ascii="宋体" w:hAnsi="宋体" w:cs="宋体"/>
          <w:sz w:val="24"/>
        </w:rPr>
        <w:t>江苏宏天工程管理有限公司开标室（盐城市鹿鸣路988号金航财富大厦17楼）。</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rPr>
      </w:pPr>
      <w:r>
        <w:rPr>
          <w:color w:val="000000" w:themeColor="text1"/>
          <w:sz w:val="24"/>
          <w:szCs w:val="24"/>
        </w:rPr>
        <w:t>自本公告发布之日起</w:t>
      </w:r>
      <w:r>
        <w:rPr>
          <w:rFonts w:hint="eastAsia"/>
          <w:color w:val="000000" w:themeColor="text1"/>
          <w:sz w:val="24"/>
          <w:szCs w:val="24"/>
        </w:rPr>
        <w:t>5</w:t>
      </w:r>
      <w:r>
        <w:rPr>
          <w:color w:val="000000" w:themeColor="text1"/>
          <w:sz w:val="24"/>
          <w:szCs w:val="24"/>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rPr>
        <w:t>七</w:t>
      </w:r>
      <w:r>
        <w:rPr>
          <w:color w:val="000000" w:themeColor="text1"/>
          <w:sz w:val="24"/>
          <w:szCs w:val="24"/>
          <w:shd w:val="clear" w:color="auto" w:fill="FFFFFF"/>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rPr>
      </w:pPr>
      <w:r>
        <w:rPr>
          <w:rFonts w:hint="eastAsia"/>
          <w:color w:val="000000" w:themeColor="text1"/>
          <w:sz w:val="24"/>
          <w:szCs w:val="24"/>
        </w:rPr>
        <w:t>投标</w:t>
      </w:r>
      <w:r>
        <w:rPr>
          <w:color w:val="000000" w:themeColor="text1"/>
          <w:sz w:val="24"/>
          <w:szCs w:val="24"/>
        </w:rPr>
        <w:t>文件正本1份，</w:t>
      </w:r>
      <w:r>
        <w:rPr>
          <w:rFonts w:hint="eastAsia"/>
          <w:color w:val="000000" w:themeColor="text1"/>
          <w:sz w:val="24"/>
          <w:szCs w:val="24"/>
        </w:rPr>
        <w:t>副本份数：4份</w:t>
      </w:r>
      <w:r>
        <w:rPr>
          <w:color w:val="000000" w:themeColor="text1"/>
          <w:sz w:val="24"/>
          <w:szCs w:val="24"/>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rPr>
      </w:pPr>
      <w:bookmarkStart w:id="9" w:name="_Toc108021871"/>
      <w:r>
        <w:rPr>
          <w:rFonts w:hint="eastAsia" w:ascii="Times New Roman" w:hAnsi="Times New Roman" w:eastAsia="宋体" w:cs="Times New Roman"/>
          <w:color w:val="000000" w:themeColor="text1"/>
          <w:sz w:val="24"/>
          <w:szCs w:val="24"/>
          <w:shd w:val="clear" w:color="auto" w:fill="FFFFFF"/>
        </w:rPr>
        <w:t>八</w:t>
      </w:r>
      <w:r>
        <w:rPr>
          <w:rFonts w:ascii="Times New Roman" w:hAnsi="Times New Roman" w:eastAsia="宋体" w:cs="Times New Roman"/>
          <w:color w:val="000000" w:themeColor="text1"/>
          <w:sz w:val="24"/>
          <w:szCs w:val="24"/>
          <w:shd w:val="clear" w:color="auto" w:fill="FFFFFF"/>
        </w:rPr>
        <w:t>、凡对本次采购提出询问，请按以下方式联系。</w:t>
      </w:r>
      <w:bookmarkEnd w:id="9"/>
    </w:p>
    <w:p>
      <w:pPr>
        <w:spacing w:line="440" w:lineRule="exact"/>
        <w:ind w:firstLine="480" w:firstLineChars="200"/>
        <w:rPr>
          <w:color w:val="000000" w:themeColor="text1"/>
          <w:sz w:val="24"/>
          <w:szCs w:val="24"/>
        </w:rPr>
      </w:pPr>
      <w:bookmarkStart w:id="10" w:name="_Toc28359019"/>
      <w:bookmarkStart w:id="11" w:name="_Toc35393637"/>
      <w:bookmarkStart w:id="12" w:name="_Toc28359096"/>
      <w:bookmarkStart w:id="13" w:name="_Toc35393806"/>
      <w:r>
        <w:rPr>
          <w:color w:val="000000" w:themeColor="text1"/>
          <w:sz w:val="24"/>
          <w:szCs w:val="24"/>
        </w:rPr>
        <w:t>1</w:t>
      </w:r>
      <w:r>
        <w:rPr>
          <w:rFonts w:hint="eastAsia"/>
          <w:color w:val="000000" w:themeColor="text1"/>
          <w:sz w:val="24"/>
          <w:szCs w:val="24"/>
        </w:rPr>
        <w:t xml:space="preserve">. </w:t>
      </w:r>
      <w:r>
        <w:rPr>
          <w:color w:val="000000" w:themeColor="text1"/>
          <w:sz w:val="24"/>
          <w:szCs w:val="24"/>
        </w:rPr>
        <w:t>使用部门联系人：</w:t>
      </w:r>
      <w:r>
        <w:rPr>
          <w:rFonts w:hint="eastAsia"/>
          <w:color w:val="000000" w:themeColor="text1"/>
          <w:sz w:val="24"/>
          <w:szCs w:val="24"/>
        </w:rPr>
        <w:t>仇老师</w:t>
      </w:r>
      <w:r>
        <w:rPr>
          <w:color w:val="000000" w:themeColor="text1"/>
          <w:sz w:val="24"/>
          <w:szCs w:val="24"/>
        </w:rPr>
        <w:t>，联系电话：</w:t>
      </w:r>
      <w:r>
        <w:rPr>
          <w:rFonts w:hint="eastAsia"/>
          <w:color w:val="000000" w:themeColor="text1"/>
          <w:sz w:val="24"/>
          <w:szCs w:val="24"/>
        </w:rPr>
        <w:t>15861998023</w:t>
      </w:r>
      <w:r>
        <w:rPr>
          <w:color w:val="000000" w:themeColor="text1"/>
          <w:sz w:val="24"/>
          <w:szCs w:val="24"/>
        </w:rPr>
        <w:t>。</w:t>
      </w:r>
    </w:p>
    <w:p>
      <w:pPr>
        <w:spacing w:line="440" w:lineRule="exact"/>
        <w:ind w:firstLine="480" w:firstLineChars="200"/>
        <w:rPr>
          <w:color w:val="000000" w:themeColor="text1"/>
          <w:sz w:val="24"/>
          <w:szCs w:val="24"/>
        </w:rPr>
      </w:pPr>
      <w:r>
        <w:rPr>
          <w:color w:val="000000" w:themeColor="text1"/>
          <w:sz w:val="24"/>
          <w:szCs w:val="24"/>
        </w:rPr>
        <w:t>采购部门联系人：蒋老师  ，联系电话：0515-89966103。</w:t>
      </w:r>
    </w:p>
    <w:p>
      <w:pPr>
        <w:spacing w:line="440" w:lineRule="exact"/>
        <w:ind w:firstLine="480" w:firstLineChars="200"/>
        <w:rPr>
          <w:color w:val="000000" w:themeColor="text1"/>
          <w:sz w:val="24"/>
          <w:szCs w:val="24"/>
        </w:rPr>
      </w:pPr>
      <w:r>
        <w:rPr>
          <w:color w:val="000000" w:themeColor="text1"/>
          <w:sz w:val="24"/>
          <w:szCs w:val="24"/>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rPr>
        <w:t>2.招标代理服务机构：江苏宏天工程管理有限公司。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spacing w:line="440" w:lineRule="exact"/>
        <w:ind w:firstLine="480" w:firstLineChars="200"/>
        <w:rPr>
          <w:color w:val="000000" w:themeColor="text1"/>
          <w:sz w:val="24"/>
          <w:szCs w:val="24"/>
        </w:rPr>
      </w:pPr>
      <w:r>
        <w:rPr>
          <w:rFonts w:hint="eastAsia"/>
          <w:color w:val="000000" w:themeColor="text1"/>
          <w:sz w:val="24"/>
          <w:szCs w:val="24"/>
        </w:rPr>
        <w:t xml:space="preserve">3. </w:t>
      </w:r>
      <w:r>
        <w:rPr>
          <w:color w:val="000000" w:themeColor="text1"/>
          <w:sz w:val="24"/>
          <w:szCs w:val="24"/>
        </w:rPr>
        <w:t>对项目需求部分的询问、质疑请与采购人联系、答复；其他部分的询问、质疑请与</w:t>
      </w:r>
      <w:r>
        <w:rPr>
          <w:rFonts w:hint="eastAsia"/>
          <w:color w:val="000000"/>
          <w:sz w:val="24"/>
          <w:szCs w:val="24"/>
        </w:rPr>
        <w:t>招标代理服务机构</w:t>
      </w:r>
      <w:r>
        <w:rPr>
          <w:color w:val="000000" w:themeColor="text1"/>
          <w:sz w:val="24"/>
          <w:szCs w:val="24"/>
        </w:rPr>
        <w:t>联系、答复。</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rPr>
        <w:t>11</w:t>
      </w:r>
      <w:r>
        <w:rPr>
          <w:color w:val="000000"/>
          <w:sz w:val="24"/>
          <w:szCs w:val="24"/>
        </w:rPr>
        <w:t>月</w:t>
      </w:r>
      <w:r>
        <w:rPr>
          <w:rFonts w:hint="eastAsia"/>
          <w:color w:val="000000"/>
          <w:sz w:val="24"/>
          <w:szCs w:val="24"/>
          <w:lang w:val="en-US" w:eastAsia="zh-CN"/>
        </w:rPr>
        <w:t>16</w:t>
      </w:r>
      <w:r>
        <w:rPr>
          <w:color w:val="000000"/>
          <w:sz w:val="24"/>
          <w:szCs w:val="24"/>
        </w:rPr>
        <w:t>日</w:t>
      </w:r>
    </w:p>
    <w:p>
      <w:pPr>
        <w:pStyle w:val="27"/>
      </w:pPr>
    </w:p>
    <w:bookmarkEnd w:id="10"/>
    <w:bookmarkEnd w:id="11"/>
    <w:bookmarkEnd w:id="12"/>
    <w:bookmarkEnd w:id="13"/>
    <w:p>
      <w:pPr>
        <w:jc w:val="center"/>
        <w:outlineLvl w:val="0"/>
        <w:rPr>
          <w:rFonts w:eastAsia="黑体"/>
          <w:color w:val="000000" w:themeColor="text1"/>
          <w:sz w:val="40"/>
          <w:szCs w:val="40"/>
        </w:rPr>
      </w:pPr>
      <w:bookmarkStart w:id="14" w:name="_Toc108021872"/>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jc w:val="center"/>
        <w:outlineLvl w:val="0"/>
        <w:rPr>
          <w:rFonts w:eastAsia="黑体"/>
          <w:color w:val="000000" w:themeColor="text1"/>
          <w:sz w:val="40"/>
          <w:szCs w:val="40"/>
        </w:rPr>
      </w:pPr>
    </w:p>
    <w:p>
      <w:pPr>
        <w:pStyle w:val="21"/>
        <w:ind w:firstLine="800"/>
        <w:rPr>
          <w:rFonts w:eastAsia="黑体"/>
          <w:color w:val="000000" w:themeColor="text1"/>
          <w:sz w:val="40"/>
          <w:szCs w:val="40"/>
        </w:rPr>
      </w:pPr>
    </w:p>
    <w:p>
      <w:pPr>
        <w:jc w:val="center"/>
        <w:outlineLvl w:val="0"/>
        <w:rPr>
          <w:rFonts w:eastAsia="黑体"/>
          <w:color w:val="000000" w:themeColor="text1"/>
          <w:sz w:val="40"/>
          <w:szCs w:val="40"/>
        </w:rPr>
      </w:pPr>
      <w:r>
        <w:rPr>
          <w:rFonts w:eastAsia="黑体"/>
          <w:color w:val="000000" w:themeColor="text1"/>
          <w:sz w:val="40"/>
          <w:szCs w:val="40"/>
        </w:rPr>
        <w:t>第二章  投标人须知</w:t>
      </w:r>
      <w:bookmarkEnd w:id="14"/>
    </w:p>
    <w:p>
      <w:pPr>
        <w:spacing w:line="440" w:lineRule="exact"/>
        <w:ind w:firstLine="482" w:firstLineChars="200"/>
        <w:rPr>
          <w:b/>
          <w:bCs/>
          <w:color w:val="000000" w:themeColor="text1"/>
          <w:sz w:val="24"/>
          <w:szCs w:val="24"/>
        </w:rPr>
      </w:pPr>
    </w:p>
    <w:p>
      <w:pPr>
        <w:pStyle w:val="4"/>
        <w:keepNext w:val="0"/>
        <w:keepLines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rPr>
      </w:pPr>
      <w:bookmarkStart w:id="15" w:name="_Toc108021873"/>
      <w:r>
        <w:rPr>
          <w:rFonts w:ascii="Times New Roman" w:hAnsi="Times New Roman" w:eastAsia="宋体" w:cs="Times New Roman"/>
          <w:color w:val="000000" w:themeColor="text1"/>
          <w:sz w:val="24"/>
          <w:szCs w:val="24"/>
          <w:shd w:val="clear" w:color="auto" w:fill="FFFFFF"/>
        </w:rPr>
        <w:t>一、总则</w:t>
      </w:r>
      <w:bookmarkEnd w:id="15"/>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spacing w:line="360" w:lineRule="auto"/>
        <w:ind w:firstLine="480" w:firstLineChars="200"/>
        <w:rPr>
          <w:color w:val="000000" w:themeColor="text1"/>
          <w:sz w:val="24"/>
          <w:szCs w:val="24"/>
        </w:rPr>
      </w:pPr>
      <w:r>
        <w:rPr>
          <w:color w:val="000000" w:themeColor="text1"/>
          <w:sz w:val="24"/>
          <w:szCs w:val="24"/>
        </w:rPr>
        <w:t>4.1 参加投标的供应商应自行承担所有与参加投标有关的费用。不论最终的成交结果如何，盐城幼儿师范高等专科学校在任何情况下均无义务和责任承担这些费用。</w:t>
      </w:r>
    </w:p>
    <w:p>
      <w:pPr>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widowControl/>
        <w:shd w:val="clear" w:color="auto" w:fill="FFFFFF"/>
        <w:spacing w:line="360" w:lineRule="auto"/>
        <w:ind w:firstLine="482" w:firstLineChars="200"/>
        <w:rPr>
          <w:b/>
          <w:sz w:val="24"/>
          <w:szCs w:val="24"/>
        </w:rPr>
      </w:pPr>
      <w:r>
        <w:rPr>
          <w:rFonts w:hint="eastAsia"/>
          <w:b/>
          <w:sz w:val="24"/>
          <w:szCs w:val="24"/>
        </w:rPr>
        <w:t>5.招标文件的约束力</w:t>
      </w:r>
    </w:p>
    <w:p>
      <w:pPr>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widowControl/>
        <w:shd w:val="clear" w:color="auto" w:fill="FFFFFF"/>
        <w:spacing w:line="360" w:lineRule="auto"/>
        <w:ind w:firstLine="482" w:firstLineChars="200"/>
        <w:rPr>
          <w:b/>
          <w:sz w:val="24"/>
          <w:szCs w:val="24"/>
        </w:rPr>
      </w:pPr>
      <w:r>
        <w:rPr>
          <w:rFonts w:hint="eastAsia"/>
          <w:b/>
          <w:sz w:val="24"/>
          <w:szCs w:val="24"/>
        </w:rPr>
        <w:t>6.招标文件的解释</w:t>
      </w:r>
    </w:p>
    <w:p>
      <w:pPr>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widowControl/>
        <w:shd w:val="clear" w:color="auto" w:fill="FFFFFF"/>
        <w:spacing w:line="360" w:lineRule="auto"/>
        <w:ind w:firstLine="482" w:firstLineChars="200"/>
        <w:rPr>
          <w:b/>
          <w:sz w:val="24"/>
          <w:szCs w:val="24"/>
        </w:rPr>
      </w:pPr>
      <w:bookmarkStart w:id="16" w:name="_Toc16938525"/>
      <w:bookmarkStart w:id="17" w:name="_Toc513029209"/>
      <w:bookmarkStart w:id="18" w:name="_Toc120614215"/>
      <w:bookmarkStart w:id="19" w:name="_Toc20823281"/>
      <w:r>
        <w:rPr>
          <w:rFonts w:hint="eastAsia"/>
          <w:b/>
          <w:sz w:val="24"/>
          <w:szCs w:val="24"/>
        </w:rPr>
        <w:t>二、招标文件</w:t>
      </w:r>
      <w:bookmarkEnd w:id="16"/>
      <w:bookmarkEnd w:id="17"/>
      <w:bookmarkEnd w:id="18"/>
      <w:bookmarkEnd w:id="19"/>
    </w:p>
    <w:p>
      <w:pPr>
        <w:widowControl/>
        <w:shd w:val="clear" w:color="auto" w:fill="FFFFFF"/>
        <w:spacing w:line="360" w:lineRule="auto"/>
        <w:ind w:firstLine="482" w:firstLineChars="200"/>
        <w:rPr>
          <w:b/>
          <w:sz w:val="24"/>
          <w:szCs w:val="24"/>
        </w:rPr>
      </w:pPr>
      <w:bookmarkStart w:id="20" w:name="_Toc513029210"/>
      <w:bookmarkStart w:id="21" w:name="_Toc20823282"/>
      <w:bookmarkStart w:id="22" w:name="_Toc16938526"/>
      <w:r>
        <w:rPr>
          <w:rFonts w:hint="eastAsia"/>
          <w:b/>
          <w:sz w:val="24"/>
          <w:szCs w:val="24"/>
        </w:rPr>
        <w:t>7.招标文件构成</w:t>
      </w:r>
      <w:bookmarkEnd w:id="20"/>
      <w:bookmarkEnd w:id="21"/>
      <w:bookmarkEnd w:id="22"/>
    </w:p>
    <w:p>
      <w:pPr>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spacing w:line="360" w:lineRule="auto"/>
        <w:ind w:firstLine="480" w:firstLineChars="200"/>
        <w:rPr>
          <w:color w:val="000000"/>
          <w:sz w:val="24"/>
          <w:szCs w:val="24"/>
        </w:rPr>
      </w:pPr>
      <w:r>
        <w:rPr>
          <w:rFonts w:hint="eastAsia"/>
          <w:color w:val="000000"/>
          <w:sz w:val="24"/>
          <w:szCs w:val="24"/>
        </w:rPr>
        <w:t>（1）招标公告</w:t>
      </w:r>
    </w:p>
    <w:p>
      <w:pPr>
        <w:spacing w:line="360" w:lineRule="auto"/>
        <w:ind w:firstLine="480" w:firstLineChars="200"/>
        <w:rPr>
          <w:color w:val="000000"/>
          <w:sz w:val="24"/>
          <w:szCs w:val="24"/>
        </w:rPr>
      </w:pPr>
      <w:r>
        <w:rPr>
          <w:rFonts w:hint="eastAsia"/>
          <w:color w:val="000000"/>
          <w:sz w:val="24"/>
          <w:szCs w:val="24"/>
        </w:rPr>
        <w:t>（2）投标人须知</w:t>
      </w:r>
    </w:p>
    <w:p>
      <w:pPr>
        <w:spacing w:line="360" w:lineRule="auto"/>
        <w:ind w:firstLine="480" w:firstLineChars="200"/>
        <w:rPr>
          <w:color w:val="000000"/>
          <w:sz w:val="24"/>
          <w:szCs w:val="24"/>
        </w:rPr>
      </w:pPr>
      <w:r>
        <w:rPr>
          <w:rFonts w:hint="eastAsia"/>
          <w:color w:val="000000"/>
          <w:sz w:val="24"/>
          <w:szCs w:val="24"/>
        </w:rPr>
        <w:t>（3）合同条款及格式</w:t>
      </w:r>
    </w:p>
    <w:p>
      <w:pPr>
        <w:spacing w:line="360" w:lineRule="auto"/>
        <w:ind w:firstLine="480" w:firstLineChars="200"/>
        <w:rPr>
          <w:color w:val="000000"/>
          <w:sz w:val="24"/>
          <w:szCs w:val="24"/>
        </w:rPr>
      </w:pPr>
      <w:r>
        <w:rPr>
          <w:rFonts w:hint="eastAsia"/>
          <w:color w:val="000000"/>
          <w:sz w:val="24"/>
          <w:szCs w:val="24"/>
        </w:rPr>
        <w:t>（4）项目需求</w:t>
      </w:r>
    </w:p>
    <w:p>
      <w:pPr>
        <w:spacing w:line="360" w:lineRule="auto"/>
        <w:ind w:firstLine="480" w:firstLineChars="200"/>
        <w:rPr>
          <w:color w:val="000000"/>
          <w:sz w:val="24"/>
          <w:szCs w:val="24"/>
        </w:rPr>
      </w:pPr>
      <w:r>
        <w:rPr>
          <w:rFonts w:hint="eastAsia"/>
          <w:color w:val="000000"/>
          <w:sz w:val="24"/>
          <w:szCs w:val="24"/>
        </w:rPr>
        <w:t>（5）定标原则与评标标准</w:t>
      </w:r>
    </w:p>
    <w:p>
      <w:pPr>
        <w:spacing w:line="360" w:lineRule="auto"/>
        <w:ind w:firstLine="480" w:firstLineChars="200"/>
        <w:rPr>
          <w:color w:val="000000"/>
          <w:sz w:val="24"/>
          <w:szCs w:val="24"/>
        </w:rPr>
      </w:pPr>
      <w:r>
        <w:rPr>
          <w:rFonts w:hint="eastAsia"/>
          <w:color w:val="000000"/>
          <w:sz w:val="24"/>
          <w:szCs w:val="24"/>
        </w:rPr>
        <w:t>（6）投标文件格式</w:t>
      </w:r>
    </w:p>
    <w:p>
      <w:pPr>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widowControl/>
        <w:shd w:val="clear" w:color="auto" w:fill="FFFFFF"/>
        <w:spacing w:line="360" w:lineRule="auto"/>
        <w:ind w:firstLine="482" w:firstLineChars="200"/>
        <w:rPr>
          <w:b/>
          <w:sz w:val="24"/>
          <w:szCs w:val="24"/>
        </w:rPr>
      </w:pPr>
      <w:bookmarkStart w:id="23" w:name="_Toc16938527"/>
      <w:bookmarkStart w:id="24" w:name="_Toc462564070"/>
      <w:bookmarkStart w:id="25" w:name="_Toc20823283"/>
      <w:bookmarkStart w:id="26" w:name="_Toc513029211"/>
      <w:r>
        <w:rPr>
          <w:rFonts w:hint="eastAsia"/>
          <w:b/>
          <w:sz w:val="24"/>
          <w:szCs w:val="24"/>
        </w:rPr>
        <w:t>8.招标文件的</w:t>
      </w:r>
      <w:bookmarkEnd w:id="23"/>
      <w:bookmarkEnd w:id="24"/>
      <w:bookmarkEnd w:id="25"/>
      <w:bookmarkEnd w:id="26"/>
      <w:r>
        <w:rPr>
          <w:rFonts w:hint="eastAsia"/>
          <w:b/>
          <w:sz w:val="24"/>
          <w:szCs w:val="24"/>
        </w:rPr>
        <w:t>询问</w:t>
      </w:r>
    </w:p>
    <w:p>
      <w:pPr>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widowControl/>
        <w:shd w:val="clear" w:color="auto" w:fill="FFFFFF"/>
        <w:spacing w:line="360" w:lineRule="auto"/>
        <w:ind w:firstLine="482" w:firstLineChars="200"/>
        <w:rPr>
          <w:b/>
          <w:sz w:val="24"/>
          <w:szCs w:val="24"/>
        </w:rPr>
      </w:pPr>
      <w:bookmarkStart w:id="27" w:name="_Toc20823284"/>
      <w:bookmarkStart w:id="28" w:name="_Toc513029212"/>
      <w:bookmarkStart w:id="29" w:name="_Toc462564071"/>
      <w:bookmarkStart w:id="30" w:name="_Toc16938528"/>
      <w:r>
        <w:rPr>
          <w:rFonts w:hint="eastAsia"/>
          <w:b/>
          <w:sz w:val="24"/>
          <w:szCs w:val="24"/>
        </w:rPr>
        <w:t>9.招标文件的修改</w:t>
      </w:r>
      <w:bookmarkEnd w:id="27"/>
      <w:bookmarkEnd w:id="28"/>
      <w:bookmarkEnd w:id="29"/>
      <w:bookmarkEnd w:id="30"/>
    </w:p>
    <w:p>
      <w:pPr>
        <w:spacing w:line="360" w:lineRule="auto"/>
        <w:ind w:firstLine="480" w:firstLineChars="200"/>
        <w:rPr>
          <w:color w:val="000000"/>
          <w:sz w:val="24"/>
          <w:szCs w:val="24"/>
        </w:rPr>
      </w:pPr>
      <w:bookmarkStart w:id="31" w:name="_Toc16938529"/>
      <w:bookmarkStart w:id="32" w:name="_Toc20823285"/>
      <w:bookmarkStart w:id="33" w:name="_Toc120614216"/>
      <w:bookmarkStart w:id="34" w:name="_Toc513029213"/>
      <w:bookmarkStart w:id="35" w:name="_Toc462564072"/>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widowControl/>
        <w:shd w:val="clear" w:color="auto" w:fill="FFFFFF"/>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widowControl/>
        <w:shd w:val="clear" w:color="auto" w:fill="FFFFFF"/>
        <w:spacing w:line="360" w:lineRule="auto"/>
        <w:ind w:firstLine="482" w:firstLineChars="200"/>
        <w:rPr>
          <w:b/>
          <w:sz w:val="24"/>
          <w:szCs w:val="24"/>
        </w:rPr>
      </w:pPr>
      <w:bookmarkStart w:id="36" w:name="_Toc20823286"/>
      <w:bookmarkStart w:id="37" w:name="_Toc16938530"/>
      <w:bookmarkStart w:id="38" w:name="_Toc462564073"/>
      <w:bookmarkStart w:id="39" w:name="_Toc513029214"/>
      <w:r>
        <w:rPr>
          <w:rFonts w:hint="eastAsia"/>
          <w:b/>
          <w:sz w:val="24"/>
          <w:szCs w:val="24"/>
        </w:rPr>
        <w:t>10.投标文件的语言及度量衡单位</w:t>
      </w:r>
      <w:bookmarkEnd w:id="36"/>
      <w:bookmarkEnd w:id="37"/>
      <w:bookmarkEnd w:id="38"/>
      <w:bookmarkEnd w:id="39"/>
    </w:p>
    <w:p>
      <w:pPr>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widowControl/>
        <w:shd w:val="clear" w:color="auto" w:fill="FFFFFF"/>
        <w:spacing w:line="360" w:lineRule="auto"/>
        <w:ind w:firstLine="482" w:firstLineChars="200"/>
        <w:rPr>
          <w:b/>
          <w:sz w:val="24"/>
          <w:szCs w:val="24"/>
        </w:rPr>
      </w:pPr>
      <w:bookmarkStart w:id="40" w:name="_Toc513029215"/>
      <w:bookmarkStart w:id="41" w:name="_Toc16938531"/>
      <w:bookmarkStart w:id="42" w:name="_Toc462564074"/>
      <w:bookmarkStart w:id="43" w:name="_Toc20823287"/>
      <w:r>
        <w:rPr>
          <w:rFonts w:hint="eastAsia"/>
          <w:b/>
          <w:sz w:val="24"/>
          <w:szCs w:val="24"/>
        </w:rPr>
        <w:t>11.投标文件构成</w:t>
      </w:r>
      <w:bookmarkEnd w:id="40"/>
      <w:bookmarkEnd w:id="41"/>
      <w:bookmarkEnd w:id="42"/>
      <w:bookmarkEnd w:id="43"/>
    </w:p>
    <w:p>
      <w:pPr>
        <w:spacing w:line="360" w:lineRule="auto"/>
        <w:ind w:firstLine="480" w:firstLineChars="200"/>
        <w:rPr>
          <w:color w:val="000000"/>
          <w:sz w:val="24"/>
          <w:szCs w:val="24"/>
        </w:rPr>
      </w:pPr>
      <w:bookmarkStart w:id="44" w:name="_Hlt26668975"/>
      <w:bookmarkEnd w:id="44"/>
      <w:bookmarkStart w:id="45" w:name="_Hlt26954838"/>
      <w:bookmarkEnd w:id="45"/>
      <w:bookmarkStart w:id="46" w:name="_Hlt26670360"/>
      <w:bookmarkEnd w:id="46"/>
      <w:bookmarkStart w:id="47" w:name="_Toc513029219"/>
      <w:bookmarkStart w:id="48" w:name="_Toc14577357"/>
      <w:bookmarkStart w:id="49" w:name="_Toc49090509"/>
      <w:bookmarkStart w:id="50" w:name="_Toc513029216"/>
      <w:bookmarkStart w:id="51" w:name="_Toc49090507"/>
      <w:bookmarkStart w:id="52" w:name="_Toc14577354"/>
      <w:r>
        <w:rPr>
          <w:rFonts w:hint="eastAsia"/>
          <w:color w:val="000000"/>
          <w:sz w:val="24"/>
          <w:szCs w:val="24"/>
          <w:highlight w:val="yellow"/>
        </w:rPr>
        <w:t>各标段</w:t>
      </w:r>
      <w:r>
        <w:rPr>
          <w:rFonts w:hint="eastAsia"/>
          <w:color w:val="000000"/>
          <w:sz w:val="24"/>
          <w:szCs w:val="24"/>
        </w:rPr>
        <w:t>投标文件正、副本至少应提交（包含并不限于）以下投标材料：</w:t>
      </w:r>
    </w:p>
    <w:p>
      <w:pPr>
        <w:spacing w:line="360" w:lineRule="auto"/>
        <w:ind w:firstLine="480" w:firstLineChars="200"/>
        <w:rPr>
          <w:color w:val="000000"/>
          <w:sz w:val="24"/>
          <w:szCs w:val="24"/>
        </w:rPr>
      </w:pPr>
      <w:r>
        <w:rPr>
          <w:rFonts w:hint="eastAsia"/>
          <w:color w:val="000000"/>
          <w:sz w:val="24"/>
          <w:szCs w:val="24"/>
        </w:rPr>
        <w:t>11.1 资信证明文件</w:t>
      </w:r>
    </w:p>
    <w:p>
      <w:pPr>
        <w:spacing w:line="360" w:lineRule="auto"/>
        <w:ind w:firstLine="480" w:firstLineChars="200"/>
        <w:rPr>
          <w:color w:val="000000"/>
          <w:sz w:val="24"/>
          <w:szCs w:val="24"/>
        </w:rPr>
      </w:pPr>
      <w:r>
        <w:rPr>
          <w:rFonts w:hint="eastAsia"/>
          <w:color w:val="000000"/>
          <w:sz w:val="24"/>
          <w:szCs w:val="24"/>
        </w:rPr>
        <w:t>11.2 资格性审查响应对照表</w:t>
      </w:r>
    </w:p>
    <w:p>
      <w:pPr>
        <w:spacing w:line="360" w:lineRule="auto"/>
        <w:ind w:firstLine="480" w:firstLineChars="200"/>
        <w:rPr>
          <w:bCs/>
          <w:color w:val="000000"/>
          <w:sz w:val="24"/>
          <w:szCs w:val="24"/>
        </w:rPr>
      </w:pPr>
      <w:r>
        <w:rPr>
          <w:rFonts w:hint="eastAsia"/>
          <w:color w:val="000000"/>
          <w:sz w:val="24"/>
          <w:szCs w:val="24"/>
        </w:rPr>
        <w:t>11.3 符合性检查响应对照表</w:t>
      </w:r>
    </w:p>
    <w:p>
      <w:pPr>
        <w:spacing w:line="360" w:lineRule="auto"/>
        <w:ind w:firstLine="480" w:firstLineChars="200"/>
        <w:rPr>
          <w:color w:val="000000"/>
          <w:sz w:val="24"/>
          <w:szCs w:val="24"/>
        </w:rPr>
      </w:pPr>
      <w:r>
        <w:rPr>
          <w:rFonts w:hint="eastAsia"/>
          <w:color w:val="000000"/>
          <w:sz w:val="24"/>
          <w:szCs w:val="24"/>
        </w:rPr>
        <w:t>11.4 投标函</w:t>
      </w:r>
    </w:p>
    <w:p>
      <w:pPr>
        <w:spacing w:line="360" w:lineRule="auto"/>
        <w:ind w:firstLine="480" w:firstLineChars="200"/>
        <w:rPr>
          <w:color w:val="000000"/>
          <w:sz w:val="24"/>
          <w:szCs w:val="24"/>
        </w:rPr>
      </w:pPr>
      <w:r>
        <w:rPr>
          <w:rFonts w:hint="eastAsia"/>
          <w:color w:val="000000"/>
          <w:sz w:val="24"/>
          <w:szCs w:val="24"/>
        </w:rPr>
        <w:t>11.5 开标一览表（详见投标文件格式，用于唱标）</w:t>
      </w:r>
    </w:p>
    <w:p>
      <w:pPr>
        <w:pStyle w:val="7"/>
        <w:spacing w:line="360" w:lineRule="auto"/>
        <w:ind w:firstLine="480" w:firstLineChars="200"/>
        <w:rPr>
          <w:color w:val="000000"/>
          <w:sz w:val="24"/>
          <w:szCs w:val="24"/>
        </w:rPr>
      </w:pPr>
      <w:r>
        <w:rPr>
          <w:rFonts w:hint="eastAsia"/>
          <w:color w:val="000000"/>
          <w:sz w:val="24"/>
          <w:szCs w:val="24"/>
        </w:rPr>
        <w:t>11.6报价清单（详见投标文件格式）</w:t>
      </w:r>
    </w:p>
    <w:p>
      <w:pPr>
        <w:spacing w:line="360" w:lineRule="auto"/>
        <w:ind w:firstLine="480" w:firstLineChars="200"/>
        <w:rPr>
          <w:color w:val="000000"/>
          <w:sz w:val="24"/>
          <w:szCs w:val="24"/>
        </w:rPr>
      </w:pPr>
      <w:r>
        <w:rPr>
          <w:rFonts w:hint="eastAsia"/>
          <w:color w:val="000000"/>
          <w:sz w:val="24"/>
          <w:szCs w:val="24"/>
        </w:rPr>
        <w:t>11.7</w:t>
      </w:r>
      <w:r>
        <w:rPr>
          <w:color w:val="000000"/>
          <w:sz w:val="24"/>
          <w:szCs w:val="24"/>
        </w:rPr>
        <w:t xml:space="preserve"> 技术参数响应及偏离表</w:t>
      </w:r>
    </w:p>
    <w:p>
      <w:pPr>
        <w:spacing w:line="360" w:lineRule="auto"/>
        <w:ind w:firstLine="480" w:firstLineChars="200"/>
        <w:rPr>
          <w:color w:val="000000"/>
          <w:sz w:val="24"/>
          <w:szCs w:val="24"/>
        </w:rPr>
      </w:pPr>
      <w:r>
        <w:rPr>
          <w:rFonts w:hint="eastAsia"/>
          <w:color w:val="000000"/>
          <w:sz w:val="24"/>
          <w:szCs w:val="24"/>
        </w:rPr>
        <w:t>11.8商务</w:t>
      </w:r>
      <w:r>
        <w:rPr>
          <w:color w:val="000000"/>
          <w:sz w:val="24"/>
          <w:szCs w:val="24"/>
        </w:rPr>
        <w:t>条款响应及偏离表</w:t>
      </w:r>
    </w:p>
    <w:p>
      <w:pPr>
        <w:spacing w:line="360" w:lineRule="auto"/>
        <w:ind w:firstLine="480" w:firstLineChars="200"/>
        <w:rPr>
          <w:color w:val="000000"/>
          <w:sz w:val="24"/>
          <w:szCs w:val="24"/>
        </w:rPr>
      </w:pPr>
      <w:r>
        <w:rPr>
          <w:rFonts w:hint="eastAsia"/>
          <w:color w:val="000000"/>
          <w:sz w:val="24"/>
          <w:szCs w:val="24"/>
        </w:rPr>
        <w:t>11.9</w:t>
      </w:r>
      <w:r>
        <w:rPr>
          <w:color w:val="000000"/>
          <w:sz w:val="24"/>
          <w:szCs w:val="24"/>
        </w:rPr>
        <w:t>盐城市政府采购事前信用承诺书</w:t>
      </w:r>
    </w:p>
    <w:p>
      <w:pPr>
        <w:spacing w:line="360" w:lineRule="auto"/>
        <w:ind w:firstLine="480" w:firstLineChars="200"/>
        <w:rPr>
          <w:color w:val="000000"/>
          <w:sz w:val="24"/>
          <w:szCs w:val="24"/>
        </w:rPr>
      </w:pPr>
      <w:r>
        <w:rPr>
          <w:rFonts w:hint="eastAsia"/>
          <w:color w:val="000000"/>
          <w:sz w:val="24"/>
          <w:szCs w:val="24"/>
        </w:rPr>
        <w:t>11.10招标文件中规定要求提供的证明材料和投标人认为需要提供的其他材料</w:t>
      </w:r>
    </w:p>
    <w:p>
      <w:pPr>
        <w:snapToGrid w:val="0"/>
        <w:spacing w:line="360" w:lineRule="auto"/>
        <w:ind w:firstLine="480" w:firstLineChars="200"/>
        <w:rPr>
          <w:color w:val="000000" w:themeColor="text1"/>
          <w:sz w:val="24"/>
          <w:szCs w:val="24"/>
        </w:rPr>
      </w:pPr>
      <w:r>
        <w:rPr>
          <w:rFonts w:hint="eastAsia"/>
          <w:color w:val="000000"/>
          <w:sz w:val="24"/>
          <w:szCs w:val="24"/>
        </w:rPr>
        <w:t>投标人应将投标文件按上述投标材料顺序装订成册，并编制投标文件资料目录。</w:t>
      </w:r>
      <w:r>
        <w:rPr>
          <w:color w:val="000000" w:themeColor="text1"/>
          <w:sz w:val="24"/>
          <w:szCs w:val="24"/>
        </w:rPr>
        <w:t>招标文件要求提供原件</w:t>
      </w:r>
      <w:r>
        <w:rPr>
          <w:rFonts w:hint="eastAsia"/>
          <w:color w:val="000000"/>
          <w:sz w:val="24"/>
          <w:szCs w:val="24"/>
        </w:rPr>
        <w:t>的必须</w:t>
      </w:r>
      <w:r>
        <w:rPr>
          <w:rFonts w:hint="eastAsia"/>
          <w:b/>
          <w:bCs/>
          <w:color w:val="000000"/>
          <w:sz w:val="24"/>
          <w:szCs w:val="24"/>
        </w:rPr>
        <w:t>按所投标段分别单</w:t>
      </w:r>
      <w:r>
        <w:rPr>
          <w:b/>
          <w:bCs/>
          <w:color w:val="000000" w:themeColor="text1"/>
          <w:sz w:val="24"/>
          <w:szCs w:val="24"/>
        </w:rPr>
        <w:t>独</w:t>
      </w:r>
      <w:r>
        <w:rPr>
          <w:color w:val="000000" w:themeColor="text1"/>
          <w:sz w:val="24"/>
          <w:szCs w:val="24"/>
        </w:rPr>
        <w:t>封装并与投标文件一起递交，评标结束后原件退回；未要求提</w:t>
      </w:r>
      <w:r>
        <w:rPr>
          <w:rFonts w:hint="eastAsia"/>
          <w:color w:val="000000" w:themeColor="text1"/>
          <w:sz w:val="24"/>
          <w:szCs w:val="24"/>
        </w:rPr>
        <w:t>。</w:t>
      </w:r>
      <w:r>
        <w:rPr>
          <w:color w:val="000000" w:themeColor="text1"/>
          <w:sz w:val="24"/>
          <w:szCs w:val="24"/>
        </w:rPr>
        <w:t>供原件的提供复印件，原件自带备查</w:t>
      </w:r>
      <w:r>
        <w:rPr>
          <w:rFonts w:hint="eastAsia"/>
          <w:color w:val="000000" w:themeColor="text1"/>
          <w:sz w:val="24"/>
          <w:szCs w:val="24"/>
        </w:rPr>
        <w:t>。</w:t>
      </w:r>
    </w:p>
    <w:p>
      <w:pPr>
        <w:pStyle w:val="2"/>
        <w:spacing w:after="0" w:line="360" w:lineRule="auto"/>
        <w:ind w:firstLine="482" w:firstLineChars="200"/>
      </w:pPr>
      <w:bookmarkStart w:id="53" w:name="_Toc105320195"/>
      <w:r>
        <w:rPr>
          <w:rFonts w:hint="eastAsia"/>
          <w:b/>
          <w:color w:val="000000"/>
          <w:sz w:val="24"/>
          <w:szCs w:val="24"/>
          <w:highlight w:val="yellow"/>
        </w:rPr>
        <w:t>标书正本一份，副本四份。</w:t>
      </w:r>
      <w:bookmarkEnd w:id="53"/>
      <w:r>
        <w:rPr>
          <w:rFonts w:hint="eastAsia"/>
          <w:b/>
          <w:color w:val="FF0000"/>
          <w:sz w:val="24"/>
          <w:szCs w:val="24"/>
          <w:highlight w:val="yellow"/>
        </w:rPr>
        <w:t>投标人</w:t>
      </w:r>
      <w:r>
        <w:rPr>
          <w:rFonts w:hint="eastAsia" w:ascii="宋体" w:hAnsi="宋体" w:cs="宋体"/>
          <w:b/>
          <w:color w:val="FF0000"/>
          <w:sz w:val="24"/>
          <w:highlight w:val="yellow"/>
        </w:rPr>
        <w:t>按所投标段分别编制投标文件。</w:t>
      </w:r>
    </w:p>
    <w:p>
      <w:pPr>
        <w:widowControl/>
        <w:shd w:val="clear" w:color="auto" w:fill="FFFFFF"/>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spacing w:line="360" w:lineRule="auto"/>
        <w:ind w:firstLine="480" w:firstLineChars="200"/>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spacing w:line="360" w:lineRule="auto"/>
        <w:ind w:firstLine="480" w:firstLineChars="200"/>
        <w:rPr>
          <w:bCs/>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p>
      <w:pPr>
        <w:pStyle w:val="6"/>
        <w:spacing w:before="0" w:after="0" w:line="360" w:lineRule="auto"/>
        <w:ind w:firstLine="420" w:firstLineChars="150"/>
        <w:rPr>
          <w:b w:val="0"/>
          <w:bCs w:val="0"/>
        </w:rPr>
      </w:pPr>
      <w:r>
        <w:rPr>
          <w:rFonts w:hint="eastAsia"/>
          <w:b w:val="0"/>
          <w:bCs w:val="0"/>
        </w:rPr>
        <w:t>13、供货一览表和投标配置与分项报价</w:t>
      </w:r>
      <w:bookmarkStart w:id="55" w:name="_Hlt26670373"/>
      <w:bookmarkEnd w:id="55"/>
      <w:r>
        <w:rPr>
          <w:rFonts w:hint="eastAsia"/>
          <w:b w:val="0"/>
          <w:bCs w:val="0"/>
        </w:rPr>
        <w:t>表</w:t>
      </w:r>
    </w:p>
    <w:p>
      <w:pPr>
        <w:spacing w:line="360" w:lineRule="auto"/>
        <w:ind w:firstLine="480" w:firstLineChars="200"/>
        <w:rPr>
          <w:rFonts w:ascii="宋体" w:hAnsi="宋体"/>
          <w:bCs/>
          <w:sz w:val="24"/>
        </w:rPr>
      </w:pPr>
      <w:r>
        <w:rPr>
          <w:rFonts w:hint="eastAsia" w:ascii="宋体" w:hAnsi="宋体"/>
          <w:bCs/>
          <w:sz w:val="24"/>
        </w:rPr>
        <w:t>13.1</w:t>
      </w:r>
      <w:r>
        <w:rPr>
          <w:rFonts w:hint="eastAsia" w:ascii="宋体" w:hAnsi="宋体"/>
          <w:sz w:val="24"/>
        </w:rPr>
        <w:t xml:space="preserve"> 投</w:t>
      </w:r>
      <w:bookmarkStart w:id="56" w:name="_Hlt26954840"/>
      <w:bookmarkEnd w:id="56"/>
      <w:r>
        <w:rPr>
          <w:rFonts w:hint="eastAsia" w:ascii="宋体" w:hAnsi="宋体"/>
          <w:sz w:val="24"/>
        </w:rPr>
        <w:t>标人应按照招标文件规定格式填报供货一览表、投标配置与分项报价表</w:t>
      </w:r>
      <w:bookmarkStart w:id="57" w:name="_Hlt26670399"/>
      <w:bookmarkEnd w:id="57"/>
      <w:r>
        <w:rPr>
          <w:rFonts w:hint="eastAsia" w:ascii="宋体" w:hAnsi="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80" w:firstLineChars="200"/>
        <w:rPr>
          <w:rFonts w:ascii="宋体" w:hAnsi="宋体"/>
          <w:sz w:val="24"/>
        </w:rPr>
      </w:pPr>
      <w:r>
        <w:rPr>
          <w:rFonts w:hint="eastAsia" w:ascii="宋体" w:hAnsi="宋体"/>
          <w:bCs/>
          <w:sz w:val="24"/>
        </w:rPr>
        <w:t>13.2</w:t>
      </w:r>
      <w:r>
        <w:rPr>
          <w:rFonts w:hint="eastAsia" w:ascii="宋体" w:hAnsi="宋体"/>
          <w:sz w:val="24"/>
        </w:rPr>
        <w:t xml:space="preserve"> 标的物</w:t>
      </w:r>
    </w:p>
    <w:p>
      <w:pPr>
        <w:spacing w:line="360" w:lineRule="auto"/>
        <w:ind w:firstLine="480" w:firstLineChars="200"/>
        <w:rPr>
          <w:rFonts w:ascii="宋体" w:hAnsi="宋体"/>
          <w:sz w:val="24"/>
        </w:rPr>
      </w:pPr>
      <w:r>
        <w:rPr>
          <w:rFonts w:hint="eastAsia" w:ascii="宋体" w:hAnsi="宋体"/>
          <w:bCs/>
          <w:sz w:val="24"/>
        </w:rPr>
        <w:t>采购人需求的货物供应、安装，调试及有关技术服务等</w:t>
      </w:r>
      <w:r>
        <w:rPr>
          <w:rFonts w:hint="eastAsia" w:ascii="宋体" w:hAnsi="宋体"/>
          <w:sz w:val="24"/>
        </w:rPr>
        <w:t>。</w:t>
      </w:r>
    </w:p>
    <w:p>
      <w:pPr>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pPr>
        <w:spacing w:line="360" w:lineRule="auto"/>
        <w:ind w:firstLine="480" w:firstLineChars="200"/>
        <w:rPr>
          <w:color w:val="000000"/>
          <w:sz w:val="24"/>
          <w:szCs w:val="24"/>
        </w:rPr>
      </w:pPr>
      <w:r>
        <w:rPr>
          <w:rFonts w:hint="eastAsia"/>
          <w:color w:val="000000"/>
          <w:sz w:val="24"/>
          <w:szCs w:val="24"/>
        </w:rPr>
        <w:t>本项目采用综合单价计价方法，投标人报综合单价、合价、总价。综合单价是指投标人负责为完成本次投标对应子目货物（含附配件）的采购、包装、运输、安装、调试、培训、验收、质保期内维保、售后服务等所需的一切费用，包括但不限于：货物（含附配件）的价格、包装费、运输费、装卸费、保险费、安装费、调试费、培训费、验收费、技术服务费、检测费、购置税、保险费、质保期内维保费、售后服务费、招标代理服务费、投标费用、管理费、税金、利润、各类风险费、不可预见费及其他一切相关费用等所有费用。中标后综合单价不可调整。</w:t>
      </w:r>
    </w:p>
    <w:p>
      <w:pPr>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pPr>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pPr>
        <w:spacing w:line="360" w:lineRule="auto"/>
        <w:ind w:firstLine="480" w:firstLineChars="200"/>
        <w:rPr>
          <w:rFonts w:ascii="宋体" w:hAnsi="宋体"/>
          <w:bCs/>
          <w:sz w:val="24"/>
        </w:rPr>
      </w:pPr>
      <w:r>
        <w:rPr>
          <w:rFonts w:hint="eastAsia" w:ascii="宋体" w:hAnsi="宋体"/>
          <w:sz w:val="24"/>
        </w:rPr>
        <w:t>13.5</w:t>
      </w:r>
      <w:r>
        <w:rPr>
          <w:rFonts w:hint="eastAsia" w:ascii="宋体" w:hAnsi="宋体"/>
          <w:bCs/>
          <w:sz w:val="24"/>
        </w:rPr>
        <w:t>投标货币</w:t>
      </w:r>
    </w:p>
    <w:p>
      <w:pPr>
        <w:spacing w:line="360" w:lineRule="auto"/>
        <w:ind w:firstLine="480" w:firstLineChars="200"/>
        <w:rPr>
          <w:rFonts w:ascii="宋体" w:hAnsi="宋体"/>
          <w:bCs/>
          <w:sz w:val="24"/>
        </w:rPr>
      </w:pPr>
      <w:r>
        <w:rPr>
          <w:rFonts w:hint="eastAsia" w:ascii="宋体" w:hAnsi="宋体"/>
          <w:bCs/>
          <w:sz w:val="24"/>
        </w:rPr>
        <w:t>投标文件中的货物单价和总价无特殊规定的采用人民币报价，以元为单位标注。</w:t>
      </w:r>
      <w:r>
        <w:rPr>
          <w:rFonts w:hint="eastAsia" w:ascii="宋体" w:hAnsi="宋体"/>
          <w:sz w:val="24"/>
        </w:rPr>
        <w:t>招标文件中另有规定的按规定执行。</w:t>
      </w:r>
    </w:p>
    <w:p>
      <w:pPr>
        <w:spacing w:line="360" w:lineRule="auto"/>
        <w:ind w:firstLine="480" w:firstLineChars="200"/>
        <w:rPr>
          <w:rFonts w:ascii="宋体" w:hAnsi="宋体"/>
          <w:sz w:val="24"/>
        </w:rPr>
      </w:pPr>
      <w:r>
        <w:rPr>
          <w:rFonts w:hint="eastAsia" w:ascii="宋体" w:hAnsi="宋体"/>
          <w:sz w:val="24"/>
        </w:rPr>
        <w:t>13.6</w:t>
      </w:r>
      <w:r>
        <w:rPr>
          <w:rFonts w:hint="eastAsia" w:ascii="宋体" w:hAnsi="宋体"/>
          <w:bCs/>
          <w:sz w:val="24"/>
        </w:rPr>
        <w:t xml:space="preserve"> 投标配置与分项报价表上的价格应按下列方式分开填写</w:t>
      </w:r>
      <w:r>
        <w:rPr>
          <w:rFonts w:hint="eastAsia" w:ascii="宋体" w:hAnsi="宋体"/>
          <w:sz w:val="24"/>
        </w:rPr>
        <w:t>：</w:t>
      </w:r>
    </w:p>
    <w:p>
      <w:pPr>
        <w:spacing w:line="360" w:lineRule="auto"/>
        <w:ind w:firstLine="480" w:firstLineChars="200"/>
        <w:rPr>
          <w:rFonts w:ascii="宋体" w:hAnsi="宋体"/>
          <w:bCs/>
          <w:sz w:val="24"/>
        </w:rPr>
      </w:pPr>
      <w:bookmarkStart w:id="58" w:name="_Hlt26954842"/>
      <w:bookmarkEnd w:id="58"/>
      <w:bookmarkStart w:id="59" w:name="_Hlt26954844"/>
      <w:bookmarkEnd w:id="59"/>
      <w:bookmarkStart w:id="60" w:name="_Hlt26670403"/>
      <w:bookmarkEnd w:id="60"/>
      <w:bookmarkStart w:id="61" w:name="_Hlt26668983"/>
      <w:bookmarkEnd w:id="61"/>
      <w:bookmarkStart w:id="62" w:name="_Hlt26670425"/>
      <w:bookmarkEnd w:id="62"/>
      <w:r>
        <w:rPr>
          <w:rFonts w:hint="eastAsia" w:ascii="宋体" w:hAnsi="宋体"/>
          <w:bCs/>
          <w:sz w:val="24"/>
        </w:rPr>
        <w:t xml:space="preserve">13.6.1 </w:t>
      </w:r>
      <w:r>
        <w:rPr>
          <w:rFonts w:hint="eastAsia" w:ascii="宋体" w:hAnsi="宋体"/>
          <w:sz w:val="24"/>
        </w:rPr>
        <w:t>项目总价：包括</w:t>
      </w:r>
      <w:r>
        <w:rPr>
          <w:rFonts w:hint="eastAsia" w:ascii="宋体" w:hAnsi="宋体"/>
          <w:bCs/>
          <w:sz w:val="24"/>
        </w:rPr>
        <w:t>买方需求的货物价格</w:t>
      </w:r>
      <w:r>
        <w:rPr>
          <w:rFonts w:hint="eastAsia" w:ascii="宋体" w:hAnsi="宋体"/>
          <w:sz w:val="24"/>
        </w:rPr>
        <w:t>、</w:t>
      </w:r>
      <w:r>
        <w:rPr>
          <w:rFonts w:hint="eastAsia" w:ascii="宋体" w:hAnsi="宋体"/>
          <w:bCs/>
          <w:sz w:val="24"/>
        </w:rPr>
        <w:t>质量保证费用、培训费用及售后服务费用，项目在指定地点、环境交付、安装、调试、验收所需费用和所有</w:t>
      </w:r>
      <w:r>
        <w:rPr>
          <w:rFonts w:hint="eastAsia" w:ascii="宋体" w:hAnsi="宋体"/>
          <w:sz w:val="24"/>
        </w:rPr>
        <w:t>相关税金费用</w:t>
      </w:r>
      <w:r>
        <w:rPr>
          <w:rFonts w:hint="eastAsia" w:ascii="宋体" w:hAnsi="宋体"/>
          <w:bCs/>
          <w:sz w:val="24"/>
        </w:rPr>
        <w:t>及为完成整个项目所产生的其它所有费用。</w:t>
      </w:r>
    </w:p>
    <w:p>
      <w:pPr>
        <w:spacing w:line="360" w:lineRule="auto"/>
        <w:ind w:firstLine="480" w:firstLineChars="200"/>
        <w:rPr>
          <w:rFonts w:ascii="宋体" w:hAnsi="宋体"/>
          <w:bCs/>
          <w:sz w:val="24"/>
        </w:rPr>
      </w:pPr>
      <w:r>
        <w:rPr>
          <w:rFonts w:hint="eastAsia" w:ascii="宋体" w:hAnsi="宋体"/>
          <w:sz w:val="24"/>
        </w:rPr>
        <w:t>13.6.2</w:t>
      </w:r>
      <w:r>
        <w:rPr>
          <w:rFonts w:hint="eastAsia" w:ascii="宋体" w:hAnsi="宋体"/>
          <w:bCs/>
          <w:sz w:val="24"/>
        </w:rPr>
        <w:t>项目单价按投标配置及分项报价表中要求填报。</w:t>
      </w:r>
    </w:p>
    <w:bookmarkEnd w:id="50"/>
    <w:bookmarkEnd w:id="51"/>
    <w:bookmarkEnd w:id="52"/>
    <w:p>
      <w:pPr>
        <w:widowControl/>
        <w:shd w:val="clear" w:color="auto" w:fill="FFFFFF"/>
        <w:spacing w:line="360" w:lineRule="auto"/>
        <w:ind w:firstLine="482" w:firstLineChars="200"/>
        <w:rPr>
          <w:b/>
          <w:sz w:val="24"/>
          <w:szCs w:val="24"/>
        </w:rPr>
      </w:pPr>
      <w:r>
        <w:rPr>
          <w:rFonts w:hint="eastAsia"/>
          <w:b/>
          <w:sz w:val="24"/>
          <w:szCs w:val="24"/>
        </w:rPr>
        <w:t>14.技术参数响应及偏离表、商务条款响应及偏离表及投标说明</w:t>
      </w:r>
    </w:p>
    <w:p>
      <w:pPr>
        <w:autoSpaceDE w:val="0"/>
        <w:autoSpaceDN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rFonts w:hint="eastAsia"/>
          <w:color w:val="000000"/>
          <w:sz w:val="24"/>
          <w:szCs w:val="24"/>
          <w:lang w:val="zh-CN"/>
        </w:rPr>
        <w:t>对招标文件中的技术与商务条款要求逐项作出响应或偏离，并说明原因；</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Style w:val="2"/>
        <w:ind w:firstLine="480" w:firstLineChars="200"/>
        <w:rPr>
          <w:lang w:val="zh-CN"/>
        </w:rPr>
      </w:pPr>
      <w:r>
        <w:rPr>
          <w:rFonts w:hint="eastAsia"/>
          <w:color w:val="000000"/>
          <w:sz w:val="24"/>
          <w:szCs w:val="24"/>
          <w:lang w:val="zh-CN"/>
        </w:rPr>
        <w:t>14.3 培训计划；</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 xml:space="preserve">4 </w:t>
      </w:r>
      <w:r>
        <w:rPr>
          <w:rFonts w:hint="eastAsia"/>
          <w:color w:val="000000"/>
          <w:sz w:val="24"/>
          <w:szCs w:val="24"/>
          <w:lang w:val="zh-CN"/>
        </w:rPr>
        <w:t>详细阐述所投本项目的主要组成部分、实现思路及关键技术；</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5</w:t>
      </w:r>
      <w:r>
        <w:rPr>
          <w:rFonts w:hint="eastAsia"/>
          <w:color w:val="000000"/>
          <w:sz w:val="24"/>
          <w:szCs w:val="24"/>
          <w:lang w:val="zh-CN"/>
        </w:rPr>
        <w:t xml:space="preserve"> 投标人认为需要的其他技术文件或说明。</w:t>
      </w:r>
    </w:p>
    <w:p>
      <w:pPr>
        <w:widowControl/>
        <w:shd w:val="clear" w:color="auto" w:fill="FFFFFF"/>
        <w:spacing w:line="360" w:lineRule="auto"/>
        <w:ind w:firstLine="482" w:firstLineChars="200"/>
        <w:rPr>
          <w:b/>
          <w:sz w:val="24"/>
          <w:szCs w:val="24"/>
        </w:rPr>
      </w:pPr>
      <w:r>
        <w:rPr>
          <w:rFonts w:hint="eastAsia"/>
          <w:b/>
          <w:sz w:val="24"/>
          <w:szCs w:val="24"/>
        </w:rPr>
        <w:t>15.服务承诺及售后服务机构、人员的情况介绍</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widowControl/>
        <w:shd w:val="clear" w:color="auto" w:fill="FFFFFF"/>
        <w:spacing w:line="360" w:lineRule="auto"/>
        <w:ind w:firstLine="482" w:firstLineChars="200"/>
        <w:rPr>
          <w:b/>
          <w:sz w:val="24"/>
          <w:szCs w:val="24"/>
        </w:rPr>
      </w:pPr>
      <w:bookmarkStart w:id="63" w:name="_Toc49090510"/>
      <w:bookmarkStart w:id="64" w:name="_Toc14577359"/>
      <w:r>
        <w:rPr>
          <w:rFonts w:hint="eastAsia"/>
          <w:b/>
          <w:sz w:val="24"/>
          <w:szCs w:val="24"/>
        </w:rPr>
        <w:t>16.投标函和开标一览表</w:t>
      </w:r>
    </w:p>
    <w:p>
      <w:pPr>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spacing w:line="360" w:lineRule="auto"/>
        <w:ind w:firstLine="480" w:firstLineChars="200"/>
        <w:rPr>
          <w:color w:val="000000"/>
          <w:sz w:val="24"/>
          <w:szCs w:val="24"/>
        </w:rPr>
      </w:pPr>
      <w:r>
        <w:rPr>
          <w:rFonts w:hint="eastAsia"/>
          <w:bCs/>
          <w:color w:val="000000"/>
          <w:sz w:val="24"/>
          <w:szCs w:val="24"/>
        </w:rPr>
        <w:t>16.2开标一览表中的价格应与投标文件中投标配置与分项报价表中的价格（如有）一致，如不一致，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p>
    <w:bookmarkEnd w:id="63"/>
    <w:bookmarkEnd w:id="64"/>
    <w:p>
      <w:pPr>
        <w:widowControl/>
        <w:shd w:val="clear" w:color="auto" w:fill="FFFFFF"/>
        <w:spacing w:line="360" w:lineRule="auto"/>
        <w:ind w:firstLine="482" w:firstLineChars="200"/>
        <w:rPr>
          <w:b/>
          <w:sz w:val="24"/>
          <w:szCs w:val="24"/>
        </w:rPr>
      </w:pPr>
      <w:bookmarkStart w:id="65" w:name="_Hlt26954734"/>
      <w:bookmarkEnd w:id="65"/>
      <w:bookmarkStart w:id="66" w:name="_Hlt26670489"/>
      <w:bookmarkEnd w:id="66"/>
      <w:bookmarkStart w:id="67" w:name="_Hlt26954850"/>
      <w:bookmarkEnd w:id="67"/>
      <w:bookmarkStart w:id="68" w:name="_Toc49090511"/>
      <w:bookmarkStart w:id="69" w:name="_Toc14577360"/>
      <w:r>
        <w:rPr>
          <w:rFonts w:hint="eastAsia"/>
          <w:b/>
          <w:sz w:val="24"/>
          <w:szCs w:val="24"/>
        </w:rPr>
        <w:t>17.投标有效期</w:t>
      </w:r>
      <w:bookmarkEnd w:id="68"/>
      <w:bookmarkEnd w:id="69"/>
    </w:p>
    <w:p>
      <w:pPr>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widowControl/>
        <w:shd w:val="clear" w:color="auto" w:fill="FFFFFF"/>
        <w:spacing w:line="360" w:lineRule="auto"/>
        <w:ind w:firstLine="482" w:firstLineChars="200"/>
        <w:rPr>
          <w:b/>
          <w:sz w:val="24"/>
          <w:szCs w:val="24"/>
        </w:rPr>
      </w:pPr>
      <w:bookmarkStart w:id="70" w:name="_Hlt26954739"/>
      <w:bookmarkEnd w:id="70"/>
      <w:bookmarkStart w:id="71" w:name="_Hlt26954852"/>
      <w:bookmarkEnd w:id="71"/>
      <w:bookmarkStart w:id="72" w:name="_Toc49090512"/>
      <w:bookmarkStart w:id="73" w:name="_Toc14577361"/>
      <w:r>
        <w:rPr>
          <w:rFonts w:hint="eastAsia"/>
          <w:b/>
          <w:sz w:val="24"/>
          <w:szCs w:val="24"/>
        </w:rPr>
        <w:t>18.投标文件份数和签署</w:t>
      </w:r>
      <w:bookmarkEnd w:id="72"/>
      <w:bookmarkEnd w:id="73"/>
    </w:p>
    <w:p>
      <w:pPr>
        <w:spacing w:line="360" w:lineRule="auto"/>
        <w:ind w:firstLine="480" w:firstLineChars="200"/>
        <w:rPr>
          <w:bCs/>
          <w:color w:val="000000"/>
          <w:sz w:val="24"/>
          <w:szCs w:val="24"/>
        </w:rPr>
      </w:pPr>
      <w:bookmarkStart w:id="74" w:name="_Toc16938540"/>
      <w:bookmarkStart w:id="75" w:name="_Toc20823296"/>
      <w:bookmarkStart w:id="76" w:name="_Toc513029224"/>
      <w:bookmarkStart w:id="77" w:name="_Toc120614217"/>
      <w:r>
        <w:rPr>
          <w:rFonts w:hint="eastAsia"/>
          <w:color w:val="000000"/>
          <w:sz w:val="24"/>
          <w:szCs w:val="24"/>
        </w:rPr>
        <w:t>18.1</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5"/>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widowControl/>
        <w:shd w:val="clear" w:color="auto" w:fill="FFFFFF"/>
        <w:spacing w:line="360" w:lineRule="auto"/>
        <w:ind w:firstLine="482" w:firstLineChars="200"/>
        <w:rPr>
          <w:b/>
          <w:sz w:val="24"/>
          <w:szCs w:val="24"/>
        </w:rPr>
      </w:pPr>
      <w:r>
        <w:rPr>
          <w:rFonts w:hint="eastAsia"/>
          <w:b/>
          <w:sz w:val="24"/>
          <w:szCs w:val="24"/>
        </w:rPr>
        <w:t>四、投标文件的递交</w:t>
      </w:r>
      <w:bookmarkEnd w:id="74"/>
      <w:bookmarkEnd w:id="75"/>
      <w:bookmarkEnd w:id="76"/>
      <w:bookmarkEnd w:id="77"/>
    </w:p>
    <w:p>
      <w:pPr>
        <w:widowControl/>
        <w:shd w:val="clear" w:color="auto" w:fill="FFFFFF"/>
        <w:spacing w:line="360" w:lineRule="auto"/>
        <w:ind w:firstLine="482" w:firstLineChars="200"/>
        <w:rPr>
          <w:b/>
          <w:sz w:val="24"/>
          <w:szCs w:val="24"/>
        </w:rPr>
      </w:pPr>
      <w:bookmarkStart w:id="78" w:name="_Toc16938541"/>
      <w:bookmarkStart w:id="79" w:name="_Toc462564084"/>
      <w:bookmarkStart w:id="80" w:name="_Toc513029225"/>
      <w:bookmarkStart w:id="81" w:name="_Toc20823297"/>
      <w:bookmarkStart w:id="82" w:name="_Toc513029226"/>
      <w:bookmarkStart w:id="83" w:name="_Toc20823298"/>
      <w:bookmarkStart w:id="84" w:name="_Toc16938542"/>
      <w:r>
        <w:rPr>
          <w:rFonts w:hint="eastAsia"/>
          <w:b/>
          <w:sz w:val="24"/>
          <w:szCs w:val="24"/>
        </w:rPr>
        <w:t>19.</w:t>
      </w:r>
      <w:bookmarkEnd w:id="78"/>
      <w:bookmarkEnd w:id="79"/>
      <w:bookmarkEnd w:id="80"/>
      <w:bookmarkEnd w:id="81"/>
      <w:r>
        <w:rPr>
          <w:rFonts w:hint="eastAsia"/>
          <w:b/>
          <w:sz w:val="24"/>
          <w:szCs w:val="24"/>
        </w:rPr>
        <w:t>投标文件的递交</w:t>
      </w:r>
    </w:p>
    <w:p>
      <w:pPr>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spacing w:line="360" w:lineRule="auto"/>
        <w:ind w:firstLine="480" w:firstLineChars="200"/>
        <w:rPr>
          <w:bCs/>
          <w:color w:val="000000"/>
          <w:sz w:val="24"/>
          <w:szCs w:val="24"/>
        </w:rPr>
      </w:pPr>
      <w:r>
        <w:rPr>
          <w:rFonts w:hint="eastAsia"/>
          <w:bCs/>
          <w:color w:val="000000"/>
          <w:sz w:val="24"/>
          <w:szCs w:val="24"/>
        </w:rPr>
        <w:t>19.2.1注明投标人名称，如因标注不清而产生的后果由投标人自负。按招标公告中注明的地址送达；</w:t>
      </w:r>
    </w:p>
    <w:p>
      <w:pPr>
        <w:spacing w:line="360" w:lineRule="auto"/>
        <w:ind w:firstLine="480" w:firstLineChars="200"/>
        <w:rPr>
          <w:bCs/>
          <w:color w:val="000000"/>
          <w:sz w:val="24"/>
          <w:szCs w:val="24"/>
        </w:rPr>
      </w:pPr>
      <w:r>
        <w:rPr>
          <w:rFonts w:hint="eastAsia"/>
          <w:bCs/>
          <w:color w:val="000000"/>
          <w:sz w:val="24"/>
          <w:szCs w:val="24"/>
        </w:rPr>
        <w:t>19.2.2注明投标项目名称、标书编号及分包号。</w:t>
      </w:r>
    </w:p>
    <w:p>
      <w:pPr>
        <w:spacing w:line="360" w:lineRule="auto"/>
        <w:ind w:firstLine="480" w:firstLineChars="200"/>
        <w:rPr>
          <w:bCs/>
          <w:color w:val="000000"/>
          <w:sz w:val="24"/>
          <w:szCs w:val="24"/>
        </w:rPr>
      </w:pPr>
      <w:r>
        <w:rPr>
          <w:rFonts w:hint="eastAsia"/>
          <w:color w:val="000000"/>
          <w:sz w:val="24"/>
          <w:szCs w:val="24"/>
        </w:rPr>
        <w:t>19.2.3</w:t>
      </w:r>
      <w:r>
        <w:rPr>
          <w:rFonts w:hint="eastAsia"/>
          <w:bCs/>
          <w:color w:val="000000"/>
          <w:sz w:val="24"/>
          <w:szCs w:val="24"/>
        </w:rPr>
        <w:t>未按要求密封和加写标记，</w:t>
      </w:r>
      <w:r>
        <w:rPr>
          <w:rFonts w:hint="eastAsia"/>
          <w:color w:val="000000"/>
          <w:sz w:val="24"/>
          <w:szCs w:val="24"/>
        </w:rPr>
        <w:t>招标人或招标代理机构</w:t>
      </w:r>
      <w:r>
        <w:rPr>
          <w:rFonts w:hint="eastAsia"/>
          <w:bCs/>
          <w:color w:val="000000"/>
          <w:sz w:val="24"/>
          <w:szCs w:val="24"/>
        </w:rPr>
        <w:t>对误投或过早启封概不负责。对由此造成提前开封的投标文件，</w:t>
      </w:r>
      <w:r>
        <w:rPr>
          <w:rFonts w:hint="eastAsia"/>
          <w:color w:val="000000"/>
          <w:sz w:val="24"/>
          <w:szCs w:val="24"/>
        </w:rPr>
        <w:t>招标人或招标代理机构</w:t>
      </w:r>
      <w:r>
        <w:rPr>
          <w:rFonts w:hint="eastAsia"/>
          <w:bCs/>
          <w:color w:val="000000"/>
          <w:sz w:val="24"/>
          <w:szCs w:val="24"/>
        </w:rPr>
        <w:t>将予以拒绝，作无效投标处理。</w:t>
      </w:r>
    </w:p>
    <w:p>
      <w:pPr>
        <w:widowControl/>
        <w:shd w:val="clear" w:color="auto" w:fill="FFFFFF"/>
        <w:spacing w:line="360" w:lineRule="auto"/>
        <w:ind w:firstLine="482" w:firstLineChars="200"/>
        <w:rPr>
          <w:b/>
          <w:sz w:val="24"/>
          <w:szCs w:val="24"/>
        </w:rPr>
      </w:pPr>
      <w:r>
        <w:rPr>
          <w:rFonts w:hint="eastAsia"/>
          <w:b/>
          <w:sz w:val="24"/>
          <w:szCs w:val="24"/>
        </w:rPr>
        <w:t>20.投标截止日期</w:t>
      </w:r>
      <w:bookmarkEnd w:id="82"/>
      <w:bookmarkEnd w:id="83"/>
      <w:bookmarkEnd w:id="84"/>
    </w:p>
    <w:p>
      <w:pPr>
        <w:spacing w:line="360" w:lineRule="auto"/>
        <w:ind w:firstLine="480" w:firstLineChars="200"/>
        <w:rPr>
          <w:bCs/>
          <w:color w:val="000000"/>
          <w:sz w:val="24"/>
          <w:szCs w:val="24"/>
        </w:rPr>
      </w:pPr>
      <w:bookmarkStart w:id="85" w:name="_Toc513029227"/>
      <w:bookmarkStart w:id="86" w:name="_Toc20823299"/>
      <w:bookmarkStart w:id="87" w:name="_Toc16938543"/>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widowControl/>
        <w:shd w:val="clear" w:color="auto" w:fill="FFFFFF"/>
        <w:spacing w:line="360" w:lineRule="auto"/>
        <w:ind w:firstLine="482" w:firstLineChars="200"/>
        <w:rPr>
          <w:b/>
          <w:sz w:val="24"/>
          <w:szCs w:val="24"/>
        </w:rPr>
      </w:pPr>
      <w:r>
        <w:rPr>
          <w:rFonts w:hint="eastAsia"/>
          <w:b/>
          <w:sz w:val="24"/>
          <w:szCs w:val="24"/>
        </w:rPr>
        <w:t>21.迟交的投标文件</w:t>
      </w:r>
      <w:bookmarkEnd w:id="85"/>
      <w:bookmarkEnd w:id="86"/>
      <w:bookmarkEnd w:id="87"/>
    </w:p>
    <w:p>
      <w:pPr>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widowControl/>
        <w:shd w:val="clear" w:color="auto" w:fill="FFFFFF"/>
        <w:spacing w:line="360" w:lineRule="auto"/>
        <w:ind w:firstLine="482" w:firstLineChars="200"/>
        <w:rPr>
          <w:b/>
          <w:sz w:val="24"/>
          <w:szCs w:val="24"/>
        </w:rPr>
      </w:pPr>
      <w:bookmarkStart w:id="88" w:name="_Toc20823300"/>
      <w:bookmarkStart w:id="89" w:name="_Toc513029228"/>
      <w:bookmarkStart w:id="90" w:name="_Toc16938544"/>
      <w:r>
        <w:rPr>
          <w:rFonts w:hint="eastAsia"/>
          <w:b/>
          <w:sz w:val="24"/>
          <w:szCs w:val="24"/>
        </w:rPr>
        <w:t>22.投标文件的修改和撤回</w:t>
      </w:r>
      <w:bookmarkEnd w:id="88"/>
      <w:bookmarkEnd w:id="89"/>
      <w:bookmarkEnd w:id="90"/>
    </w:p>
    <w:p>
      <w:pPr>
        <w:spacing w:line="360" w:lineRule="auto"/>
        <w:ind w:firstLine="480" w:firstLineChars="200"/>
        <w:rPr>
          <w:color w:val="000000"/>
          <w:sz w:val="24"/>
          <w:szCs w:val="24"/>
        </w:rPr>
      </w:pPr>
      <w:bookmarkStart w:id="91" w:name="_Toc120614218"/>
      <w:bookmarkStart w:id="92" w:name="_Toc513029229"/>
      <w:bookmarkStart w:id="93" w:name="_Toc16938545"/>
      <w:bookmarkStart w:id="94" w:name="_Toc20823301"/>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widowControl/>
        <w:shd w:val="clear" w:color="auto" w:fill="FFFFFF"/>
        <w:spacing w:line="360" w:lineRule="auto"/>
        <w:ind w:firstLine="482" w:firstLineChars="200"/>
        <w:rPr>
          <w:b/>
          <w:sz w:val="24"/>
          <w:szCs w:val="24"/>
        </w:rPr>
      </w:pPr>
      <w:r>
        <w:rPr>
          <w:rFonts w:hint="eastAsia"/>
          <w:b/>
          <w:sz w:val="24"/>
          <w:szCs w:val="24"/>
        </w:rPr>
        <w:t>五、开标与评标</w:t>
      </w:r>
      <w:bookmarkEnd w:id="91"/>
      <w:bookmarkEnd w:id="92"/>
      <w:bookmarkEnd w:id="93"/>
      <w:bookmarkEnd w:id="94"/>
    </w:p>
    <w:p>
      <w:pPr>
        <w:widowControl/>
        <w:shd w:val="clear" w:color="auto" w:fill="FFFFFF"/>
        <w:spacing w:line="360" w:lineRule="auto"/>
        <w:ind w:firstLine="482" w:firstLineChars="200"/>
        <w:rPr>
          <w:b/>
          <w:sz w:val="24"/>
          <w:szCs w:val="24"/>
        </w:rPr>
      </w:pPr>
      <w:bookmarkStart w:id="95" w:name="_Toc513029230"/>
      <w:bookmarkStart w:id="96" w:name="_Toc16938546"/>
      <w:bookmarkStart w:id="97" w:name="_Toc20823302"/>
      <w:r>
        <w:rPr>
          <w:rFonts w:hint="eastAsia"/>
          <w:b/>
          <w:sz w:val="24"/>
          <w:szCs w:val="24"/>
        </w:rPr>
        <w:t>23.开标</w:t>
      </w:r>
      <w:bookmarkEnd w:id="95"/>
      <w:bookmarkEnd w:id="96"/>
      <w:bookmarkEnd w:id="97"/>
    </w:p>
    <w:p>
      <w:pPr>
        <w:spacing w:line="360" w:lineRule="auto"/>
        <w:ind w:firstLine="480" w:firstLineChars="200"/>
        <w:rPr>
          <w:color w:val="000000"/>
          <w:sz w:val="24"/>
          <w:szCs w:val="24"/>
        </w:rPr>
      </w:pPr>
      <w:bookmarkStart w:id="98" w:name="_Toc16938547"/>
      <w:bookmarkStart w:id="99" w:name="_Toc20823303"/>
      <w:bookmarkStart w:id="100" w:name="_Toc513029231"/>
      <w:r>
        <w:rPr>
          <w:rFonts w:hint="eastAsia"/>
          <w:color w:val="000000"/>
          <w:sz w:val="24"/>
          <w:szCs w:val="24"/>
        </w:rPr>
        <w:t>23.1招标人或招标代理机构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spacing w:line="360" w:lineRule="auto"/>
        <w:ind w:firstLine="480" w:firstLineChars="200"/>
        <w:rPr>
          <w:bCs/>
          <w:color w:val="000000"/>
          <w:sz w:val="24"/>
          <w:szCs w:val="24"/>
        </w:rPr>
      </w:pPr>
      <w:r>
        <w:rPr>
          <w:rFonts w:hint="eastAsia"/>
          <w:color w:val="000000"/>
          <w:sz w:val="24"/>
          <w:szCs w:val="24"/>
        </w:rPr>
        <w:t>23.3</w:t>
      </w:r>
      <w:r>
        <w:rPr>
          <w:rFonts w:hint="eastAsia"/>
          <w:bCs/>
          <w:color w:val="000000"/>
          <w:sz w:val="24"/>
          <w:szCs w:val="24"/>
        </w:rPr>
        <w:t>按照规定同意撤回的投标将不予开封。</w:t>
      </w:r>
    </w:p>
    <w:p>
      <w:pPr>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spacing w:line="360" w:lineRule="auto"/>
        <w:ind w:firstLine="482" w:firstLineChars="200"/>
        <w:rPr>
          <w:b/>
          <w:bCs/>
          <w:sz w:val="24"/>
          <w:szCs w:val="24"/>
        </w:rPr>
      </w:pPr>
      <w:r>
        <w:rPr>
          <w:rFonts w:hint="eastAsia"/>
          <w:b/>
          <w:bCs/>
          <w:sz w:val="24"/>
          <w:szCs w:val="24"/>
        </w:rPr>
        <w:t>23.6 投标人在报价时不允许采用选择性报价，否则将被视为无效投标。</w:t>
      </w:r>
    </w:p>
    <w:p>
      <w:pPr>
        <w:widowControl/>
        <w:shd w:val="clear" w:color="auto" w:fill="FFFFFF"/>
        <w:spacing w:line="360" w:lineRule="auto"/>
        <w:ind w:firstLine="482" w:firstLineChars="200"/>
        <w:rPr>
          <w:b/>
          <w:sz w:val="24"/>
          <w:szCs w:val="24"/>
        </w:rPr>
      </w:pPr>
      <w:r>
        <w:rPr>
          <w:rFonts w:hint="eastAsia"/>
          <w:b/>
          <w:sz w:val="24"/>
          <w:szCs w:val="24"/>
        </w:rPr>
        <w:t>24.资格审查</w:t>
      </w:r>
    </w:p>
    <w:p>
      <w:pPr>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80" w:firstLineChars="200"/>
        <w:textAlignment w:val="baseline"/>
        <w:rPr>
          <w:color w:val="000000"/>
          <w:sz w:val="24"/>
          <w:szCs w:val="24"/>
        </w:rPr>
      </w:pPr>
      <w:r>
        <w:rPr>
          <w:color w:val="000000"/>
          <w:sz w:val="24"/>
          <w:szCs w:val="24"/>
        </w:rPr>
        <w:t>合格投标人不足3家的，不得评标。</w:t>
      </w:r>
    </w:p>
    <w:p>
      <w:pPr>
        <w:widowControl/>
        <w:shd w:val="clear" w:color="auto" w:fill="FFFFFF"/>
        <w:spacing w:line="360" w:lineRule="auto"/>
        <w:ind w:firstLine="482" w:firstLineChars="200"/>
        <w:rPr>
          <w:b/>
          <w:sz w:val="24"/>
          <w:szCs w:val="24"/>
        </w:rPr>
      </w:pPr>
      <w:r>
        <w:rPr>
          <w:rFonts w:hint="eastAsia"/>
          <w:b/>
          <w:sz w:val="24"/>
          <w:szCs w:val="24"/>
        </w:rPr>
        <w:t>25、评标委员会</w:t>
      </w:r>
    </w:p>
    <w:p>
      <w:pPr>
        <w:spacing w:line="360" w:lineRule="auto"/>
        <w:ind w:firstLine="480" w:firstLineChars="200"/>
        <w:rPr>
          <w:b/>
          <w:color w:val="000000"/>
          <w:sz w:val="24"/>
          <w:szCs w:val="24"/>
        </w:rPr>
      </w:pPr>
      <w:r>
        <w:rPr>
          <w:rFonts w:hint="eastAsia"/>
          <w:color w:val="000000"/>
          <w:sz w:val="24"/>
          <w:szCs w:val="24"/>
        </w:rPr>
        <w:t>25.1资格审查通过后，采购人将组织评标委员会（以下简称评委会）进行评标。</w:t>
      </w:r>
    </w:p>
    <w:p>
      <w:pPr>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widowControl/>
        <w:shd w:val="clear" w:color="auto" w:fill="FFFFFF"/>
        <w:spacing w:line="360" w:lineRule="auto"/>
        <w:ind w:firstLine="482" w:firstLineChars="200"/>
        <w:rPr>
          <w:b/>
          <w:sz w:val="24"/>
          <w:szCs w:val="24"/>
        </w:rPr>
      </w:pPr>
      <w:r>
        <w:rPr>
          <w:rFonts w:hint="eastAsia"/>
          <w:b/>
          <w:sz w:val="24"/>
          <w:szCs w:val="24"/>
        </w:rPr>
        <w:t>26.评标过程的保密与公正</w:t>
      </w:r>
    </w:p>
    <w:bookmarkEnd w:id="98"/>
    <w:bookmarkEnd w:id="99"/>
    <w:bookmarkEnd w:id="100"/>
    <w:p>
      <w:pPr>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widowControl/>
        <w:shd w:val="clear" w:color="auto" w:fill="FFFFFF"/>
        <w:spacing w:line="360" w:lineRule="auto"/>
        <w:ind w:firstLine="482" w:firstLineChars="200"/>
        <w:rPr>
          <w:b/>
          <w:sz w:val="24"/>
          <w:szCs w:val="24"/>
        </w:rPr>
      </w:pPr>
      <w:bookmarkStart w:id="101" w:name="_Toc513029232"/>
      <w:bookmarkStart w:id="102" w:name="_Toc20823304"/>
      <w:bookmarkStart w:id="103" w:name="_Toc16938548"/>
      <w:r>
        <w:rPr>
          <w:rFonts w:hint="eastAsia"/>
          <w:b/>
          <w:sz w:val="24"/>
          <w:szCs w:val="24"/>
        </w:rPr>
        <w:t>27.投标的澄清</w:t>
      </w:r>
      <w:bookmarkEnd w:id="101"/>
      <w:bookmarkEnd w:id="102"/>
      <w:bookmarkEnd w:id="103"/>
    </w:p>
    <w:p>
      <w:pPr>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widowControl/>
        <w:shd w:val="clear" w:color="auto" w:fill="FFFFFF"/>
        <w:spacing w:line="360" w:lineRule="auto"/>
        <w:ind w:firstLine="482" w:firstLineChars="200"/>
        <w:rPr>
          <w:b/>
          <w:sz w:val="24"/>
          <w:szCs w:val="24"/>
        </w:rPr>
      </w:pPr>
      <w:bookmarkStart w:id="104" w:name="_Toc20823305"/>
      <w:bookmarkStart w:id="105" w:name="_Toc513029233"/>
      <w:bookmarkStart w:id="106" w:name="_Toc16938549"/>
      <w:r>
        <w:rPr>
          <w:rFonts w:hint="eastAsia"/>
          <w:b/>
          <w:sz w:val="24"/>
          <w:szCs w:val="24"/>
        </w:rPr>
        <w:t>28.对投标文件的评审</w:t>
      </w:r>
      <w:bookmarkEnd w:id="104"/>
      <w:bookmarkEnd w:id="105"/>
      <w:bookmarkEnd w:id="106"/>
    </w:p>
    <w:p>
      <w:pPr>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spacing w:line="360" w:lineRule="auto"/>
        <w:ind w:firstLine="482" w:firstLineChars="200"/>
        <w:rPr>
          <w:b/>
          <w:bCs/>
          <w:color w:val="000000"/>
          <w:sz w:val="24"/>
          <w:szCs w:val="24"/>
        </w:rPr>
      </w:pPr>
      <w:r>
        <w:rPr>
          <w:rFonts w:hint="eastAsia"/>
          <w:b/>
          <w:bCs/>
          <w:color w:val="000000"/>
          <w:sz w:val="24"/>
          <w:szCs w:val="24"/>
        </w:rPr>
        <w:t>28.3如果投标文件实质上没有响应招标文件的要求，评委会将按无效投标处理，投标人不得通过修改或撤销不合要求的偏离或保留而使其投标成为实质性响应的投标。</w:t>
      </w:r>
    </w:p>
    <w:p>
      <w:pPr>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spacing w:line="360" w:lineRule="auto"/>
        <w:ind w:firstLine="480" w:firstLineChars="200"/>
        <w:rPr>
          <w:rFonts w:ascii="宋体" w:hAnsi="宋体"/>
          <w:sz w:val="24"/>
        </w:rPr>
      </w:pPr>
      <w:bookmarkStart w:id="107" w:name="_Toc513029234"/>
      <w:bookmarkStart w:id="108" w:name="_Toc20823306"/>
      <w:bookmarkStart w:id="109" w:name="_Toc16938550"/>
      <w:r>
        <w:rPr>
          <w:rFonts w:hint="eastAsia"/>
          <w:color w:val="000000"/>
          <w:sz w:val="24"/>
          <w:szCs w:val="24"/>
        </w:rPr>
        <w:t>28.7</w:t>
      </w:r>
      <w:r>
        <w:rPr>
          <w:color w:val="000000"/>
          <w:sz w:val="24"/>
          <w:szCs w:val="24"/>
        </w:rPr>
        <w:t xml:space="preserve"> </w:t>
      </w:r>
      <w:r>
        <w:rPr>
          <w:rFonts w:ascii="宋体" w:hAnsi="宋体"/>
          <w:b/>
          <w:sz w:val="24"/>
        </w:rPr>
        <w:t>采用最低评标价法的采购项目，</w:t>
      </w:r>
      <w:r>
        <w:rPr>
          <w:rFonts w:ascii="宋体" w:hAnsi="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0" w:lineRule="auto"/>
        <w:ind w:firstLine="482" w:firstLineChars="200"/>
        <w:rPr>
          <w:color w:val="000000"/>
          <w:sz w:val="24"/>
          <w:szCs w:val="24"/>
        </w:rPr>
      </w:pP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602" w:firstLineChars="250"/>
        <w:rPr>
          <w:rFonts w:ascii="宋体" w:hAnsi="宋体"/>
          <w:sz w:val="24"/>
        </w:rPr>
      </w:pPr>
      <w:r>
        <w:rPr>
          <w:rFonts w:ascii="宋体" w:hAnsi="宋体"/>
          <w:b/>
          <w:sz w:val="24"/>
        </w:rPr>
        <w:t>非单一产品采购项目，</w:t>
      </w:r>
      <w:r>
        <w:rPr>
          <w:rFonts w:ascii="宋体" w:hAnsi="宋体"/>
          <w:sz w:val="24"/>
        </w:rPr>
        <w:t>采购人应当根据采购项目技术构成、产品价格比重等合理确定核心产品，并在招标文件中载明。多家投标人提供的核心产品品牌相同的，按前两款规定处理。</w:t>
      </w:r>
      <w:r>
        <w:rPr>
          <w:rFonts w:hint="eastAsia" w:ascii="宋体" w:hAnsi="宋体"/>
          <w:sz w:val="24"/>
        </w:rPr>
        <w:t xml:space="preserve"> (87号令第31条)</w:t>
      </w:r>
    </w:p>
    <w:p>
      <w:pPr>
        <w:widowControl/>
        <w:shd w:val="clear" w:color="auto" w:fill="FFFFFF"/>
        <w:spacing w:line="360" w:lineRule="auto"/>
        <w:ind w:firstLine="482" w:firstLineChars="200"/>
        <w:rPr>
          <w:b/>
          <w:sz w:val="24"/>
          <w:szCs w:val="24"/>
        </w:rPr>
      </w:pPr>
      <w:r>
        <w:rPr>
          <w:rFonts w:hint="eastAsia"/>
          <w:b/>
          <w:sz w:val="24"/>
          <w:szCs w:val="24"/>
        </w:rPr>
        <w:t>29.</w:t>
      </w:r>
      <w:bookmarkEnd w:id="107"/>
      <w:bookmarkEnd w:id="108"/>
      <w:bookmarkEnd w:id="109"/>
      <w:r>
        <w:rPr>
          <w:rFonts w:hint="eastAsia"/>
          <w:b/>
          <w:sz w:val="24"/>
          <w:szCs w:val="24"/>
        </w:rPr>
        <w:t>无效投标条款和废标条款</w:t>
      </w:r>
    </w:p>
    <w:p>
      <w:pPr>
        <w:spacing w:line="360" w:lineRule="auto"/>
        <w:ind w:firstLine="480" w:firstLineChars="200"/>
        <w:rPr>
          <w:bCs/>
          <w:color w:val="000000"/>
          <w:sz w:val="24"/>
          <w:szCs w:val="24"/>
        </w:rPr>
      </w:pPr>
      <w:bookmarkStart w:id="110" w:name="_Toc513029235"/>
      <w:bookmarkStart w:id="111" w:name="_Toc20823307"/>
      <w:bookmarkStart w:id="112" w:name="_Toc16938551"/>
      <w:r>
        <w:rPr>
          <w:rFonts w:hint="eastAsia"/>
          <w:bCs/>
          <w:color w:val="000000"/>
          <w:sz w:val="24"/>
          <w:szCs w:val="24"/>
        </w:rPr>
        <w:t>29.1无效投标条款</w:t>
      </w:r>
    </w:p>
    <w:p>
      <w:pPr>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spacing w:line="360" w:lineRule="auto"/>
        <w:ind w:firstLine="480" w:firstLineChars="200"/>
        <w:rPr>
          <w:bCs/>
          <w:color w:val="000000"/>
          <w:sz w:val="24"/>
          <w:szCs w:val="24"/>
        </w:rPr>
      </w:pPr>
      <w:r>
        <w:rPr>
          <w:rFonts w:hint="eastAsia"/>
          <w:bCs/>
          <w:color w:val="000000"/>
          <w:sz w:val="24"/>
          <w:szCs w:val="24"/>
        </w:rPr>
        <w:t>29.1.7投标人串通投标；</w:t>
      </w:r>
    </w:p>
    <w:p>
      <w:pPr>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bookmarkStart w:id="136" w:name="_GoBack"/>
      <w:bookmarkEnd w:id="136"/>
    </w:p>
    <w:p>
      <w:pPr>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spacing w:line="360" w:lineRule="auto"/>
        <w:ind w:firstLine="482" w:firstLineChars="200"/>
        <w:rPr>
          <w:b/>
          <w:bCs w:val="0"/>
          <w:color w:val="000000"/>
          <w:sz w:val="24"/>
          <w:szCs w:val="24"/>
        </w:rPr>
      </w:pPr>
      <w:r>
        <w:rPr>
          <w:rFonts w:hint="eastAsia"/>
          <w:b/>
          <w:bCs w:val="0"/>
          <w:color w:val="000000"/>
          <w:sz w:val="24"/>
          <w:szCs w:val="24"/>
        </w:rPr>
        <w:t>29.2废标条款：</w:t>
      </w:r>
    </w:p>
    <w:p>
      <w:pPr>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spacing w:line="360" w:lineRule="auto"/>
        <w:ind w:firstLine="480" w:firstLineChars="200"/>
        <w:rPr>
          <w:bCs/>
          <w:color w:val="000000"/>
          <w:sz w:val="24"/>
          <w:szCs w:val="24"/>
        </w:rPr>
      </w:pPr>
      <w:r>
        <w:rPr>
          <w:rFonts w:hint="eastAsia"/>
          <w:bCs/>
          <w:color w:val="000000"/>
          <w:sz w:val="24"/>
          <w:szCs w:val="24"/>
        </w:rPr>
        <w:t>29.2.3因重大变故，采购任务取消的；</w:t>
      </w:r>
    </w:p>
    <w:p>
      <w:pPr>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widowControl/>
        <w:shd w:val="clear" w:color="auto" w:fill="FFFFFF"/>
        <w:spacing w:line="360" w:lineRule="auto"/>
        <w:ind w:firstLine="482" w:firstLineChars="200"/>
        <w:rPr>
          <w:b/>
          <w:sz w:val="24"/>
          <w:szCs w:val="24"/>
        </w:rPr>
      </w:pPr>
      <w:bookmarkStart w:id="113" w:name="_Toc120614219"/>
      <w:r>
        <w:rPr>
          <w:rFonts w:hint="eastAsia"/>
          <w:b/>
          <w:sz w:val="24"/>
          <w:szCs w:val="24"/>
        </w:rPr>
        <w:t>六、</w:t>
      </w:r>
      <w:bookmarkEnd w:id="110"/>
      <w:bookmarkEnd w:id="111"/>
      <w:bookmarkEnd w:id="112"/>
      <w:r>
        <w:rPr>
          <w:rFonts w:hint="eastAsia"/>
          <w:b/>
          <w:sz w:val="24"/>
          <w:szCs w:val="24"/>
        </w:rPr>
        <w:t>定标</w:t>
      </w:r>
      <w:bookmarkEnd w:id="113"/>
    </w:p>
    <w:p>
      <w:pPr>
        <w:widowControl/>
        <w:shd w:val="clear" w:color="auto" w:fill="FFFFFF"/>
        <w:spacing w:line="360" w:lineRule="auto"/>
        <w:ind w:firstLine="482" w:firstLineChars="200"/>
        <w:rPr>
          <w:b/>
          <w:sz w:val="24"/>
          <w:szCs w:val="24"/>
        </w:rPr>
      </w:pPr>
      <w:bookmarkStart w:id="114" w:name="_Toc513029238"/>
      <w:bookmarkStart w:id="115" w:name="_Toc16938554"/>
      <w:bookmarkStart w:id="116" w:name="_Toc20823310"/>
      <w:r>
        <w:rPr>
          <w:rFonts w:hint="eastAsia"/>
          <w:b/>
          <w:sz w:val="24"/>
          <w:szCs w:val="24"/>
        </w:rPr>
        <w:t>30.</w:t>
      </w:r>
      <w:bookmarkEnd w:id="114"/>
      <w:r>
        <w:rPr>
          <w:rFonts w:hint="eastAsia"/>
          <w:b/>
          <w:sz w:val="24"/>
          <w:szCs w:val="24"/>
        </w:rPr>
        <w:t>确定</w:t>
      </w:r>
      <w:bookmarkEnd w:id="115"/>
      <w:bookmarkEnd w:id="116"/>
      <w:r>
        <w:rPr>
          <w:rFonts w:hint="eastAsia"/>
          <w:b/>
          <w:sz w:val="24"/>
          <w:szCs w:val="24"/>
        </w:rPr>
        <w:t>中标单位</w:t>
      </w:r>
    </w:p>
    <w:p>
      <w:pPr>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7" w:name="_Toc200451960"/>
    </w:p>
    <w:p>
      <w:pPr>
        <w:snapToGrid w:val="0"/>
        <w:spacing w:line="360" w:lineRule="auto"/>
        <w:ind w:firstLine="482" w:firstLineChars="200"/>
        <w:rPr>
          <w:b/>
          <w:bCs/>
          <w:color w:val="000000"/>
          <w:sz w:val="24"/>
          <w:szCs w:val="24"/>
        </w:rPr>
      </w:pPr>
      <w:r>
        <w:rPr>
          <w:rFonts w:hint="eastAsia"/>
          <w:b/>
          <w:bCs/>
          <w:color w:val="000000"/>
          <w:sz w:val="24"/>
          <w:szCs w:val="24"/>
        </w:rPr>
        <w:t xml:space="preserve">30.5. </w:t>
      </w:r>
      <w:r>
        <w:rPr>
          <w:b/>
          <w:bCs/>
          <w:color w:val="000000"/>
          <w:sz w:val="24"/>
          <w:szCs w:val="24"/>
        </w:rPr>
        <w:t>有下列情形之一的，</w:t>
      </w:r>
      <w:r>
        <w:rPr>
          <w:rFonts w:hint="eastAsia"/>
          <w:b/>
          <w:bCs/>
          <w:color w:val="000000"/>
          <w:sz w:val="24"/>
          <w:szCs w:val="24"/>
        </w:rPr>
        <w:t>视为投标人</w:t>
      </w:r>
      <w:r>
        <w:rPr>
          <w:b/>
          <w:bCs/>
          <w:color w:val="000000"/>
          <w:sz w:val="24"/>
          <w:szCs w:val="24"/>
        </w:rPr>
        <w:t>串通</w:t>
      </w:r>
      <w:r>
        <w:rPr>
          <w:rFonts w:hint="eastAsia"/>
          <w:b/>
          <w:bCs/>
          <w:color w:val="000000"/>
          <w:sz w:val="24"/>
          <w:szCs w:val="24"/>
        </w:rPr>
        <w:t>投标，投标无效：</w:t>
      </w:r>
    </w:p>
    <w:p>
      <w:pPr>
        <w:snapToGrid w:val="0"/>
        <w:spacing w:line="360" w:lineRule="auto"/>
        <w:ind w:firstLine="482" w:firstLineChars="200"/>
        <w:rPr>
          <w:b/>
          <w:bCs/>
          <w:color w:val="000000"/>
          <w:sz w:val="24"/>
          <w:szCs w:val="24"/>
        </w:rPr>
      </w:pPr>
      <w:r>
        <w:rPr>
          <w:rFonts w:hint="eastAsia"/>
          <w:b/>
          <w:bCs/>
          <w:color w:val="000000"/>
          <w:sz w:val="24"/>
          <w:szCs w:val="24"/>
        </w:rPr>
        <w:t>30.5.1不同投标人的投标文件由同一单位或者个人编制。</w:t>
      </w:r>
    </w:p>
    <w:p>
      <w:pPr>
        <w:snapToGrid w:val="0"/>
        <w:spacing w:line="360" w:lineRule="auto"/>
        <w:ind w:firstLine="482" w:firstLineChars="200"/>
        <w:rPr>
          <w:b/>
          <w:bCs/>
          <w:color w:val="000000"/>
          <w:sz w:val="24"/>
          <w:szCs w:val="24"/>
        </w:rPr>
      </w:pPr>
      <w:r>
        <w:rPr>
          <w:rFonts w:hint="eastAsia"/>
          <w:b/>
          <w:bCs/>
          <w:color w:val="000000"/>
          <w:sz w:val="24"/>
          <w:szCs w:val="24"/>
        </w:rPr>
        <w:t>30.5.2不同投标人委托同一单位或者个人办理投标事宜。</w:t>
      </w:r>
    </w:p>
    <w:p>
      <w:pPr>
        <w:snapToGrid w:val="0"/>
        <w:spacing w:line="360" w:lineRule="auto"/>
        <w:ind w:firstLine="482" w:firstLineChars="200"/>
        <w:rPr>
          <w:b/>
          <w:bCs/>
          <w:color w:val="000000"/>
          <w:sz w:val="24"/>
          <w:szCs w:val="24"/>
        </w:rPr>
      </w:pPr>
      <w:r>
        <w:rPr>
          <w:rFonts w:hint="eastAsia"/>
          <w:b/>
          <w:bCs/>
          <w:color w:val="000000"/>
          <w:sz w:val="24"/>
          <w:szCs w:val="24"/>
        </w:rPr>
        <w:t>30.5.3 不同投标人的投标文件载明的项目管理成员或者联系人员为同一人。</w:t>
      </w:r>
    </w:p>
    <w:p>
      <w:pPr>
        <w:snapToGrid w:val="0"/>
        <w:spacing w:line="360" w:lineRule="auto"/>
        <w:ind w:firstLine="482" w:firstLineChars="200"/>
        <w:rPr>
          <w:b/>
          <w:bCs/>
          <w:color w:val="000000"/>
          <w:sz w:val="24"/>
          <w:szCs w:val="24"/>
        </w:rPr>
      </w:pPr>
      <w:r>
        <w:rPr>
          <w:rFonts w:hint="eastAsia"/>
          <w:b/>
          <w:bCs/>
          <w:color w:val="000000"/>
          <w:sz w:val="24"/>
          <w:szCs w:val="24"/>
        </w:rPr>
        <w:t>30.5.4不同投标人的投标文件异常一致或者投标报价呈规律性差异。</w:t>
      </w:r>
    </w:p>
    <w:p>
      <w:pPr>
        <w:snapToGrid w:val="0"/>
        <w:spacing w:line="360" w:lineRule="auto"/>
        <w:ind w:firstLine="482" w:firstLineChars="200"/>
        <w:rPr>
          <w:b/>
          <w:bCs/>
          <w:color w:val="000000"/>
          <w:sz w:val="24"/>
          <w:szCs w:val="24"/>
        </w:rPr>
      </w:pPr>
      <w:r>
        <w:rPr>
          <w:rFonts w:hint="eastAsia"/>
          <w:b/>
          <w:bCs/>
          <w:color w:val="000000"/>
          <w:sz w:val="24"/>
          <w:szCs w:val="24"/>
        </w:rPr>
        <w:t>30.5.5不同投标人的投标文件相互混装。</w:t>
      </w:r>
    </w:p>
    <w:p>
      <w:pPr>
        <w:widowControl/>
        <w:shd w:val="clear" w:color="auto" w:fill="FFFFFF"/>
        <w:spacing w:line="360" w:lineRule="auto"/>
        <w:ind w:firstLine="482" w:firstLineChars="200"/>
        <w:rPr>
          <w:b/>
          <w:sz w:val="24"/>
          <w:szCs w:val="24"/>
        </w:rPr>
      </w:pPr>
      <w:r>
        <w:rPr>
          <w:rFonts w:hint="eastAsia"/>
          <w:b/>
          <w:sz w:val="24"/>
          <w:szCs w:val="24"/>
        </w:rPr>
        <w:t>31.质疑处理</w:t>
      </w:r>
      <w:bookmarkEnd w:id="117"/>
    </w:p>
    <w:p>
      <w:pPr>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360" w:lineRule="auto"/>
        <w:ind w:firstLine="480" w:firstLineChars="200"/>
        <w:rPr>
          <w:color w:val="000000"/>
          <w:sz w:val="24"/>
          <w:szCs w:val="24"/>
        </w:rPr>
      </w:pPr>
      <w:r>
        <w:rPr>
          <w:rFonts w:hint="eastAsia"/>
          <w:color w:val="000000"/>
          <w:sz w:val="24"/>
          <w:szCs w:val="24"/>
        </w:rPr>
        <w:t>31.4质疑函应当包括下列内容：</w:t>
      </w:r>
    </w:p>
    <w:p>
      <w:pPr>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snapToGrid w:val="0"/>
        <w:spacing w:line="360" w:lineRule="auto"/>
        <w:ind w:firstLine="480" w:firstLineChars="200"/>
        <w:rPr>
          <w:color w:val="000000"/>
          <w:sz w:val="24"/>
          <w:szCs w:val="24"/>
        </w:rPr>
      </w:pPr>
      <w:r>
        <w:rPr>
          <w:rFonts w:hint="eastAsia"/>
          <w:color w:val="000000"/>
          <w:sz w:val="24"/>
          <w:szCs w:val="24"/>
        </w:rPr>
        <w:t>31.4.4提起质疑的日期；</w:t>
      </w:r>
    </w:p>
    <w:p>
      <w:pPr>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widowControl/>
        <w:shd w:val="clear" w:color="auto" w:fill="FFFFFF"/>
        <w:spacing w:line="360" w:lineRule="auto"/>
        <w:ind w:firstLine="482" w:firstLineChars="200"/>
        <w:rPr>
          <w:b/>
          <w:sz w:val="24"/>
          <w:szCs w:val="24"/>
        </w:rPr>
      </w:pPr>
      <w:r>
        <w:rPr>
          <w:rFonts w:hint="eastAsia"/>
          <w:b/>
          <w:sz w:val="24"/>
          <w:szCs w:val="24"/>
        </w:rPr>
        <w:t>32.中标通知书</w:t>
      </w:r>
    </w:p>
    <w:p>
      <w:pPr>
        <w:snapToGrid w:val="0"/>
        <w:spacing w:line="360" w:lineRule="auto"/>
        <w:ind w:firstLine="480" w:firstLineChars="200"/>
        <w:rPr>
          <w:color w:val="000000"/>
          <w:sz w:val="24"/>
          <w:szCs w:val="24"/>
        </w:rPr>
      </w:pPr>
      <w:r>
        <w:rPr>
          <w:rFonts w:hint="eastAsia"/>
          <w:color w:val="000000"/>
          <w:sz w:val="24"/>
          <w:szCs w:val="24"/>
        </w:rPr>
        <w:t>32.l中标结果确定后，采购人将向中标人发出中标通知书。</w:t>
      </w:r>
    </w:p>
    <w:p>
      <w:pPr>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widowControl/>
        <w:shd w:val="clear" w:color="auto" w:fill="FFFFFF"/>
        <w:spacing w:line="360" w:lineRule="auto"/>
        <w:ind w:firstLine="482" w:firstLineChars="200"/>
        <w:rPr>
          <w:b/>
          <w:sz w:val="24"/>
          <w:szCs w:val="24"/>
        </w:rPr>
      </w:pPr>
      <w:bookmarkStart w:id="118" w:name="_Toc120614220"/>
      <w:bookmarkStart w:id="119" w:name="_Toc513029236"/>
      <w:bookmarkStart w:id="120" w:name="_Toc20823308"/>
      <w:bookmarkStart w:id="121" w:name="_Toc16938552"/>
      <w:r>
        <w:rPr>
          <w:rFonts w:hint="eastAsia"/>
          <w:b/>
          <w:sz w:val="24"/>
          <w:szCs w:val="24"/>
        </w:rPr>
        <w:t>七、合同</w:t>
      </w:r>
      <w:bookmarkEnd w:id="118"/>
      <w:r>
        <w:rPr>
          <w:rFonts w:hint="eastAsia"/>
          <w:b/>
          <w:sz w:val="24"/>
          <w:szCs w:val="24"/>
        </w:rPr>
        <w:t>签订相关事项</w:t>
      </w:r>
    </w:p>
    <w:bookmarkEnd w:id="119"/>
    <w:bookmarkEnd w:id="120"/>
    <w:bookmarkEnd w:id="121"/>
    <w:p>
      <w:pPr>
        <w:widowControl/>
        <w:shd w:val="clear" w:color="auto" w:fill="FFFFFF"/>
        <w:spacing w:line="360" w:lineRule="auto"/>
        <w:ind w:firstLine="482" w:firstLineChars="200"/>
        <w:rPr>
          <w:b/>
          <w:sz w:val="24"/>
          <w:szCs w:val="24"/>
        </w:rPr>
      </w:pPr>
      <w:bookmarkStart w:id="122" w:name="_Toc16938553"/>
      <w:bookmarkStart w:id="123" w:name="_Toc20823309"/>
      <w:bookmarkStart w:id="124" w:name="_Toc513029237"/>
      <w:r>
        <w:rPr>
          <w:rFonts w:hint="eastAsia"/>
          <w:b/>
          <w:sz w:val="24"/>
          <w:szCs w:val="24"/>
        </w:rPr>
        <w:t>33.签订合同</w:t>
      </w:r>
    </w:p>
    <w:p>
      <w:pPr>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snapToGrid w:val="0"/>
        <w:spacing w:line="360" w:lineRule="auto"/>
        <w:ind w:firstLine="480" w:firstLineChars="200"/>
        <w:rPr>
          <w:color w:val="000000"/>
          <w:sz w:val="24"/>
          <w:szCs w:val="24"/>
        </w:rPr>
      </w:pPr>
      <w:r>
        <w:rPr>
          <w:rFonts w:hint="eastAsia"/>
          <w:color w:val="000000"/>
          <w:sz w:val="24"/>
          <w:szCs w:val="24"/>
        </w:rPr>
        <w:t>33.2招标文件、中标人的投标文件及招标过程中有关澄清、承诺文件均应作为合同附件。</w:t>
      </w:r>
    </w:p>
    <w:p>
      <w:pPr>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widowControl/>
        <w:shd w:val="clear" w:color="auto" w:fill="FFFFFF"/>
        <w:spacing w:line="360" w:lineRule="auto"/>
        <w:ind w:firstLine="482" w:firstLineChars="200"/>
        <w:rPr>
          <w:b/>
          <w:sz w:val="24"/>
          <w:szCs w:val="24"/>
        </w:rPr>
      </w:pPr>
      <w:r>
        <w:rPr>
          <w:rFonts w:hint="eastAsia"/>
          <w:b/>
          <w:sz w:val="24"/>
          <w:szCs w:val="24"/>
        </w:rPr>
        <w:t>34.服务的追加、减少和添购。</w:t>
      </w:r>
    </w:p>
    <w:p>
      <w:pPr>
        <w:spacing w:line="360" w:lineRule="auto"/>
        <w:ind w:firstLine="480" w:firstLineChars="200"/>
        <w:rPr>
          <w:rFonts w:ascii="宋体" w:hAnsi="宋体"/>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r>
        <w:rPr>
          <w:rFonts w:hint="eastAsia" w:ascii="宋体" w:hAnsi="宋体"/>
          <w:sz w:val="24"/>
          <w:szCs w:val="24"/>
        </w:rPr>
        <w:t>但所有补充合同的采购金额不超过原合同金额10%。</w:t>
      </w:r>
    </w:p>
    <w:p>
      <w:pPr>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p>
    <w:bookmarkEnd w:id="122"/>
    <w:bookmarkEnd w:id="123"/>
    <w:bookmarkEnd w:id="124"/>
    <w:p>
      <w:pPr>
        <w:widowControl/>
        <w:shd w:val="clear" w:color="auto" w:fill="FFFFFF"/>
        <w:spacing w:line="360" w:lineRule="auto"/>
        <w:ind w:firstLine="482" w:firstLineChars="200"/>
        <w:rPr>
          <w:b/>
          <w:sz w:val="24"/>
          <w:szCs w:val="24"/>
        </w:rPr>
      </w:pPr>
      <w:r>
        <w:rPr>
          <w:rFonts w:hint="eastAsia"/>
          <w:b/>
          <w:sz w:val="24"/>
          <w:szCs w:val="24"/>
        </w:rPr>
        <w:t>35.履约保证金</w:t>
      </w:r>
    </w:p>
    <w:p>
      <w:pPr>
        <w:tabs>
          <w:tab w:val="left" w:pos="900"/>
        </w:tabs>
        <w:spacing w:line="360" w:lineRule="auto"/>
        <w:ind w:firstLine="480" w:firstLineChars="200"/>
        <w:rPr>
          <w:rFonts w:eastAsia="黑体"/>
          <w:bCs/>
          <w:color w:val="000000"/>
          <w:sz w:val="44"/>
        </w:rPr>
      </w:pPr>
      <w:r>
        <w:rPr>
          <w:rFonts w:hint="eastAsia"/>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7"/>
        <w:spacing w:line="360" w:lineRule="auto"/>
      </w:pPr>
      <w:r>
        <w:rPr>
          <w:rFonts w:eastAsia="黑体"/>
          <w:bCs/>
          <w:sz w:val="44"/>
        </w:rPr>
        <w:br w:type="page"/>
      </w:r>
    </w:p>
    <w:p>
      <w:pPr>
        <w:jc w:val="center"/>
        <w:outlineLvl w:val="0"/>
        <w:rPr>
          <w:rFonts w:eastAsia="黑体"/>
          <w:color w:val="000000" w:themeColor="text1"/>
          <w:sz w:val="40"/>
          <w:szCs w:val="40"/>
        </w:rPr>
      </w:pPr>
      <w:bookmarkStart w:id="125" w:name="_Toc108021874"/>
      <w:r>
        <w:rPr>
          <w:rFonts w:eastAsia="黑体"/>
          <w:color w:val="000000" w:themeColor="text1"/>
          <w:sz w:val="40"/>
          <w:szCs w:val="40"/>
        </w:rPr>
        <w:t>第三章  合同条款及格式</w:t>
      </w:r>
      <w:bookmarkEnd w:id="125"/>
    </w:p>
    <w:p>
      <w:pPr>
        <w:spacing w:line="360" w:lineRule="auto"/>
        <w:ind w:firstLine="480" w:firstLineChars="200"/>
        <w:rPr>
          <w:color w:val="000000" w:themeColor="text1"/>
          <w:sz w:val="24"/>
          <w:szCs w:val="24"/>
        </w:rPr>
      </w:pPr>
    </w:p>
    <w:p>
      <w:pPr>
        <w:spacing w:line="500" w:lineRule="exact"/>
        <w:ind w:firstLine="480" w:firstLineChars="200"/>
        <w:rPr>
          <w:rFonts w:ascii="宋体"/>
          <w:bCs/>
          <w:sz w:val="24"/>
          <w:szCs w:val="24"/>
        </w:rPr>
      </w:pPr>
      <w:bookmarkStart w:id="126" w:name="_Toc16938559"/>
      <w:bookmarkStart w:id="127" w:name="_Toc20823315"/>
      <w:bookmarkStart w:id="128" w:name="_Toc513029243"/>
      <w:r>
        <w:rPr>
          <w:rFonts w:hint="eastAsia" w:ascii="宋体" w:hAnsi="宋体"/>
          <w:bCs/>
          <w:sz w:val="24"/>
          <w:szCs w:val="24"/>
        </w:rPr>
        <w:t>以下为中标后签定本项目合同的通用条款，中标人不得提出实质性的修改，关于专用条款将由采购人与中标人结合本项目具体情况协商后签订。</w:t>
      </w:r>
    </w:p>
    <w:p>
      <w:pPr>
        <w:snapToGrid w:val="0"/>
        <w:spacing w:before="156" w:beforeLines="50" w:after="156" w:afterLines="50" w:line="500" w:lineRule="exact"/>
        <w:jc w:val="center"/>
        <w:outlineLvl w:val="0"/>
        <w:rPr>
          <w:rFonts w:ascii="宋体"/>
          <w:b/>
          <w:bCs/>
          <w:sz w:val="24"/>
          <w:szCs w:val="24"/>
        </w:rPr>
      </w:pPr>
      <w:r>
        <w:rPr>
          <w:rFonts w:hint="eastAsia" w:ascii="宋体" w:hAnsi="宋体"/>
          <w:b/>
          <w:sz w:val="24"/>
          <w:szCs w:val="24"/>
        </w:rPr>
        <w:t>政府采购合同（合同编号）</w:t>
      </w:r>
    </w:p>
    <w:p>
      <w:pPr>
        <w:pStyle w:val="13"/>
        <w:snapToGrid w:val="0"/>
        <w:spacing w:before="120" w:after="120" w:line="360" w:lineRule="auto"/>
        <w:rPr>
          <w:rFonts w:hAnsi="宋体"/>
          <w:sz w:val="24"/>
          <w:szCs w:val="24"/>
          <w:u w:val="single"/>
        </w:rPr>
      </w:pPr>
      <w:r>
        <w:rPr>
          <w:rFonts w:hint="eastAsia" w:hAnsi="宋体"/>
          <w:sz w:val="24"/>
          <w:szCs w:val="24"/>
        </w:rPr>
        <w:t>项目名称：</w:t>
      </w:r>
      <w:r>
        <w:rPr>
          <w:rFonts w:hint="eastAsia" w:hAnsi="宋体"/>
          <w:sz w:val="24"/>
          <w:szCs w:val="24"/>
          <w:u w:val="single"/>
        </w:rPr>
        <w:t>盐城幼儿师范高等专科学校体育中心教学设备采购项目</w:t>
      </w:r>
    </w:p>
    <w:p>
      <w:pPr>
        <w:pStyle w:val="13"/>
        <w:snapToGrid w:val="0"/>
        <w:spacing w:before="120" w:after="120" w:line="360" w:lineRule="auto"/>
        <w:rPr>
          <w:rFonts w:hAnsi="宋体"/>
          <w:sz w:val="24"/>
          <w:szCs w:val="24"/>
          <w:u w:val="single"/>
        </w:rPr>
      </w:pPr>
      <w:r>
        <w:rPr>
          <w:rFonts w:hint="eastAsia" w:hAnsi="宋体"/>
          <w:sz w:val="24"/>
          <w:szCs w:val="24"/>
        </w:rPr>
        <w:t>项目编号：</w:t>
      </w:r>
      <w:r>
        <w:rPr>
          <w:rFonts w:hint="eastAsia" w:hAnsi="宋体"/>
          <w:sz w:val="24"/>
          <w:szCs w:val="24"/>
          <w:u w:val="single"/>
        </w:rPr>
        <w:t>YCYZ2022HW006</w:t>
      </w:r>
    </w:p>
    <w:p>
      <w:pPr>
        <w:pStyle w:val="13"/>
        <w:snapToGrid w:val="0"/>
        <w:spacing w:before="120" w:after="120" w:line="360" w:lineRule="auto"/>
        <w:rPr>
          <w:rFonts w:hAnsi="宋体"/>
          <w:sz w:val="24"/>
          <w:szCs w:val="24"/>
        </w:rPr>
      </w:pPr>
      <w:r>
        <w:rPr>
          <w:rFonts w:hint="eastAsia" w:hAnsi="宋体"/>
          <w:sz w:val="24"/>
          <w:szCs w:val="24"/>
        </w:rPr>
        <w:t>甲方：（买方）</w:t>
      </w:r>
      <w:r>
        <w:rPr>
          <w:rFonts w:hint="eastAsia" w:hAnsi="宋体"/>
          <w:sz w:val="24"/>
          <w:szCs w:val="24"/>
          <w:u w:val="single"/>
        </w:rPr>
        <w:t>盐城幼儿师范高等专科学校</w:t>
      </w:r>
    </w:p>
    <w:p>
      <w:pPr>
        <w:pStyle w:val="13"/>
        <w:snapToGrid w:val="0"/>
        <w:spacing w:before="120" w:after="120" w:line="360" w:lineRule="auto"/>
        <w:rPr>
          <w:rFonts w:hAnsi="宋体"/>
          <w:sz w:val="24"/>
          <w:szCs w:val="24"/>
        </w:rPr>
      </w:pPr>
      <w:r>
        <w:rPr>
          <w:rFonts w:hint="eastAsia" w:hAnsi="宋体"/>
          <w:sz w:val="24"/>
          <w:szCs w:val="24"/>
        </w:rPr>
        <w:t>乙方：（卖方）</w:t>
      </w:r>
    </w:p>
    <w:p>
      <w:pPr>
        <w:pStyle w:val="13"/>
        <w:snapToGrid w:val="0"/>
        <w:spacing w:before="120" w:after="120" w:line="360" w:lineRule="auto"/>
        <w:ind w:firstLine="480" w:firstLineChars="200"/>
        <w:rPr>
          <w:rFonts w:hAnsi="宋体"/>
          <w:b/>
          <w:sz w:val="24"/>
          <w:szCs w:val="24"/>
        </w:rPr>
      </w:pPr>
      <w:r>
        <w:rPr>
          <w:rFonts w:hint="eastAsia" w:hAnsi="宋体"/>
          <w:sz w:val="24"/>
          <w:szCs w:val="24"/>
        </w:rPr>
        <w:t>甲、乙双方根据</w:t>
      </w:r>
      <w:r>
        <w:rPr>
          <w:rFonts w:hint="eastAsia" w:hAnsi="宋体"/>
          <w:sz w:val="24"/>
          <w:szCs w:val="24"/>
          <w:u w:val="single"/>
        </w:rPr>
        <w:t>盐城幼儿师范高等专科学校体育中心教学设备采购项目</w:t>
      </w:r>
      <w:r>
        <w:rPr>
          <w:rFonts w:hint="eastAsia" w:hAnsi="宋体"/>
          <w:sz w:val="24"/>
          <w:szCs w:val="24"/>
        </w:rPr>
        <w:t>公开招标的结果，签署本合同。</w:t>
      </w:r>
      <w:bookmarkEnd w:id="126"/>
      <w:bookmarkEnd w:id="127"/>
      <w:bookmarkEnd w:id="128"/>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一、货物内容</w:t>
      </w:r>
    </w:p>
    <w:p>
      <w:pPr>
        <w:pStyle w:val="13"/>
        <w:snapToGrid w:val="0"/>
        <w:spacing w:line="360" w:lineRule="auto"/>
        <w:ind w:firstLine="480" w:firstLineChars="200"/>
        <w:rPr>
          <w:rFonts w:hAnsi="宋体"/>
          <w:sz w:val="24"/>
          <w:szCs w:val="24"/>
        </w:rPr>
      </w:pPr>
      <w:r>
        <w:rPr>
          <w:rFonts w:hAnsi="宋体"/>
          <w:color w:val="000000" w:themeColor="text1"/>
          <w:sz w:val="24"/>
          <w:szCs w:val="24"/>
        </w:rPr>
        <w:t xml:space="preserve">1.1 </w:t>
      </w:r>
      <w:r>
        <w:rPr>
          <w:rFonts w:hint="eastAsia" w:hAnsi="宋体"/>
          <w:color w:val="000000" w:themeColor="text1"/>
          <w:sz w:val="24"/>
          <w:szCs w:val="24"/>
        </w:rPr>
        <w:t>货物名称：</w:t>
      </w:r>
      <w:r>
        <w:rPr>
          <w:rFonts w:hint="eastAsia" w:hAnsi="宋体"/>
          <w:sz w:val="24"/>
          <w:szCs w:val="24"/>
        </w:rPr>
        <w:t>盐城幼儿师范高等专科学校体育中心教学设备采购项目</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1.2 </w:t>
      </w:r>
      <w:r>
        <w:rPr>
          <w:rFonts w:hint="eastAsia" w:hAnsi="宋体"/>
          <w:color w:val="000000" w:themeColor="text1"/>
          <w:sz w:val="24"/>
          <w:szCs w:val="24"/>
        </w:rPr>
        <w:t>型号规格：详见清单</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 </w:t>
      </w:r>
      <w:r>
        <w:rPr>
          <w:rFonts w:hint="eastAsia" w:hAnsi="宋体"/>
          <w:color w:val="000000" w:themeColor="text1"/>
          <w:sz w:val="24"/>
          <w:szCs w:val="24"/>
        </w:rPr>
        <w:t>数量（单位）：详见清单</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二、合同金额</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 xml:space="preserve">2.1 </w:t>
      </w:r>
      <w:r>
        <w:rPr>
          <w:rFonts w:hint="eastAsia" w:hAnsi="宋体"/>
          <w:color w:val="000000" w:themeColor="text1"/>
          <w:sz w:val="24"/>
          <w:szCs w:val="24"/>
        </w:rPr>
        <w:t>本合同金额为：人民币（大写）</w:t>
      </w:r>
      <w:r>
        <w:rPr>
          <w:rFonts w:hint="eastAsia" w:hAnsi="宋体"/>
          <w:color w:val="000000" w:themeColor="text1"/>
          <w:sz w:val="24"/>
          <w:szCs w:val="24"/>
          <w:u w:val="single"/>
        </w:rPr>
        <w:t xml:space="preserve">      </w:t>
      </w:r>
      <w:r>
        <w:rPr>
          <w:rFonts w:hint="eastAsia" w:hAnsi="宋体"/>
          <w:color w:val="000000" w:themeColor="text1"/>
          <w:sz w:val="24"/>
          <w:szCs w:val="24"/>
        </w:rPr>
        <w:t>元</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rPr>
        <w:t>。</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三、技术资料</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3.1</w:t>
      </w:r>
      <w:r>
        <w:rPr>
          <w:rFonts w:hint="eastAsia" w:hAnsi="宋体"/>
          <w:color w:val="000000" w:themeColor="text1"/>
          <w:sz w:val="24"/>
          <w:szCs w:val="24"/>
        </w:rPr>
        <w:t>乙方应按招标文件规定的时间向甲方提供使用货物的有关技术资料。</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3.2 </w:t>
      </w:r>
      <w:r>
        <w:rPr>
          <w:rFonts w:hint="eastAsia" w:hAnsi="宋体"/>
          <w:color w:val="000000" w:themeColor="text1"/>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napToGrid w:val="0"/>
        <w:spacing w:before="156" w:beforeLines="50" w:line="360" w:lineRule="auto"/>
        <w:ind w:left="412" w:hanging="412" w:hangingChars="171"/>
        <w:rPr>
          <w:rFonts w:hAnsi="宋体"/>
          <w:b/>
          <w:color w:val="000000" w:themeColor="text1"/>
          <w:sz w:val="24"/>
          <w:szCs w:val="24"/>
        </w:rPr>
      </w:pPr>
      <w:r>
        <w:rPr>
          <w:rFonts w:hint="eastAsia" w:hAnsi="宋体"/>
          <w:b/>
          <w:color w:val="000000" w:themeColor="text1"/>
          <w:sz w:val="24"/>
          <w:szCs w:val="24"/>
        </w:rPr>
        <w:t>四、知识产权</w:t>
      </w:r>
    </w:p>
    <w:p>
      <w:pPr>
        <w:spacing w:line="360" w:lineRule="auto"/>
        <w:ind w:firstLine="480" w:firstLineChars="200"/>
        <w:rPr>
          <w:rFonts w:ascii="宋体"/>
          <w:color w:val="000000" w:themeColor="text1"/>
          <w:sz w:val="24"/>
          <w:szCs w:val="24"/>
        </w:rPr>
      </w:pPr>
      <w:r>
        <w:rPr>
          <w:rFonts w:ascii="宋体" w:hAnsi="宋体"/>
          <w:color w:val="000000" w:themeColor="text1"/>
          <w:sz w:val="24"/>
          <w:szCs w:val="24"/>
        </w:rPr>
        <w:t>4.1</w:t>
      </w:r>
      <w:r>
        <w:rPr>
          <w:rFonts w:hint="eastAsia" w:ascii="宋体" w:hAnsi="宋体"/>
          <w:color w:val="000000" w:themeColor="text1"/>
          <w:sz w:val="24"/>
          <w:szCs w:val="24"/>
        </w:rPr>
        <w:t>乙方应保证甲方在使用、接受本合同货物或其任何一部分时不受第三方提出侵犯其专利权、版权、商标权和工业设计权等知识产权的起诉。一旦出现侵权，由乙方负全部责任，因此造成甲方损失的，由乙方承担赔偿责任。</w:t>
      </w:r>
    </w:p>
    <w:p>
      <w:pPr>
        <w:pStyle w:val="13"/>
        <w:snapToGrid w:val="0"/>
        <w:spacing w:before="156" w:beforeLines="50" w:line="360" w:lineRule="auto"/>
        <w:rPr>
          <w:rFonts w:hAnsi="宋体"/>
          <w:color w:val="000000" w:themeColor="text1"/>
          <w:sz w:val="24"/>
          <w:szCs w:val="24"/>
          <w:u w:val="single"/>
        </w:rPr>
      </w:pPr>
      <w:r>
        <w:rPr>
          <w:rFonts w:hint="eastAsia" w:hAnsi="宋体"/>
          <w:b/>
          <w:color w:val="000000" w:themeColor="text1"/>
          <w:sz w:val="24"/>
          <w:szCs w:val="24"/>
        </w:rPr>
        <w:t>五、产权担保</w:t>
      </w:r>
    </w:p>
    <w:p>
      <w:pPr>
        <w:pStyle w:val="13"/>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 xml:space="preserve">5.1 </w:t>
      </w:r>
      <w:r>
        <w:rPr>
          <w:rFonts w:hint="eastAsia" w:hAnsi="宋体"/>
          <w:color w:val="000000" w:themeColor="text1"/>
          <w:sz w:val="24"/>
          <w:szCs w:val="24"/>
        </w:rPr>
        <w:t>乙方保证所交付的货物的所有权完全属于乙方且无任何抵押、查封等产权瑕疵，因第三人向甲方主张相关权利的，由乙方承担所有责任，因此造成甲方损失的，由乙方负责赔偿。</w:t>
      </w:r>
    </w:p>
    <w:p>
      <w:pPr>
        <w:pStyle w:val="13"/>
        <w:snapToGrid w:val="0"/>
        <w:spacing w:before="156" w:beforeLines="50" w:line="360" w:lineRule="auto"/>
        <w:ind w:left="410" w:hanging="410" w:hangingChars="170"/>
        <w:rPr>
          <w:rFonts w:hAnsi="宋体"/>
          <w:b/>
          <w:color w:val="000000" w:themeColor="text1"/>
          <w:sz w:val="24"/>
          <w:szCs w:val="24"/>
        </w:rPr>
      </w:pPr>
      <w:r>
        <w:rPr>
          <w:rFonts w:hint="eastAsia" w:hAnsi="宋体"/>
          <w:b/>
          <w:color w:val="000000" w:themeColor="text1"/>
          <w:sz w:val="24"/>
          <w:szCs w:val="24"/>
        </w:rPr>
        <w:t>六、履约保证金</w:t>
      </w:r>
    </w:p>
    <w:p>
      <w:pPr>
        <w:pStyle w:val="13"/>
        <w:snapToGrid w:val="0"/>
        <w:spacing w:line="360" w:lineRule="auto"/>
        <w:ind w:firstLine="480" w:firstLineChars="200"/>
        <w:rPr>
          <w:rFonts w:hAnsi="宋体"/>
          <w:sz w:val="24"/>
          <w:szCs w:val="24"/>
        </w:rPr>
      </w:pPr>
      <w:r>
        <w:rPr>
          <w:rFonts w:hAnsi="宋体"/>
          <w:color w:val="000000" w:themeColor="text1"/>
          <w:sz w:val="24"/>
          <w:szCs w:val="24"/>
        </w:rPr>
        <w:t>6.1</w:t>
      </w:r>
      <w:r>
        <w:rPr>
          <w:rFonts w:hint="eastAsia" w:hAnsi="宋体"/>
          <w:color w:val="000000" w:themeColor="text1"/>
          <w:sz w:val="24"/>
          <w:szCs w:val="24"/>
        </w:rPr>
        <w:t>乙方交纳人民币（大写）</w:t>
      </w:r>
      <w:r>
        <w:rPr>
          <w:rFonts w:hint="eastAsia" w:hAnsi="宋体"/>
          <w:color w:val="000000" w:themeColor="text1"/>
          <w:sz w:val="24"/>
          <w:szCs w:val="24"/>
          <w:u w:val="single"/>
        </w:rPr>
        <w:t xml:space="preserve">        </w:t>
      </w:r>
      <w:r>
        <w:rPr>
          <w:rFonts w:hint="eastAsia" w:hAnsi="宋体"/>
          <w:color w:val="000000" w:themeColor="text1"/>
          <w:sz w:val="24"/>
          <w:szCs w:val="24"/>
        </w:rPr>
        <w:t>元</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rPr>
        <w:t>作为本合同的履约保证金（</w:t>
      </w:r>
      <w:r>
        <w:rPr>
          <w:rFonts w:hint="eastAsia" w:asciiTheme="minorEastAsia" w:hAnsiTheme="minorEastAsia" w:eastAsiaTheme="minorEastAsia" w:cstheme="minorEastAsia"/>
          <w:color w:val="000000" w:themeColor="text1"/>
          <w:sz w:val="24"/>
          <w:szCs w:val="24"/>
        </w:rPr>
        <w:t>合同金额的10%）</w:t>
      </w:r>
      <w:r>
        <w:rPr>
          <w:rFonts w:hint="eastAsia" w:hAnsi="宋体"/>
          <w:color w:val="000000" w:themeColor="text1"/>
          <w:sz w:val="24"/>
          <w:szCs w:val="24"/>
        </w:rPr>
        <w:t>。履约保证金</w:t>
      </w:r>
      <w:r>
        <w:rPr>
          <w:rFonts w:hint="eastAsia" w:hAnsi="宋体"/>
          <w:sz w:val="24"/>
          <w:szCs w:val="24"/>
        </w:rPr>
        <w:t>在完成合同规定服务事项，合同履约结束后一次性无息退还。</w:t>
      </w:r>
    </w:p>
    <w:p>
      <w:pPr>
        <w:snapToGrid w:val="0"/>
        <w:spacing w:before="156" w:beforeLines="50" w:line="360" w:lineRule="auto"/>
        <w:rPr>
          <w:rFonts w:ascii="宋体"/>
          <w:b/>
          <w:color w:val="000000" w:themeColor="text1"/>
          <w:sz w:val="24"/>
          <w:szCs w:val="24"/>
        </w:rPr>
      </w:pPr>
      <w:r>
        <w:rPr>
          <w:rFonts w:hint="eastAsia" w:ascii="宋体" w:hAnsi="宋体"/>
          <w:b/>
          <w:color w:val="000000" w:themeColor="text1"/>
          <w:sz w:val="24"/>
          <w:szCs w:val="24"/>
        </w:rPr>
        <w:t>七、转包或分包</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除非得到甲方的书面同意，乙方不得将合同约定标的部分分包给他人供应。</w:t>
      </w:r>
    </w:p>
    <w:p>
      <w:pPr>
        <w:snapToGrid w:val="0"/>
        <w:spacing w:line="360" w:lineRule="auto"/>
        <w:ind w:firstLine="480" w:firstLineChars="200"/>
        <w:rPr>
          <w:rFonts w:ascii="宋体"/>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如有转让和未经甲方书面同意的分包行为，甲方有权给予终止合同。</w:t>
      </w:r>
    </w:p>
    <w:p>
      <w:pPr>
        <w:pStyle w:val="13"/>
        <w:snapToGrid w:val="0"/>
        <w:spacing w:before="156" w:beforeLines="50" w:line="360" w:lineRule="auto"/>
        <w:rPr>
          <w:rFonts w:hAnsi="宋体"/>
          <w:color w:val="000000" w:themeColor="text1"/>
          <w:sz w:val="24"/>
          <w:szCs w:val="24"/>
        </w:rPr>
      </w:pPr>
      <w:r>
        <w:rPr>
          <w:rFonts w:hint="eastAsia" w:hAnsi="宋体"/>
          <w:b/>
          <w:color w:val="000000" w:themeColor="text1"/>
          <w:sz w:val="24"/>
          <w:szCs w:val="24"/>
        </w:rPr>
        <w:t>八、质保期</w:t>
      </w:r>
    </w:p>
    <w:p>
      <w:pPr>
        <w:pStyle w:val="13"/>
        <w:spacing w:line="360" w:lineRule="auto"/>
        <w:ind w:firstLine="480" w:firstLineChars="200"/>
        <w:rPr>
          <w:rFonts w:hAnsi="宋体"/>
          <w:color w:val="000000" w:themeColor="text1"/>
          <w:sz w:val="24"/>
          <w:szCs w:val="24"/>
        </w:rPr>
      </w:pPr>
      <w:r>
        <w:rPr>
          <w:rFonts w:hAnsi="宋体"/>
          <w:color w:val="000000" w:themeColor="text1"/>
          <w:sz w:val="24"/>
          <w:szCs w:val="24"/>
        </w:rPr>
        <w:t xml:space="preserve">8.1 </w:t>
      </w:r>
      <w:r>
        <w:rPr>
          <w:rFonts w:hint="eastAsia" w:hAnsi="宋体"/>
          <w:color w:val="000000" w:themeColor="text1"/>
          <w:sz w:val="24"/>
          <w:szCs w:val="24"/>
        </w:rPr>
        <w:t>质保期</w:t>
      </w:r>
      <w:r>
        <w:rPr>
          <w:rFonts w:hint="eastAsia" w:hAnsi="宋体"/>
          <w:color w:val="000000" w:themeColor="text1"/>
          <w:sz w:val="24"/>
          <w:szCs w:val="24"/>
          <w:u w:val="single"/>
        </w:rPr>
        <w:t xml:space="preserve">     </w:t>
      </w:r>
      <w:r>
        <w:rPr>
          <w:rFonts w:hint="eastAsia" w:hAnsi="宋体"/>
          <w:color w:val="000000" w:themeColor="text1"/>
          <w:sz w:val="24"/>
          <w:szCs w:val="24"/>
        </w:rPr>
        <w:t>年（自交货验收合格之日起计）。</w:t>
      </w:r>
      <w:r>
        <w:rPr>
          <w:rFonts w:hint="eastAsia" w:hAnsi="宋体" w:cs="Times New Roman"/>
          <w:sz w:val="24"/>
          <w:szCs w:val="24"/>
        </w:rPr>
        <w:t>中标后需提供加盖原厂公章的</w:t>
      </w:r>
      <w:r>
        <w:rPr>
          <w:rFonts w:hint="eastAsia" w:hAnsi="宋体"/>
          <w:color w:val="000000" w:themeColor="text1"/>
          <w:sz w:val="24"/>
          <w:szCs w:val="24"/>
        </w:rPr>
        <w:t>一年及以上质保及三年及以上上门服务承诺函（质保期具体按投标人承诺）。</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九、交货期、交货方式及交货地点</w:t>
      </w:r>
    </w:p>
    <w:p>
      <w:pPr>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9.1 交货期：合同签订后30个工作日内送至盐城幼儿师范高等专科学校指定地点，并安装、调试到位。</w:t>
      </w:r>
    </w:p>
    <w:p>
      <w:pPr>
        <w:pStyle w:val="13"/>
        <w:snapToGrid w:val="0"/>
        <w:spacing w:line="360" w:lineRule="auto"/>
        <w:ind w:firstLine="480" w:firstLineChars="200"/>
        <w:rPr>
          <w:rFonts w:hAnsi="宋体"/>
          <w:bCs/>
          <w:color w:val="000000" w:themeColor="text1"/>
          <w:sz w:val="24"/>
          <w:szCs w:val="24"/>
        </w:rPr>
      </w:pPr>
      <w:r>
        <w:rPr>
          <w:rFonts w:hAnsi="宋体"/>
          <w:bCs/>
          <w:color w:val="000000" w:themeColor="text1"/>
          <w:sz w:val="24"/>
          <w:szCs w:val="24"/>
        </w:rPr>
        <w:t xml:space="preserve">9.2 </w:t>
      </w:r>
      <w:r>
        <w:rPr>
          <w:rFonts w:hint="eastAsia" w:hAnsi="宋体"/>
          <w:bCs/>
          <w:color w:val="000000" w:themeColor="text1"/>
          <w:sz w:val="24"/>
          <w:szCs w:val="24"/>
        </w:rPr>
        <w:t>交货方式：</w:t>
      </w:r>
      <w:r>
        <w:rPr>
          <w:rFonts w:hint="eastAsia" w:hAnsi="宋体"/>
          <w:color w:val="000000" w:themeColor="text1"/>
          <w:sz w:val="24"/>
          <w:szCs w:val="24"/>
        </w:rPr>
        <w:t>按照甲方要求和采用保证设备性能的包装要求。设备交货应保证及时性和部件的完整性，全部设备及附件必须在约定时间之前运到现场；若因乙方运输造成任何桥梁、道路等损害而引起纠纷和索赔，须由乙方自行解决。乙方负责通行证件的办理，并承担相关费用。乙方应尽最大努力采取措施降低合同设备在运输和安装过程中的风险。</w:t>
      </w:r>
    </w:p>
    <w:p>
      <w:pPr>
        <w:pStyle w:val="13"/>
        <w:snapToGrid w:val="0"/>
        <w:spacing w:line="360" w:lineRule="auto"/>
        <w:ind w:firstLine="480" w:firstLineChars="200"/>
        <w:rPr>
          <w:rFonts w:hAnsi="宋体"/>
          <w:b/>
          <w:color w:val="000000" w:themeColor="text1"/>
          <w:sz w:val="24"/>
          <w:szCs w:val="24"/>
        </w:rPr>
      </w:pPr>
      <w:r>
        <w:rPr>
          <w:rFonts w:hAnsi="宋体"/>
          <w:bCs/>
          <w:color w:val="000000" w:themeColor="text1"/>
          <w:sz w:val="24"/>
          <w:szCs w:val="24"/>
        </w:rPr>
        <w:t xml:space="preserve">9.3 </w:t>
      </w:r>
      <w:r>
        <w:rPr>
          <w:rFonts w:hint="eastAsia" w:hAnsi="宋体"/>
          <w:bCs/>
          <w:color w:val="000000" w:themeColor="text1"/>
          <w:sz w:val="24"/>
          <w:szCs w:val="24"/>
        </w:rPr>
        <w:t>交货地点：送货到甲方指定地点并安装调试。</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十、货款支付</w:t>
      </w:r>
    </w:p>
    <w:p>
      <w:pPr>
        <w:pStyle w:val="13"/>
        <w:snapToGrid w:val="0"/>
        <w:spacing w:line="360" w:lineRule="auto"/>
        <w:ind w:firstLine="480" w:firstLineChars="200"/>
        <w:rPr>
          <w:rFonts w:hAnsi="宋体"/>
          <w:sz w:val="24"/>
          <w:szCs w:val="24"/>
          <w:u w:val="single"/>
        </w:rPr>
      </w:pPr>
      <w:r>
        <w:rPr>
          <w:rFonts w:hAnsi="宋体"/>
          <w:color w:val="000000" w:themeColor="text1"/>
          <w:sz w:val="24"/>
          <w:szCs w:val="24"/>
        </w:rPr>
        <w:t xml:space="preserve">10.1 </w:t>
      </w:r>
      <w:r>
        <w:rPr>
          <w:rFonts w:hint="eastAsia" w:hAnsi="宋体"/>
          <w:color w:val="000000" w:themeColor="text1"/>
          <w:sz w:val="24"/>
          <w:szCs w:val="24"/>
          <w:highlight w:val="yellow"/>
        </w:rPr>
        <w:t>付款方式</w:t>
      </w:r>
      <w:r>
        <w:rPr>
          <w:rFonts w:hint="eastAsia" w:hAnsi="宋体"/>
          <w:color w:val="000000" w:themeColor="text1"/>
          <w:sz w:val="24"/>
          <w:szCs w:val="24"/>
        </w:rPr>
        <w:t>：</w:t>
      </w:r>
      <w:r>
        <w:rPr>
          <w:rFonts w:hint="eastAsia" w:hAnsi="宋体"/>
          <w:sz w:val="24"/>
          <w:szCs w:val="24"/>
          <w:u w:val="single"/>
        </w:rPr>
        <w:t>预付款按盐财购【2022】23号文执行，货物全部送达甲方指定地点，经甲方核点完毕后付合同价的50%；待货物安装、调试、验收合格后30日内，支付合格货物总价的100%。</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付款前，乙方应当提供完税发票供甲方办理付款手续。如乙方不提供完税发票的，校方有权拒绝付款。</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10.2</w:t>
      </w:r>
      <w:r>
        <w:rPr>
          <w:rFonts w:hint="eastAsia" w:hAnsi="宋体"/>
          <w:color w:val="000000" w:themeColor="text1"/>
          <w:sz w:val="24"/>
          <w:szCs w:val="24"/>
        </w:rPr>
        <w:t>当采购数量与实际使用数量不一致时，乙方应根据实际使用量供货，合同的最终结算金额按实际使用量乘以成交单价进行计算。</w:t>
      </w:r>
    </w:p>
    <w:p>
      <w:pPr>
        <w:pStyle w:val="13"/>
        <w:snapToGrid w:val="0"/>
        <w:spacing w:line="360" w:lineRule="auto"/>
        <w:ind w:firstLine="482" w:firstLineChars="200"/>
        <w:rPr>
          <w:b/>
          <w:color w:val="000000" w:themeColor="text1"/>
          <w:sz w:val="24"/>
          <w:szCs w:val="24"/>
        </w:rPr>
      </w:pPr>
      <w:r>
        <w:rPr>
          <w:rFonts w:hint="eastAsia" w:hAnsi="宋体"/>
          <w:b/>
          <w:color w:val="000000" w:themeColor="text1"/>
          <w:sz w:val="24"/>
          <w:szCs w:val="24"/>
        </w:rPr>
        <w:t>十一、税费</w:t>
      </w:r>
    </w:p>
    <w:p>
      <w:pPr>
        <w:snapToGrid w:val="0"/>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snapToGrid w:val="0"/>
        <w:spacing w:line="360" w:lineRule="auto"/>
        <w:ind w:firstLine="480" w:firstLineChars="200"/>
        <w:rPr>
          <w:rFonts w:ascii="宋体"/>
          <w:color w:val="000000" w:themeColor="text1"/>
          <w:sz w:val="24"/>
          <w:szCs w:val="24"/>
        </w:rPr>
      </w:pPr>
      <w:r>
        <w:rPr>
          <w:rFonts w:hint="eastAsia" w:ascii="宋体" w:hAnsi="宋体"/>
          <w:color w:val="000000" w:themeColor="text1"/>
          <w:sz w:val="24"/>
          <w:szCs w:val="24"/>
        </w:rPr>
        <w:t>11.2乙方必须为全部合同设备投保运输一切险，保险履盖范围包括从卖方起运站/港口仓库起，到甲方指定的工地卸货仓库/工地安装现场并经开箱验收合格为止，保险费应含在合同价中。</w:t>
      </w:r>
    </w:p>
    <w:p>
      <w:pPr>
        <w:pStyle w:val="13"/>
        <w:numPr>
          <w:ilvl w:val="0"/>
          <w:numId w:val="1"/>
        </w:numPr>
        <w:snapToGrid w:val="0"/>
        <w:spacing w:before="156" w:beforeLines="50" w:line="360" w:lineRule="auto"/>
        <w:ind w:left="412" w:hanging="412" w:hangingChars="171"/>
        <w:rPr>
          <w:rFonts w:hAnsi="宋体"/>
          <w:b/>
          <w:color w:val="000000" w:themeColor="text1"/>
          <w:sz w:val="24"/>
          <w:szCs w:val="24"/>
        </w:rPr>
      </w:pPr>
      <w:r>
        <w:rPr>
          <w:rFonts w:hint="eastAsia" w:hAnsi="宋体"/>
          <w:b/>
          <w:color w:val="000000" w:themeColor="text1"/>
          <w:sz w:val="24"/>
          <w:szCs w:val="24"/>
        </w:rPr>
        <w:t>质量保证及售后服务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12.1产品均提供三证（产品合格证、使用说明书、产品保修卡），终身维修。产品质量达到企业标准，并做出以下产品服务承诺：</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（2）保修：在申明的产品保修期内，对因设计、工艺、材料不良而影响产品使用功能，本公司承担修复产品所产生的各项配件和服务费用；</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rFonts w:cs="Times New Roman"/>
          <w:color w:val="000000" w:themeColor="text1"/>
          <w:kern w:val="2"/>
        </w:rPr>
      </w:pPr>
      <w:r>
        <w:rPr>
          <w:rFonts w:hint="eastAsia" w:cs="Times New Roman"/>
          <w:color w:val="000000" w:themeColor="text1"/>
          <w:kern w:val="2"/>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13"/>
        <w:snapToGrid w:val="0"/>
        <w:spacing w:line="360" w:lineRule="auto"/>
        <w:ind w:firstLine="480" w:firstLineChars="200"/>
        <w:rPr>
          <w:rFonts w:hAnsi="宋体"/>
          <w:sz w:val="24"/>
          <w:szCs w:val="24"/>
        </w:rPr>
      </w:pPr>
      <w:r>
        <w:rPr>
          <w:rFonts w:hAnsi="宋体"/>
          <w:sz w:val="24"/>
          <w:szCs w:val="24"/>
        </w:rPr>
        <w:t>12.</w:t>
      </w:r>
      <w:r>
        <w:rPr>
          <w:rFonts w:hint="eastAsia" w:hAnsi="宋体"/>
          <w:sz w:val="24"/>
          <w:szCs w:val="24"/>
        </w:rPr>
        <w:t>2在质保期内，乙方应对货物出现的质量及安全问题负责处理解决并承担一切费用。根据厂方的规定对所供货物进行保修，在质量保证期内，乙方不得收取任何费用；质量保证期满后，乙方对用户货物的维修，只收成本费，并提供终生技术服务。</w:t>
      </w:r>
    </w:p>
    <w:p>
      <w:pPr>
        <w:pStyle w:val="13"/>
        <w:snapToGrid w:val="0"/>
        <w:spacing w:line="360" w:lineRule="auto"/>
        <w:ind w:firstLine="480" w:firstLineChars="200"/>
        <w:rPr>
          <w:rFonts w:hAnsi="宋体"/>
          <w:sz w:val="24"/>
          <w:szCs w:val="24"/>
        </w:rPr>
      </w:pPr>
      <w:r>
        <w:rPr>
          <w:rFonts w:hint="eastAsia" w:hAnsi="宋体"/>
          <w:sz w:val="24"/>
          <w:szCs w:val="24"/>
        </w:rPr>
        <w:t>12.3如甲方使用不当造成货物的毁损，乙方有义务协助维修。</w:t>
      </w:r>
    </w:p>
    <w:p>
      <w:pPr>
        <w:pStyle w:val="13"/>
        <w:snapToGrid w:val="0"/>
        <w:spacing w:line="360" w:lineRule="auto"/>
        <w:ind w:firstLine="480" w:firstLineChars="200"/>
        <w:rPr>
          <w:rFonts w:hAnsi="宋体"/>
          <w:sz w:val="24"/>
          <w:szCs w:val="24"/>
        </w:rPr>
      </w:pPr>
      <w:r>
        <w:rPr>
          <w:rFonts w:hint="eastAsia" w:hAnsi="宋体"/>
          <w:sz w:val="24"/>
          <w:szCs w:val="24"/>
        </w:rPr>
        <w:t>12.4乙方应对其施工人员的现场安全责任负责，因施工现场造成的安全事故或人员伤亡由乙方承担相应责任及发生的一切费用。</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十三、调试和验收</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13.1 </w:t>
      </w:r>
      <w:r>
        <w:rPr>
          <w:rFonts w:hint="eastAsia" w:hAnsi="宋体"/>
          <w:color w:val="000000" w:themeColor="text1"/>
          <w:sz w:val="24"/>
          <w:szCs w:val="24"/>
        </w:rPr>
        <w:t>甲方对乙方提交的货物依据招标文件上的技术规格要求和国家有关质量标准进行现场初步验收，外观、说明书符合招标文件技术要求的，给予签收，初步验收不合格的不予签收。全部货物安装调试完毕后15日内，由甲方邀请相关专业人员，按照招标文件的要求和现行技术标准、强制性标准对所供货物的技术性能、技术参数、安装质量等进行验收。甲方的初步验收并不免除乙方的质量保证责任。</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13.2 </w:t>
      </w:r>
      <w:r>
        <w:rPr>
          <w:rFonts w:hint="eastAsia" w:hAnsi="宋体"/>
          <w:color w:val="000000" w:themeColor="text1"/>
          <w:sz w:val="24"/>
          <w:szCs w:val="24"/>
        </w:rPr>
        <w:t>乙方交货前应对产品作出全面检查和对验收文件进行整理，并列出清单，作为甲方收货验收和使用的技术条件依据，检验的结果应随货物交甲方。</w:t>
      </w:r>
    </w:p>
    <w:p>
      <w:pPr>
        <w:pStyle w:val="13"/>
        <w:snapToGrid w:val="0"/>
        <w:spacing w:line="360" w:lineRule="auto"/>
        <w:ind w:firstLine="480" w:firstLineChars="200"/>
        <w:rPr>
          <w:rFonts w:hAnsi="宋体"/>
          <w:color w:val="000000" w:themeColor="text1"/>
          <w:sz w:val="24"/>
          <w:szCs w:val="24"/>
          <w:u w:val="single"/>
        </w:rPr>
      </w:pPr>
      <w:r>
        <w:rPr>
          <w:rFonts w:hAnsi="宋体"/>
          <w:color w:val="000000" w:themeColor="text1"/>
          <w:sz w:val="24"/>
          <w:szCs w:val="24"/>
        </w:rPr>
        <w:t xml:space="preserve">13.3 </w:t>
      </w:r>
      <w:r>
        <w:rPr>
          <w:rFonts w:hint="eastAsia" w:hAnsi="宋体"/>
          <w:color w:val="000000" w:themeColor="text1"/>
          <w:sz w:val="24"/>
          <w:szCs w:val="24"/>
        </w:rPr>
        <w:t>甲方对乙方提供的货物在使用前进行调试时，乙方需负责安装并培训甲方的使用操作人员，并协助甲方一起调试，直到符合技术要求，甲方才做最终验收。</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13.4 </w:t>
      </w:r>
      <w:r>
        <w:rPr>
          <w:rFonts w:hint="eastAsia" w:hAnsi="宋体"/>
          <w:color w:val="000000" w:themeColor="text1"/>
          <w:sz w:val="24"/>
          <w:szCs w:val="24"/>
        </w:rPr>
        <w:t>对技术复杂的货物，甲方可请国家认可的专业检测机构参与初步验收及最终验收，并由其出具质量检测报告。检查结果与约定的质量标准不符合或存在瑕疵时，由乙方承担全部赔偿责任及检测费用。</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13.5 </w:t>
      </w:r>
      <w:r>
        <w:rPr>
          <w:rFonts w:hint="eastAsia" w:hAnsi="宋体"/>
          <w:color w:val="000000" w:themeColor="text1"/>
          <w:sz w:val="24"/>
          <w:szCs w:val="24"/>
        </w:rPr>
        <w:t>验收时乙方必须在现场，验收完毕后作出验收结果报告；验收费用由甲乙双方协商解决。</w:t>
      </w:r>
    </w:p>
    <w:p>
      <w:pPr>
        <w:snapToGrid w:val="0"/>
        <w:spacing w:line="360" w:lineRule="auto"/>
        <w:ind w:firstLine="482" w:firstLineChars="200"/>
        <w:rPr>
          <w:rFonts w:ascii="宋体" w:hAnsi="宋体" w:cs="Courier New"/>
          <w:b/>
          <w:color w:val="000000"/>
          <w:sz w:val="24"/>
          <w:szCs w:val="24"/>
        </w:rPr>
      </w:pPr>
      <w:r>
        <w:rPr>
          <w:rFonts w:hint="eastAsia" w:ascii="宋体" w:hAnsi="宋体" w:cs="Courier New"/>
          <w:b/>
          <w:color w:val="000000"/>
          <w:sz w:val="24"/>
          <w:szCs w:val="24"/>
        </w:rPr>
        <w:t>13.6全部产品送至现场后，</w:t>
      </w:r>
      <w:r>
        <w:rPr>
          <w:rFonts w:hint="eastAsia" w:hAnsi="宋体"/>
          <w:b/>
          <w:bCs/>
          <w:color w:val="000000"/>
          <w:sz w:val="24"/>
          <w:szCs w:val="24"/>
        </w:rPr>
        <w:t>甲方</w:t>
      </w:r>
      <w:r>
        <w:rPr>
          <w:rFonts w:hint="eastAsia" w:ascii="宋体" w:hAnsi="宋体" w:cs="Courier New"/>
          <w:b/>
          <w:color w:val="000000"/>
          <w:sz w:val="24"/>
          <w:szCs w:val="24"/>
        </w:rPr>
        <w:t>有权随机</w:t>
      </w:r>
      <w:r>
        <w:rPr>
          <w:rFonts w:hint="eastAsia" w:hAnsi="宋体"/>
          <w:b/>
          <w:bCs/>
          <w:color w:val="000000"/>
          <w:sz w:val="24"/>
          <w:szCs w:val="24"/>
        </w:rPr>
        <w:t>抽取一样或多样产品</w:t>
      </w:r>
      <w:r>
        <w:rPr>
          <w:rFonts w:hint="eastAsia" w:ascii="宋体" w:hAnsi="宋体" w:cs="Courier New"/>
          <w:b/>
          <w:color w:val="000000"/>
          <w:sz w:val="24"/>
          <w:szCs w:val="24"/>
        </w:rPr>
        <w:t>送至质检部门检测，并由乙方派技术人员到检验中心现场辅助安装。如抽检一次性合格，检测费用及由此产生的所有费用（含产品）由甲方承担。如第一次检测不合格，所有的费用（含产品）及全部检测费用（不论检测几次）均由乙方承担，且甲方有权退回所有产品并没收履约保证金。同时甲方有权使用检测不合格产品直至合格产品替换（乙方承担一切费用）或指定其他生产厂家直接供货，产品费用按其他生产厂家供货价直接从乙方合同价款中扣除。</w:t>
      </w:r>
    </w:p>
    <w:p>
      <w:pPr>
        <w:spacing w:line="360" w:lineRule="auto"/>
        <w:ind w:firstLine="482" w:firstLineChars="200"/>
        <w:rPr>
          <w:rFonts w:ascii="仿宋_GB2312" w:eastAsia="仿宋_GB2312"/>
          <w:kern w:val="0"/>
          <w:sz w:val="30"/>
          <w:szCs w:val="30"/>
        </w:rPr>
      </w:pPr>
      <w:r>
        <w:rPr>
          <w:rFonts w:hint="eastAsia" w:ascii="新宋体" w:hAnsi="新宋体" w:eastAsia="新宋体"/>
          <w:b/>
          <w:color w:val="000000"/>
          <w:kern w:val="0"/>
          <w:sz w:val="24"/>
          <w:szCs w:val="30"/>
        </w:rPr>
        <w:t>13.7本项目乙方使用的所有材料必须为安全、环保材料，在供货结束后甲方将对所有涉及到环保要求的材料进行抽检，并将组织权威部门的检测机构进行室内环境质量检测，如不达标，造成的一切损失以及后果（包括但不限于检测费用及由此产生的所有费用）均由乙方自行承担。</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十四、货物包装、发运及运输</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14.1 </w:t>
      </w:r>
      <w:r>
        <w:rPr>
          <w:rFonts w:hint="eastAsia" w:hAnsi="宋体"/>
          <w:color w:val="000000" w:themeColor="text1"/>
          <w:sz w:val="24"/>
          <w:szCs w:val="24"/>
        </w:rPr>
        <w:t>乙方应在货物发运前对其进行满足运输距离、防潮、防震、防锈和防破损装卸等要求包装，以保证货物安全运达甲方指定地点。</w:t>
      </w:r>
    </w:p>
    <w:p>
      <w:pPr>
        <w:pStyle w:val="13"/>
        <w:snapToGrid w:val="0"/>
        <w:spacing w:line="360" w:lineRule="auto"/>
        <w:ind w:left="65" w:hanging="64" w:hangingChars="27"/>
        <w:rPr>
          <w:rFonts w:hAnsi="宋体"/>
          <w:color w:val="000000" w:themeColor="text1"/>
          <w:sz w:val="24"/>
          <w:szCs w:val="24"/>
        </w:rPr>
      </w:pPr>
      <w:r>
        <w:rPr>
          <w:rFonts w:hAnsi="宋体"/>
          <w:color w:val="000000" w:themeColor="text1"/>
          <w:sz w:val="24"/>
          <w:szCs w:val="24"/>
        </w:rPr>
        <w:t xml:space="preserve">14.2 </w:t>
      </w:r>
      <w:r>
        <w:rPr>
          <w:rFonts w:hint="eastAsia" w:hAnsi="宋体"/>
          <w:color w:val="000000" w:themeColor="text1"/>
          <w:sz w:val="24"/>
          <w:szCs w:val="24"/>
        </w:rPr>
        <w:t>使用说明书、质量检验证明书、随配附件和工具以及清单一并附于货物内。</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14.3 </w:t>
      </w:r>
      <w:r>
        <w:rPr>
          <w:rFonts w:hint="eastAsia" w:hAnsi="宋体"/>
          <w:color w:val="000000" w:themeColor="text1"/>
          <w:sz w:val="24"/>
          <w:szCs w:val="24"/>
        </w:rPr>
        <w:t>乙方在货物发运手续办理完毕后</w:t>
      </w:r>
      <w:r>
        <w:rPr>
          <w:rFonts w:hAnsi="宋体"/>
          <w:color w:val="000000" w:themeColor="text1"/>
          <w:sz w:val="24"/>
          <w:szCs w:val="24"/>
          <w:u w:val="single"/>
        </w:rPr>
        <w:t>24</w:t>
      </w:r>
      <w:r>
        <w:rPr>
          <w:rFonts w:hint="eastAsia" w:hAnsi="宋体"/>
          <w:color w:val="000000" w:themeColor="text1"/>
          <w:sz w:val="24"/>
          <w:szCs w:val="24"/>
          <w:u w:val="single"/>
        </w:rPr>
        <w:t>小时</w:t>
      </w:r>
      <w:r>
        <w:rPr>
          <w:rFonts w:hint="eastAsia" w:hAnsi="宋体"/>
          <w:color w:val="000000" w:themeColor="text1"/>
          <w:sz w:val="24"/>
          <w:szCs w:val="24"/>
        </w:rPr>
        <w:t>内或货到甲方</w:t>
      </w:r>
      <w:r>
        <w:rPr>
          <w:rFonts w:hAnsi="宋体"/>
          <w:color w:val="000000" w:themeColor="text1"/>
          <w:sz w:val="24"/>
          <w:szCs w:val="24"/>
          <w:u w:val="single"/>
        </w:rPr>
        <w:t>48</w:t>
      </w:r>
      <w:r>
        <w:rPr>
          <w:rFonts w:hint="eastAsia" w:hAnsi="宋体"/>
          <w:color w:val="000000" w:themeColor="text1"/>
          <w:sz w:val="24"/>
          <w:szCs w:val="24"/>
          <w:u w:val="single"/>
        </w:rPr>
        <w:t>小时</w:t>
      </w:r>
      <w:r>
        <w:rPr>
          <w:rFonts w:hint="eastAsia" w:hAnsi="宋体"/>
          <w:color w:val="000000" w:themeColor="text1"/>
          <w:sz w:val="24"/>
          <w:szCs w:val="24"/>
        </w:rPr>
        <w:t>前通知甲方，以准备接货。</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14.4 </w:t>
      </w:r>
      <w:r>
        <w:rPr>
          <w:rFonts w:hint="eastAsia" w:hAnsi="宋体"/>
          <w:color w:val="000000" w:themeColor="text1"/>
          <w:sz w:val="24"/>
          <w:szCs w:val="24"/>
        </w:rPr>
        <w:t>货物在交付甲方前发生的风险均由乙方负责。</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14.5 </w:t>
      </w:r>
      <w:r>
        <w:rPr>
          <w:rFonts w:hint="eastAsia" w:hAnsi="宋体"/>
          <w:color w:val="000000"/>
          <w:sz w:val="24"/>
          <w:szCs w:val="24"/>
        </w:rPr>
        <w:t>货物在规定的交付期限内由乙方送达甲方指定的地点，经甲方根据乙方提供的清单初步核对数量、外观无误的视为交付，乙方同时需通知甲方货物已送达，甲方的初步验收并不视为货物无任何质量问题，也并不免除乙方的质量保证责任。</w:t>
      </w:r>
    </w:p>
    <w:p>
      <w:pPr>
        <w:pStyle w:val="13"/>
        <w:snapToGrid w:val="0"/>
        <w:spacing w:before="156" w:beforeLines="50" w:line="360" w:lineRule="auto"/>
        <w:rPr>
          <w:rFonts w:hAnsi="宋体"/>
          <w:b/>
          <w:color w:val="000000" w:themeColor="text1"/>
          <w:sz w:val="24"/>
          <w:szCs w:val="24"/>
        </w:rPr>
      </w:pPr>
      <w:r>
        <w:rPr>
          <w:rFonts w:hint="eastAsia" w:hAnsi="宋体"/>
          <w:b/>
          <w:color w:val="000000" w:themeColor="text1"/>
          <w:sz w:val="24"/>
          <w:szCs w:val="24"/>
        </w:rPr>
        <w:t>十五、违约责任</w:t>
      </w:r>
    </w:p>
    <w:p>
      <w:pPr>
        <w:pStyle w:val="13"/>
        <w:snapToGrid w:val="0"/>
        <w:spacing w:line="360" w:lineRule="auto"/>
        <w:ind w:firstLine="544" w:firstLineChars="227"/>
        <w:rPr>
          <w:rFonts w:hAnsi="宋体"/>
          <w:color w:val="000000" w:themeColor="text1"/>
          <w:sz w:val="24"/>
          <w:szCs w:val="24"/>
        </w:rPr>
      </w:pPr>
      <w:r>
        <w:rPr>
          <w:rFonts w:hAnsi="宋体"/>
          <w:color w:val="000000" w:themeColor="text1"/>
          <w:sz w:val="24"/>
          <w:szCs w:val="24"/>
        </w:rPr>
        <w:t xml:space="preserve">15.1 </w:t>
      </w:r>
      <w:r>
        <w:rPr>
          <w:rFonts w:hint="eastAsia" w:hAnsi="宋体"/>
          <w:color w:val="000000" w:themeColor="text1"/>
          <w:sz w:val="24"/>
          <w:szCs w:val="24"/>
        </w:rPr>
        <w:t>甲方无正当理由拒收货物的，甲方向乙方偿付拒收货款总值的百分之五违</w:t>
      </w:r>
    </w:p>
    <w:p>
      <w:pPr>
        <w:pStyle w:val="13"/>
        <w:snapToGrid w:val="0"/>
        <w:spacing w:line="360" w:lineRule="auto"/>
        <w:rPr>
          <w:rFonts w:hAnsi="宋体"/>
          <w:color w:val="000000" w:themeColor="text1"/>
          <w:sz w:val="24"/>
          <w:szCs w:val="24"/>
        </w:rPr>
      </w:pPr>
      <w:r>
        <w:rPr>
          <w:rFonts w:hint="eastAsia" w:hAnsi="宋体"/>
          <w:color w:val="000000" w:themeColor="text1"/>
          <w:sz w:val="24"/>
          <w:szCs w:val="24"/>
        </w:rPr>
        <w:t>约金。</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15.2 </w:t>
      </w:r>
      <w:r>
        <w:rPr>
          <w:rFonts w:hint="eastAsia" w:hAnsi="宋体"/>
          <w:color w:val="000000" w:themeColor="text1"/>
          <w:sz w:val="24"/>
          <w:szCs w:val="24"/>
        </w:rPr>
        <w:t>甲方无故逾期验收和办理货款支付手续的</w:t>
      </w:r>
      <w:r>
        <w:rPr>
          <w:rFonts w:hAnsi="宋体"/>
          <w:color w:val="000000" w:themeColor="text1"/>
          <w:sz w:val="24"/>
          <w:szCs w:val="24"/>
        </w:rPr>
        <w:t>,</w:t>
      </w:r>
      <w:r>
        <w:rPr>
          <w:rFonts w:hint="eastAsia" w:hAnsi="宋体"/>
          <w:color w:val="000000" w:themeColor="text1"/>
          <w:sz w:val="24"/>
          <w:szCs w:val="24"/>
        </w:rPr>
        <w:t>甲方应按逾期付款总额每日万分之五向乙方支付违约金。</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15.3 </w:t>
      </w:r>
      <w:r>
        <w:rPr>
          <w:rFonts w:hint="eastAsia" w:hAnsi="宋体"/>
          <w:color w:val="000000" w:themeColor="text1"/>
          <w:sz w:val="24"/>
          <w:szCs w:val="24"/>
        </w:rPr>
        <w:t>乙方逾期交付货物的，乙方应按逾期交货总额每日千分之六向甲方支付违约金，由甲方从待付货款中扣除。逾期超过约定日期</w:t>
      </w:r>
      <w:r>
        <w:rPr>
          <w:rFonts w:hAnsi="宋体"/>
          <w:color w:val="000000" w:themeColor="text1"/>
          <w:sz w:val="24"/>
          <w:szCs w:val="24"/>
        </w:rPr>
        <w:t>10</w:t>
      </w:r>
      <w:r>
        <w:rPr>
          <w:rFonts w:hint="eastAsia" w:hAnsi="宋体"/>
          <w:color w:val="000000" w:themeColor="text1"/>
          <w:sz w:val="24"/>
          <w:szCs w:val="24"/>
        </w:rPr>
        <w:t>个工作日不能交货的，甲方可解除本合同。乙方因逾期交货或因其他违约行为导致甲方解除合同的，乙方应向甲方支付合同总值</w:t>
      </w:r>
      <w:r>
        <w:rPr>
          <w:rFonts w:hAnsi="宋体"/>
          <w:color w:val="000000" w:themeColor="text1"/>
          <w:sz w:val="24"/>
          <w:szCs w:val="24"/>
        </w:rPr>
        <w:t>5%</w:t>
      </w:r>
      <w:r>
        <w:rPr>
          <w:rFonts w:hint="eastAsia" w:hAnsi="宋体"/>
          <w:color w:val="000000" w:themeColor="text1"/>
          <w:sz w:val="24"/>
          <w:szCs w:val="24"/>
        </w:rPr>
        <w:t>的违约金，如造成甲方损失超过违约金的，超出部分由乙方继续承担赔偿责任。</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15.4 </w:t>
      </w:r>
      <w:r>
        <w:rPr>
          <w:rFonts w:hint="eastAsia" w:hAnsi="宋体"/>
          <w:color w:val="000000" w:themeColor="text1"/>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如发现乙方所供产品与投标品牌不一致，甲方将作退货处理，由此造成的一切损失以及后果均由乙方自行承担。</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15.5 由于乙方提供的产品及配件、软件质量问题，以及乙方的维修服务质量（包括维修不及时）等原因，导致本产品在合理使用期间内出现的质量事故、安全事故等，乙方应向甲方支付违约合同总价款百分之五的违约金，并承担由此造成的其他一切损失。</w:t>
      </w:r>
    </w:p>
    <w:p>
      <w:pPr>
        <w:pStyle w:val="13"/>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15.6 本合同约定的违约金不能弥补甲方损失的，甲方有权向乙方追偿。甲方因乙方违约向乙方追偿所支出的任何费用由乙方承担。</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十六、不可抗力事件处理</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16.1 </w:t>
      </w:r>
      <w:r>
        <w:rPr>
          <w:rFonts w:hint="eastAsia" w:hAnsi="宋体"/>
          <w:color w:val="000000" w:themeColor="text1"/>
          <w:sz w:val="24"/>
          <w:szCs w:val="24"/>
        </w:rPr>
        <w:t>在合同有效期内，任何一方因不可抗力事件导致不能履行合同，则合同履行期可延长，其延长期与不可抗力影响期相同。</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16.2 </w:t>
      </w:r>
      <w:r>
        <w:rPr>
          <w:rFonts w:hint="eastAsia" w:hAnsi="宋体"/>
          <w:color w:val="000000" w:themeColor="text1"/>
          <w:sz w:val="24"/>
          <w:szCs w:val="24"/>
        </w:rPr>
        <w:t>不可抗力事件发生后，应立即通知对方，并寄送有关权威机构出具的证明。</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16.3 </w:t>
      </w:r>
      <w:r>
        <w:rPr>
          <w:rFonts w:hint="eastAsia" w:hAnsi="宋体"/>
          <w:color w:val="000000" w:themeColor="text1"/>
          <w:sz w:val="24"/>
          <w:szCs w:val="24"/>
        </w:rPr>
        <w:t>不可抗力事件延续</w:t>
      </w:r>
      <w:r>
        <w:rPr>
          <w:rFonts w:hAnsi="宋体"/>
          <w:color w:val="000000" w:themeColor="text1"/>
          <w:sz w:val="24"/>
          <w:szCs w:val="24"/>
        </w:rPr>
        <w:t>120</w:t>
      </w:r>
      <w:r>
        <w:rPr>
          <w:rFonts w:hint="eastAsia" w:hAnsi="宋体"/>
          <w:color w:val="000000" w:themeColor="text1"/>
          <w:sz w:val="24"/>
          <w:szCs w:val="24"/>
        </w:rPr>
        <w:t>天以上，双方应通过友好协商，确定是否继续履行合同。</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十七、诉讼</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17.1 </w:t>
      </w:r>
      <w:r>
        <w:rPr>
          <w:rFonts w:hint="eastAsia" w:hAnsi="宋体"/>
          <w:color w:val="000000" w:themeColor="text1"/>
          <w:sz w:val="24"/>
          <w:szCs w:val="24"/>
        </w:rPr>
        <w:t>双方在执行合同中所发生的一切争议，应通过协商解决。如协商不成，可向合同签订地法院起诉，合同签订地在此约定为盐城市。</w:t>
      </w:r>
    </w:p>
    <w:p>
      <w:pPr>
        <w:pStyle w:val="13"/>
        <w:snapToGrid w:val="0"/>
        <w:spacing w:line="360" w:lineRule="auto"/>
        <w:rPr>
          <w:rFonts w:hAnsi="宋体"/>
          <w:b/>
          <w:color w:val="000000" w:themeColor="text1"/>
          <w:sz w:val="24"/>
          <w:szCs w:val="24"/>
        </w:rPr>
      </w:pPr>
      <w:r>
        <w:rPr>
          <w:rFonts w:hint="eastAsia" w:hAnsi="宋体"/>
          <w:b/>
          <w:color w:val="000000" w:themeColor="text1"/>
          <w:sz w:val="24"/>
          <w:szCs w:val="24"/>
        </w:rPr>
        <w:t>十八、合同生效及其它</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 xml:space="preserve">18.1 </w:t>
      </w:r>
      <w:r>
        <w:rPr>
          <w:rFonts w:hint="eastAsia" w:hAnsi="宋体"/>
          <w:color w:val="000000" w:themeColor="text1"/>
          <w:sz w:val="24"/>
          <w:szCs w:val="24"/>
        </w:rPr>
        <w:t>合同经双方法定代表人或授权委托代表人签字并加盖单位公章后生效。</w:t>
      </w:r>
    </w:p>
    <w:p>
      <w:pPr>
        <w:pStyle w:val="13"/>
        <w:snapToGrid w:val="0"/>
        <w:spacing w:line="360" w:lineRule="auto"/>
        <w:ind w:firstLine="480" w:firstLineChars="200"/>
        <w:rPr>
          <w:rFonts w:hAnsi="宋体"/>
          <w:color w:val="000000" w:themeColor="text1"/>
          <w:sz w:val="24"/>
          <w:szCs w:val="24"/>
        </w:rPr>
      </w:pPr>
      <w:r>
        <w:rPr>
          <w:rFonts w:hAnsi="宋体"/>
          <w:color w:val="000000" w:themeColor="text1"/>
          <w:sz w:val="24"/>
          <w:szCs w:val="24"/>
        </w:rPr>
        <w:t>18.2</w:t>
      </w:r>
      <w:r>
        <w:rPr>
          <w:rFonts w:hint="eastAsia" w:hAnsi="宋体"/>
          <w:color w:val="000000" w:themeColor="text1"/>
          <w:sz w:val="24"/>
          <w:szCs w:val="24"/>
        </w:rPr>
        <w:t>本合同未尽事宜，遵照《民法典》有关条文执行。</w:t>
      </w:r>
    </w:p>
    <w:p>
      <w:pPr>
        <w:pStyle w:val="13"/>
        <w:snapToGrid w:val="0"/>
        <w:spacing w:line="360" w:lineRule="auto"/>
        <w:ind w:firstLine="482" w:firstLineChars="200"/>
        <w:rPr>
          <w:rFonts w:hAnsi="宋体"/>
          <w:b/>
          <w:color w:val="000000" w:themeColor="text1"/>
          <w:sz w:val="24"/>
          <w:szCs w:val="24"/>
        </w:rPr>
      </w:pPr>
      <w:r>
        <w:rPr>
          <w:rFonts w:hAnsi="宋体"/>
          <w:b/>
          <w:color w:val="000000" w:themeColor="text1"/>
          <w:sz w:val="24"/>
          <w:szCs w:val="24"/>
        </w:rPr>
        <w:t xml:space="preserve">18.3 </w:t>
      </w:r>
      <w:r>
        <w:rPr>
          <w:rFonts w:hint="eastAsia" w:hAnsi="宋体"/>
          <w:b/>
          <w:color w:val="000000" w:themeColor="text1"/>
          <w:sz w:val="24"/>
          <w:szCs w:val="24"/>
        </w:rPr>
        <w:t>本合同一式六份，具有同等法律效力，甲方、乙方各执三份。</w:t>
      </w:r>
    </w:p>
    <w:p>
      <w:pPr>
        <w:pStyle w:val="13"/>
        <w:snapToGrid w:val="0"/>
        <w:spacing w:line="360" w:lineRule="auto"/>
        <w:ind w:firstLine="482" w:firstLineChars="200"/>
        <w:rPr>
          <w:rFonts w:hAnsi="宋体"/>
          <w:b/>
          <w:color w:val="000000" w:themeColor="text1"/>
          <w:sz w:val="24"/>
          <w:szCs w:val="24"/>
        </w:rPr>
      </w:pP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甲方：                                    乙方：</w:t>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地址：                                    地址：</w:t>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法定代表人或授权代表：                    法定代表人或授权代表：</w:t>
      </w:r>
    </w:p>
    <w:p>
      <w:pPr>
        <w:pStyle w:val="13"/>
        <w:snapToGrid w:val="0"/>
        <w:spacing w:before="120" w:after="120" w:line="360" w:lineRule="auto"/>
        <w:ind w:firstLine="480" w:firstLineChars="200"/>
        <w:rPr>
          <w:rFonts w:hAnsi="宋体"/>
          <w:color w:val="000000" w:themeColor="text1"/>
          <w:sz w:val="24"/>
          <w:szCs w:val="24"/>
        </w:rPr>
      </w:pPr>
      <w:r>
        <w:rPr>
          <w:rFonts w:hint="eastAsia" w:hAnsi="宋体"/>
          <w:color w:val="000000" w:themeColor="text1"/>
          <w:sz w:val="24"/>
          <w:szCs w:val="24"/>
        </w:rPr>
        <w:t>联系电话：                                联系电话：</w:t>
      </w:r>
    </w:p>
    <w:p>
      <w:pPr>
        <w:pStyle w:val="13"/>
        <w:snapToGrid w:val="0"/>
        <w:spacing w:before="120" w:after="120" w:line="360" w:lineRule="auto"/>
        <w:ind w:firstLine="480" w:firstLineChars="200"/>
        <w:rPr>
          <w:rFonts w:hAnsi="宋体"/>
          <w:b/>
          <w:sz w:val="36"/>
          <w:szCs w:val="36"/>
        </w:rPr>
      </w:pPr>
      <w:r>
        <w:rPr>
          <w:rFonts w:hint="eastAsia" w:hAnsi="宋体"/>
          <w:color w:val="000000" w:themeColor="text1"/>
          <w:sz w:val="24"/>
          <w:szCs w:val="24"/>
        </w:rPr>
        <w:t xml:space="preserve">    年   月   日                              年   月   日</w:t>
      </w:r>
    </w:p>
    <w:p>
      <w:pPr>
        <w:pStyle w:val="27"/>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pPr>
    </w:p>
    <w:p>
      <w:pPr>
        <w:pStyle w:val="27"/>
      </w:pPr>
    </w:p>
    <w:p>
      <w:pPr>
        <w:numPr>
          <w:ilvl w:val="0"/>
          <w:numId w:val="2"/>
        </w:numPr>
        <w:jc w:val="center"/>
        <w:outlineLvl w:val="0"/>
        <w:rPr>
          <w:rFonts w:eastAsia="黑体"/>
          <w:color w:val="000000" w:themeColor="text1"/>
          <w:sz w:val="40"/>
          <w:szCs w:val="40"/>
        </w:rPr>
      </w:pPr>
      <w:bookmarkStart w:id="129" w:name="_Toc108021875"/>
      <w:r>
        <w:rPr>
          <w:rFonts w:eastAsia="黑体"/>
          <w:color w:val="000000" w:themeColor="text1"/>
          <w:sz w:val="40"/>
          <w:szCs w:val="40"/>
        </w:rPr>
        <w:t>项目需求</w:t>
      </w:r>
      <w:bookmarkEnd w:id="129"/>
    </w:p>
    <w:p>
      <w:pPr>
        <w:pStyle w:val="61"/>
        <w:numPr>
          <w:ilvl w:val="0"/>
          <w:numId w:val="3"/>
        </w:numPr>
        <w:snapToGrid w:val="0"/>
        <w:spacing w:line="560" w:lineRule="exact"/>
        <w:ind w:firstLine="640"/>
        <w:jc w:val="left"/>
        <w:rPr>
          <w:rFonts w:ascii="Times New Roman" w:hAnsi="Times New Roman" w:eastAsia="黑体"/>
          <w:position w:val="6"/>
          <w:sz w:val="32"/>
          <w:szCs w:val="32"/>
        </w:rPr>
      </w:pPr>
      <w:r>
        <w:rPr>
          <w:rFonts w:hint="eastAsia" w:ascii="Times New Roman" w:hAnsi="Times New Roman" w:eastAsia="黑体"/>
          <w:position w:val="6"/>
          <w:sz w:val="32"/>
          <w:szCs w:val="32"/>
        </w:rPr>
        <w:t>需求清单：</w:t>
      </w:r>
    </w:p>
    <w:p>
      <w:pPr>
        <w:ind w:firstLine="964" w:firstLineChars="400"/>
        <w:rPr>
          <w:rFonts w:ascii="宋体" w:hAnsi="宋体" w:cs="微软雅黑"/>
          <w:b/>
          <w:bCs/>
          <w:color w:val="FF0000"/>
          <w:position w:val="6"/>
          <w:sz w:val="24"/>
          <w:szCs w:val="24"/>
        </w:rPr>
      </w:pPr>
      <w:r>
        <w:rPr>
          <w:rFonts w:hint="eastAsia" w:ascii="宋体" w:hAnsi="宋体" w:cs="微软雅黑"/>
          <w:b/>
          <w:bCs/>
          <w:color w:val="FF0000"/>
          <w:position w:val="6"/>
          <w:sz w:val="24"/>
          <w:szCs w:val="24"/>
        </w:rPr>
        <w:t>特别说明：</w:t>
      </w:r>
    </w:p>
    <w:p>
      <w:pPr>
        <w:ind w:firstLine="964" w:firstLineChars="400"/>
        <w:rPr>
          <w:rFonts w:ascii="宋体" w:hAnsi="宋体" w:cs="微软雅黑"/>
          <w:b/>
          <w:bCs/>
          <w:color w:val="FF0000"/>
          <w:position w:val="6"/>
          <w:sz w:val="24"/>
          <w:szCs w:val="24"/>
        </w:rPr>
      </w:pPr>
      <w:r>
        <w:rPr>
          <w:rFonts w:hint="eastAsia" w:ascii="宋体" w:hAnsi="宋体" w:cs="微软雅黑"/>
          <w:b/>
          <w:bCs/>
          <w:color w:val="FF0000"/>
          <w:position w:val="6"/>
          <w:sz w:val="24"/>
          <w:szCs w:val="24"/>
        </w:rPr>
        <w:t>1、各标段技术参数中打★号为实质性要求，不满足（负偏离）按废标处理。</w:t>
      </w:r>
    </w:p>
    <w:p>
      <w:pPr>
        <w:pStyle w:val="21"/>
        <w:ind w:firstLine="964" w:firstLineChars="400"/>
        <w:rPr>
          <w:rFonts w:ascii="宋体" w:hAnsi="宋体" w:eastAsia="宋体" w:cs="微软雅黑"/>
          <w:b/>
          <w:bCs/>
          <w:color w:val="FF0000"/>
          <w:position w:val="6"/>
          <w:sz w:val="24"/>
          <w:szCs w:val="24"/>
        </w:rPr>
      </w:pPr>
      <w:r>
        <w:rPr>
          <w:rFonts w:hint="eastAsia" w:ascii="宋体" w:hAnsi="宋体" w:eastAsia="宋体" w:cs="微软雅黑"/>
          <w:b/>
          <w:bCs/>
          <w:color w:val="FF0000"/>
          <w:position w:val="6"/>
          <w:sz w:val="24"/>
          <w:szCs w:val="24"/>
        </w:rPr>
        <w:t>2、各标段技术参数中要求提供的认证证书、报告等材料投标时无需提供，在评标结束公示后7日内中标单位需提供上述材料的复印件供招标人审核，若不能提供货提供不全的，招标人有权取消其中标资格。</w:t>
      </w:r>
    </w:p>
    <w:p>
      <w:pPr>
        <w:pStyle w:val="13"/>
        <w:spacing w:line="560" w:lineRule="exact"/>
        <w:ind w:firstLine="5120" w:firstLineChars="1600"/>
        <w:rPr>
          <w:rFonts w:ascii="Times New Roman" w:hAnsi="Times New Roman" w:eastAsia="黑体"/>
          <w:sz w:val="32"/>
          <w:szCs w:val="32"/>
        </w:rPr>
      </w:pPr>
      <w:r>
        <w:rPr>
          <w:rFonts w:hint="eastAsia" w:ascii="Times New Roman" w:hAnsi="Times New Roman" w:eastAsia="黑体"/>
          <w:sz w:val="32"/>
          <w:szCs w:val="32"/>
        </w:rPr>
        <w:t>一标段产品需求清单：</w:t>
      </w:r>
    </w:p>
    <w:tbl>
      <w:tblPr>
        <w:tblStyle w:val="23"/>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67"/>
        <w:gridCol w:w="5970"/>
        <w:gridCol w:w="745"/>
        <w:gridCol w:w="851"/>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75" w:type="dxa"/>
            <w:gridSpan w:val="8"/>
            <w:shd w:val="clear" w:color="auto" w:fill="auto"/>
            <w:vAlign w:val="center"/>
          </w:tcPr>
          <w:p>
            <w:pPr>
              <w:jc w:val="center"/>
              <w:rPr>
                <w:rFonts w:ascii="宋体" w:hAnsi="宋体" w:cs="宋体"/>
                <w:kern w:val="0"/>
              </w:rPr>
            </w:pPr>
            <w:r>
              <w:rPr>
                <w:rFonts w:hint="eastAsia" w:ascii="宋体" w:hAnsi="宋体" w:cs="宋体"/>
                <w:b/>
                <w:bCs/>
                <w:kern w:val="0"/>
                <w:sz w:val="32"/>
                <w:szCs w:val="32"/>
              </w:rPr>
              <w:t>1、篮球馆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3"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67"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970"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745"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70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kern w:val="0"/>
              </w:rPr>
              <w:t>参考品牌</w:t>
            </w:r>
          </w:p>
        </w:tc>
        <w:tc>
          <w:tcPr>
            <w:tcW w:w="113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673"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367" w:type="dxa"/>
            <w:shd w:val="clear" w:color="auto" w:fill="auto"/>
            <w:vAlign w:val="center"/>
          </w:tcPr>
          <w:p>
            <w:pPr>
              <w:pStyle w:val="27"/>
              <w:jc w:val="both"/>
              <w:rPr>
                <w:rFonts w:hAnsi="宋体"/>
                <w:color w:val="auto"/>
                <w:sz w:val="21"/>
                <w:szCs w:val="21"/>
              </w:rPr>
            </w:pPr>
            <w:r>
              <w:rPr>
                <w:rFonts w:hint="eastAsia" w:hAnsi="宋体"/>
                <w:color w:val="auto"/>
                <w:sz w:val="21"/>
                <w:szCs w:val="21"/>
              </w:rPr>
              <w:t>篮球架</w:t>
            </w:r>
          </w:p>
          <w:p>
            <w:pPr>
              <w:pStyle w:val="21"/>
              <w:spacing w:before="156" w:after="156"/>
              <w:ind w:firstLine="0" w:firstLineChars="0"/>
              <w:rPr>
                <w:rFonts w:ascii="Times New Roman" w:hAnsi="宋体" w:eastAsia="宋体"/>
                <w:b/>
                <w:bCs/>
                <w:kern w:val="0"/>
                <w:sz w:val="21"/>
                <w:szCs w:val="21"/>
              </w:rPr>
            </w:pPr>
            <w:r>
              <w:rPr>
                <w:rFonts w:hint="eastAsia" w:ascii="Times New Roman" w:hAnsi="宋体" w:eastAsia="宋体"/>
                <w:b/>
                <w:bCs/>
                <w:kern w:val="0"/>
                <w:sz w:val="21"/>
                <w:szCs w:val="21"/>
              </w:rPr>
              <w:t>(核心产品）</w:t>
            </w:r>
          </w:p>
          <w:p>
            <w:pPr>
              <w:pStyle w:val="27"/>
              <w:jc w:val="both"/>
              <w:rPr>
                <w:rFonts w:hAnsi="宋体"/>
                <w:color w:val="auto"/>
                <w:sz w:val="21"/>
                <w:szCs w:val="21"/>
              </w:rPr>
            </w:pPr>
          </w:p>
        </w:tc>
        <w:tc>
          <w:tcPr>
            <w:tcW w:w="5970" w:type="dxa"/>
            <w:shd w:val="clear" w:color="auto" w:fill="auto"/>
            <w:vAlign w:val="center"/>
          </w:tcPr>
          <w:p>
            <w:pPr>
              <w:pStyle w:val="27"/>
              <w:jc w:val="both"/>
              <w:rPr>
                <w:rFonts w:hAnsi="宋体"/>
                <w:color w:val="auto"/>
                <w:sz w:val="21"/>
                <w:szCs w:val="21"/>
              </w:rPr>
            </w:pPr>
            <w:r>
              <w:rPr>
                <w:rFonts w:hint="eastAsia" w:hAnsi="宋体"/>
                <w:color w:val="auto"/>
                <w:sz w:val="21"/>
                <w:szCs w:val="21"/>
              </w:rPr>
              <w:t>1.底座：2.15x1.14m，伸臂3.25m</w:t>
            </w:r>
          </w:p>
          <w:p>
            <w:pPr>
              <w:pStyle w:val="27"/>
              <w:jc w:val="both"/>
              <w:rPr>
                <w:rFonts w:hAnsi="宋体"/>
                <w:color w:val="auto"/>
                <w:sz w:val="21"/>
                <w:szCs w:val="21"/>
              </w:rPr>
            </w:pPr>
            <w:r>
              <w:rPr>
                <w:rFonts w:hint="eastAsia" w:hAnsi="宋体"/>
                <w:color w:val="auto"/>
                <w:sz w:val="21"/>
                <w:szCs w:val="21"/>
              </w:rPr>
              <w:t>2.配12mm超白玻璃贴防爆膜，铝合金篮板</w:t>
            </w:r>
          </w:p>
          <w:p>
            <w:pPr>
              <w:pStyle w:val="27"/>
              <w:jc w:val="both"/>
              <w:rPr>
                <w:rFonts w:hAnsi="宋体"/>
                <w:color w:val="auto"/>
                <w:sz w:val="21"/>
                <w:szCs w:val="21"/>
              </w:rPr>
            </w:pPr>
            <w:r>
              <w:rPr>
                <w:rFonts w:hint="eastAsia" w:hAnsi="宋体"/>
                <w:color w:val="auto"/>
                <w:sz w:val="21"/>
                <w:szCs w:val="21"/>
              </w:rPr>
              <w:t>3.微电脑控制系统、电缸升降。</w:t>
            </w:r>
          </w:p>
          <w:p>
            <w:pPr>
              <w:pStyle w:val="27"/>
              <w:jc w:val="both"/>
              <w:rPr>
                <w:rFonts w:hAnsi="宋体"/>
                <w:color w:val="auto"/>
                <w:sz w:val="21"/>
                <w:szCs w:val="21"/>
              </w:rPr>
            </w:pPr>
            <w:r>
              <w:rPr>
                <w:rFonts w:hint="eastAsia" w:hAnsi="宋体"/>
                <w:color w:val="auto"/>
                <w:sz w:val="21"/>
                <w:szCs w:val="21"/>
              </w:rPr>
              <w:t>4.不含24秒，可选配：单面、三面、四面</w:t>
            </w:r>
          </w:p>
          <w:p>
            <w:pPr>
              <w:pStyle w:val="27"/>
              <w:jc w:val="both"/>
              <w:rPr>
                <w:rFonts w:hAnsi="宋体"/>
                <w:color w:val="auto"/>
                <w:sz w:val="21"/>
                <w:szCs w:val="21"/>
              </w:rPr>
            </w:pPr>
            <w:r>
              <w:rPr>
                <w:rFonts w:hint="eastAsia" w:hAnsi="宋体"/>
                <w:color w:val="auto"/>
                <w:sz w:val="21"/>
                <w:szCs w:val="21"/>
              </w:rPr>
              <w:t xml:space="preserve">5.护套：木板海绵护套  </w:t>
            </w:r>
          </w:p>
          <w:p>
            <w:pPr>
              <w:pStyle w:val="27"/>
              <w:jc w:val="both"/>
              <w:rPr>
                <w:rFonts w:hAnsi="宋体"/>
                <w:color w:val="auto"/>
                <w:sz w:val="21"/>
                <w:szCs w:val="21"/>
              </w:rPr>
            </w:pPr>
            <w:r>
              <w:rPr>
                <w:rFonts w:hint="eastAsia" w:hAnsi="宋体"/>
                <w:color w:val="auto"/>
                <w:sz w:val="21"/>
                <w:szCs w:val="21"/>
              </w:rPr>
              <w:t>6.含配重（≥750KG/支 铁板配重）</w:t>
            </w:r>
          </w:p>
          <w:p>
            <w:pPr>
              <w:pStyle w:val="27"/>
              <w:jc w:val="both"/>
              <w:rPr>
                <w:rFonts w:hAnsi="宋体"/>
                <w:color w:val="auto"/>
                <w:sz w:val="21"/>
                <w:szCs w:val="21"/>
              </w:rPr>
            </w:pPr>
            <w:r>
              <w:rPr>
                <w:rFonts w:hint="eastAsia" w:hAnsi="宋体"/>
                <w:color w:val="auto"/>
                <w:sz w:val="21"/>
                <w:szCs w:val="21"/>
              </w:rPr>
              <w:t>7.适合场地至少：37.4m24秒另配。单支配重≥750KG</w:t>
            </w:r>
          </w:p>
          <w:p>
            <w:pPr>
              <w:pStyle w:val="27"/>
              <w:jc w:val="both"/>
              <w:rPr>
                <w:rFonts w:hAnsi="宋体"/>
                <w:color w:val="auto"/>
                <w:sz w:val="21"/>
                <w:szCs w:val="21"/>
              </w:rPr>
            </w:pPr>
            <w:r>
              <w:rPr>
                <w:rFonts w:hint="eastAsia" w:hAnsi="宋体"/>
                <w:color w:val="auto"/>
                <w:sz w:val="21"/>
                <w:szCs w:val="21"/>
              </w:rPr>
              <w:t>篮球架须有FIBA认证。</w:t>
            </w:r>
          </w:p>
        </w:tc>
        <w:tc>
          <w:tcPr>
            <w:tcW w:w="745" w:type="dxa"/>
            <w:shd w:val="clear" w:color="auto" w:fill="auto"/>
            <w:vAlign w:val="center"/>
          </w:tcPr>
          <w:p>
            <w:pPr>
              <w:widowControl/>
              <w:jc w:val="center"/>
              <w:textAlignment w:val="center"/>
              <w:rPr>
                <w:rFonts w:ascii="宋体" w:hAnsi="宋体" w:cs="宋体"/>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金陵、红双喜、舒华</w:t>
            </w:r>
          </w:p>
          <w:p>
            <w:pPr>
              <w:pStyle w:val="21"/>
              <w:spacing w:before="156" w:after="156"/>
              <w:ind w:firstLine="600"/>
              <w:rPr>
                <w:rFonts w:ascii="宋体" w:hAnsi="宋体" w:cstheme="minorEastAsia"/>
              </w:rPr>
            </w:pP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计时、二十四秒显示器</w:t>
            </w:r>
          </w:p>
        </w:tc>
        <w:tc>
          <w:tcPr>
            <w:tcW w:w="5970" w:type="dxa"/>
            <w:shd w:val="clear" w:color="auto" w:fill="auto"/>
            <w:vAlign w:val="center"/>
          </w:tcPr>
          <w:p>
            <w:pPr>
              <w:pStyle w:val="27"/>
              <w:jc w:val="both"/>
              <w:rPr>
                <w:rFonts w:hAnsi="宋体"/>
                <w:color w:val="auto"/>
                <w:sz w:val="21"/>
                <w:szCs w:val="21"/>
              </w:rPr>
            </w:pPr>
            <w:r>
              <w:rPr>
                <w:rFonts w:hint="eastAsia" w:hAnsi="宋体"/>
                <w:color w:val="auto"/>
                <w:sz w:val="21"/>
                <w:szCs w:val="21"/>
              </w:rPr>
              <w:t>三面24秒：计时器根据最新国际篮球竞赛规则设计制作，显示屏光源采用进口高亮度贴片式发光二级管，寿命长，用电省，刷新率高，无闪烁现象。</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1、显示屏尺寸：555*480*465mm（三面），</w:t>
            </w:r>
          </w:p>
          <w:p>
            <w:pPr>
              <w:pStyle w:val="27"/>
              <w:jc w:val="both"/>
              <w:rPr>
                <w:rFonts w:hAnsi="宋体"/>
                <w:color w:val="auto"/>
                <w:sz w:val="21"/>
                <w:szCs w:val="21"/>
              </w:rPr>
            </w:pPr>
            <w:r>
              <w:rPr>
                <w:rFonts w:hint="eastAsia" w:hAnsi="宋体"/>
                <w:color w:val="auto"/>
                <w:sz w:val="21"/>
                <w:szCs w:val="21"/>
              </w:rPr>
              <w:t>2、发　光　管：3528型大角度高亮红色、黄色贴片式LED发光管</w:t>
            </w:r>
          </w:p>
          <w:p>
            <w:pPr>
              <w:pStyle w:val="27"/>
              <w:jc w:val="both"/>
              <w:rPr>
                <w:rFonts w:hAnsi="宋体"/>
                <w:color w:val="auto"/>
                <w:sz w:val="21"/>
                <w:szCs w:val="21"/>
              </w:rPr>
            </w:pPr>
            <w:r>
              <w:rPr>
                <w:rFonts w:hint="eastAsia" w:hAnsi="宋体"/>
                <w:color w:val="auto"/>
                <w:sz w:val="21"/>
                <w:szCs w:val="21"/>
              </w:rPr>
              <w:t>3、电压：AC170V-270V宽电压设计</w:t>
            </w:r>
          </w:p>
          <w:p>
            <w:pPr>
              <w:widowControl/>
              <w:shd w:val="clear" w:color="auto" w:fill="FFFFFF"/>
              <w:jc w:val="left"/>
              <w:rPr>
                <w:rFonts w:ascii="宋体" w:hAnsi="宋体"/>
              </w:rPr>
            </w:pPr>
            <w:r>
              <w:rPr>
                <w:rFonts w:hint="eastAsia" w:ascii="宋体" w:hAnsi="宋体"/>
              </w:rPr>
              <w:t>4、功率：＜200W。</w:t>
            </w:r>
          </w:p>
          <w:p>
            <w:pPr>
              <w:pStyle w:val="27"/>
              <w:jc w:val="both"/>
              <w:rPr>
                <w:rFonts w:hAnsi="宋体"/>
                <w:color w:val="auto"/>
                <w:sz w:val="21"/>
                <w:szCs w:val="21"/>
              </w:rPr>
            </w:pPr>
            <w:r>
              <w:rPr>
                <w:rFonts w:hint="eastAsia" w:hAnsi="宋体"/>
                <w:color w:val="auto"/>
                <w:sz w:val="21"/>
                <w:szCs w:val="21"/>
              </w:rPr>
              <w:t>电子计分牌：1800mm*1000mm*70mm功能：队名、比分、犯规（局比）、球权、全场时间、24秒时间</w:t>
            </w:r>
          </w:p>
          <w:p>
            <w:pPr>
              <w:pStyle w:val="20"/>
              <w:shd w:val="clear" w:color="auto" w:fill="FFFFFF"/>
              <w:spacing w:beforeAutospacing="0" w:afterAutospacing="0"/>
              <w:rPr>
                <w:sz w:val="21"/>
                <w:szCs w:val="21"/>
                <w:shd w:val="clear" w:color="auto" w:fill="FFFFFF"/>
              </w:rPr>
            </w:pPr>
            <w:r>
              <w:rPr>
                <w:rFonts w:hint="eastAsia"/>
                <w:sz w:val="21"/>
                <w:szCs w:val="21"/>
              </w:rPr>
              <w:t>配件：显示屏*1、三脚架*1、大功率遥控器*1</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tc>
        <w:tc>
          <w:tcPr>
            <w:tcW w:w="1134" w:type="dxa"/>
            <w:shd w:val="clear" w:color="auto" w:fill="auto"/>
            <w:vAlign w:val="center"/>
          </w:tcPr>
          <w:p>
            <w:pPr>
              <w:widowControl/>
              <w:textAlignment w:val="center"/>
              <w:rPr>
                <w:rFonts w:ascii="宋体" w:hAnsi="宋体"/>
                <w:kern w:val="0"/>
              </w:rPr>
            </w:pPr>
          </w:p>
        </w:tc>
        <w:tc>
          <w:tcPr>
            <w:tcW w:w="1134" w:type="dxa"/>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室内直插式排球柱</w:t>
            </w:r>
          </w:p>
        </w:tc>
        <w:tc>
          <w:tcPr>
            <w:tcW w:w="5970"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1.材质：主管使用直径9厘米厚度为2.5毫米的不锈钢管，内升降管使用直径7.6厘米厚度为2.0的不锈钢圆管，表面抛光打磨，</w:t>
            </w:r>
            <w:r>
              <w:rPr>
                <w:rFonts w:hint="eastAsia"/>
                <w:szCs w:val="21"/>
                <w:shd w:val="clear" w:color="auto" w:fill="FFFFFF"/>
              </w:rPr>
              <w:t>★</w:t>
            </w:r>
            <w:r>
              <w:rPr>
                <w:rFonts w:hint="eastAsia"/>
                <w:sz w:val="21"/>
                <w:szCs w:val="21"/>
                <w:shd w:val="clear" w:color="auto" w:fill="FFFFFF"/>
              </w:rPr>
              <w:t>2.升降模式为内段涡轮蜗杆手摇式升降，升降范围可调2.0-2.45米任何范围可调</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副</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4</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可调式排球裁判椅</w:t>
            </w:r>
          </w:p>
        </w:tc>
        <w:tc>
          <w:tcPr>
            <w:tcW w:w="5970" w:type="dxa"/>
            <w:shd w:val="clear" w:color="auto" w:fill="auto"/>
            <w:vAlign w:val="center"/>
          </w:tcPr>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材质：优质钢管PU轮子，</w:t>
            </w:r>
          </w:p>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2.颜色：黄色支架、红色椅子，</w:t>
            </w:r>
          </w:p>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3.尺寸：高180cm、长80cm、宽90cm</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张</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5</w:t>
            </w:r>
          </w:p>
        </w:tc>
        <w:tc>
          <w:tcPr>
            <w:tcW w:w="1367" w:type="dxa"/>
            <w:shd w:val="clear" w:color="auto" w:fill="auto"/>
            <w:vAlign w:val="center"/>
          </w:tcPr>
          <w:p>
            <w:pPr>
              <w:widowControl/>
              <w:textAlignment w:val="center"/>
              <w:rPr>
                <w:rFonts w:ascii="宋体" w:hAnsi="宋体" w:cs="宋体"/>
                <w:kern w:val="0"/>
              </w:rPr>
            </w:pPr>
            <w:r>
              <w:rPr>
                <w:rFonts w:hint="eastAsia" w:ascii="宋体" w:hAnsi="宋体" w:cs="宋体"/>
                <w:kern w:val="0"/>
              </w:rPr>
              <w:t>电动充气泵</w:t>
            </w:r>
          </w:p>
        </w:tc>
        <w:tc>
          <w:tcPr>
            <w:tcW w:w="5970"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1.显示方式：机械指示板，</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电压：220V，</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缸数：2，</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气体流量：45L/min</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个</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得力、小米、卡裴乐</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bl>
    <w:p/>
    <w:p>
      <w:pPr>
        <w:pStyle w:val="2"/>
      </w:pPr>
    </w:p>
    <w:p/>
    <w:tbl>
      <w:tblPr>
        <w:tblStyle w:val="23"/>
        <w:tblpPr w:leftFromText="180" w:rightFromText="180" w:vertAnchor="text" w:horzAnchor="page" w:tblpX="1416" w:tblpY="394"/>
        <w:tblOverlap w:val="never"/>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144"/>
        <w:gridCol w:w="676"/>
        <w:gridCol w:w="851"/>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75" w:type="dxa"/>
            <w:gridSpan w:val="8"/>
            <w:shd w:val="clear" w:color="auto" w:fill="auto"/>
            <w:vAlign w:val="center"/>
          </w:tcPr>
          <w:p>
            <w:pPr>
              <w:widowControl/>
              <w:jc w:val="center"/>
              <w:textAlignment w:val="center"/>
              <w:rPr>
                <w:rFonts w:ascii="宋体" w:hAnsi="宋体" w:cs="宋体"/>
                <w:b/>
                <w:bCs/>
                <w:kern w:val="0"/>
                <w:sz w:val="28"/>
                <w:szCs w:val="28"/>
              </w:rPr>
            </w:pPr>
            <w:r>
              <w:rPr>
                <w:rFonts w:hint="eastAsia" w:ascii="宋体" w:hAnsi="宋体" w:cs="宋体"/>
                <w:b/>
                <w:bCs/>
                <w:kern w:val="0"/>
                <w:sz w:val="28"/>
                <w:szCs w:val="28"/>
              </w:rPr>
              <w:t>2、羽毛球馆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139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61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676"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85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70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1134" w:type="dxa"/>
          </w:tcPr>
          <w:p>
            <w:pPr>
              <w:widowControl/>
              <w:jc w:val="center"/>
              <w:textAlignment w:val="center"/>
              <w:rPr>
                <w:rFonts w:ascii="宋体" w:hAnsi="宋体" w:cs="宋体"/>
                <w:b/>
                <w:bCs/>
                <w:kern w:val="0"/>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391" w:type="dxa"/>
            <w:shd w:val="clear" w:color="auto" w:fill="auto"/>
            <w:vAlign w:val="center"/>
          </w:tcPr>
          <w:p>
            <w:pPr>
              <w:widowControl/>
              <w:jc w:val="center"/>
              <w:textAlignment w:val="center"/>
              <w:rPr>
                <w:rFonts w:ascii="宋体" w:hAnsi="宋体" w:cs="宋体"/>
              </w:rPr>
            </w:pPr>
            <w:r>
              <w:rPr>
                <w:rFonts w:hint="eastAsia" w:ascii="宋体" w:hAnsi="宋体" w:cs="宋体"/>
                <w:kern w:val="0"/>
              </w:rPr>
              <w:t>地胶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★1.PVC运动地板：总厚度5.0mm±0.1mm</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2.冲击吸收:≥25%</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3.拉伸强度：≥7.0MPa</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4.甲醛释放量：≤0.1 mg/m².h、苯：≤0.1mg/m².h</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5. 高温时长不低于2000h后回弹值﹥10%（为保证招、投、供产品一致，报告需注明产品品牌、厚度，否则按无效处理）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6.表面涂层厚度最低值：﹥30μm（微米）（为保证招、投、供产品一致，报告需注明产品品牌、厚度，否则按无效处理）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7.运动地板背板防移动测试，静摩擦系数：≥0.298</w:t>
            </w:r>
          </w:p>
          <w:p>
            <w:pPr>
              <w:widowControl/>
              <w:shd w:val="clear" w:color="auto" w:fill="FFFFFF"/>
              <w:jc w:val="left"/>
              <w:rPr>
                <w:rFonts w:ascii="宋体" w:hAnsi="宋体" w:cs="宋体"/>
                <w:kern w:val="0"/>
                <w:shd w:val="clear" w:color="auto" w:fill="FFFFFF"/>
              </w:rPr>
            </w:pPr>
            <w:bookmarkStart w:id="130" w:name="_Hlk110413690"/>
            <w:r>
              <w:rPr>
                <w:rFonts w:hint="eastAsia" w:ascii="宋体" w:hAnsi="宋体" w:cs="宋体"/>
                <w:kern w:val="0"/>
                <w:shd w:val="clear" w:color="auto" w:fill="FFFFFF"/>
              </w:rPr>
              <w:t>8、 依据HG/T3079-1999标准,</w:t>
            </w:r>
            <w:bookmarkEnd w:id="130"/>
            <w:r>
              <w:rPr>
                <w:rFonts w:hint="eastAsia" w:ascii="宋体" w:hAnsi="宋体" w:cs="宋体"/>
                <w:kern w:val="0"/>
                <w:shd w:val="clear" w:color="auto" w:fill="FFFFFF"/>
              </w:rPr>
              <w:t>高、低温老化时长不低于2000h后外观、尺寸变化率：长、宽≤ 0.8%，试验后外观正常。（为保证招、投、供产品一致，报告需注明产品品牌、厚度）</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9.低温老化时长不低于2000h后,断裂伸长率依据GB36246-2018标准:≥50%</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10. 臭氧老化不低于6500h后且报告须附带CMA和CNAS标识，邵氏硬度依据GB/T531.1-2008检测标准70-90 Shore A（交货验收时须附带可现场验证的官方查询截图）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11. 为保证产品的耐盐腐蚀性（如雨水，汗水等），中性盐雾试验不低于6500h后且报告须附带CMA标识，拉伸强度依据GB/T1040.2-2006标准≥7.0MPa；断裂伸长率≥60%(交货验收时须附带可现场验证的官方查询截图)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12.有害物质短链氯化石蜡、中链氯化石蜡、长链氯化石蜡：未检出，报告须附带CNAS标识（交货验收时须附带可现场验证的官方查询截图）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13. 运动地板画线辅料（油墨）依据HJ371-2018标准且报告须附带CMA标识，苯、甲苯，重金属铅镉：未检出</w:t>
            </w:r>
          </w:p>
        </w:tc>
        <w:tc>
          <w:tcPr>
            <w:tcW w:w="676" w:type="dxa"/>
            <w:shd w:val="clear" w:color="auto" w:fill="auto"/>
            <w:vAlign w:val="center"/>
          </w:tcPr>
          <w:p>
            <w:pPr>
              <w:widowControl/>
              <w:jc w:val="center"/>
              <w:textAlignment w:val="center"/>
              <w:rPr>
                <w:rFonts w:ascii="宋体" w:hAnsi="宋体" w:cs="宋体"/>
                <w:position w:val="6"/>
              </w:rPr>
            </w:pPr>
            <w:r>
              <w:rPr>
                <w:rFonts w:hint="eastAsia" w:ascii="宋体" w:hAnsi="宋体" w:cs="宋体"/>
                <w:position w:val="6"/>
              </w:rPr>
              <w:t>块</w:t>
            </w:r>
          </w:p>
        </w:tc>
        <w:tc>
          <w:tcPr>
            <w:tcW w:w="851" w:type="dxa"/>
            <w:shd w:val="clear" w:color="auto" w:fill="auto"/>
            <w:vAlign w:val="center"/>
          </w:tcPr>
          <w:p>
            <w:pPr>
              <w:jc w:val="center"/>
              <w:rPr>
                <w:rFonts w:cs="宋体"/>
                <w:kern w:val="0"/>
              </w:rPr>
            </w:pPr>
            <w:r>
              <w:rPr>
                <w:rFonts w:hint="eastAsia" w:cs="宋体"/>
                <w:kern w:val="0"/>
              </w:rPr>
              <w:t>3（每片108平米、</w:t>
            </w:r>
          </w:p>
          <w:p>
            <w:pPr>
              <w:jc w:val="center"/>
              <w:rPr>
                <w:rFonts w:ascii="宋体" w:hAnsi="宋体" w:cs="宋体"/>
                <w:position w:val="6"/>
              </w:rPr>
            </w:pPr>
            <w:r>
              <w:rPr>
                <w:rFonts w:hint="eastAsia" w:cs="宋体"/>
                <w:kern w:val="0"/>
              </w:rPr>
              <w:t>三片共324平米）</w:t>
            </w:r>
          </w:p>
        </w:tc>
        <w:tc>
          <w:tcPr>
            <w:tcW w:w="1701" w:type="dxa"/>
            <w:shd w:val="clear" w:color="auto" w:fill="auto"/>
            <w:vAlign w:val="center"/>
          </w:tcPr>
          <w:p>
            <w:r>
              <w:rPr>
                <w:rFonts w:hint="eastAsia" w:cs="宋体"/>
                <w:kern w:val="0"/>
              </w:rPr>
              <w:t>金陵、李宁、威克多</w:t>
            </w: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jc w:val="center"/>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39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羽毛球架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★羽毛球柱 由底座、底座外壳、立柱、锁紧装置组成，立柱选用Φ40×4.0㎜无缝钢管制作，立柱配有网钩，置网方便，羽毛球底座配有420x230x200mm配重箱体，每副箱体内部可放置140公斤沙、石等配重物(客户可自行放置配重）；箱体外面配有塑料外壳，尺寸（长x宽x高）：770x580x260（mm）造型独特、美观、大方；无任何尖角、棱角表面圆润，光滑。</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球网尺寸长x宽：760x6100mm；球网材质为涤纶，颜色为酒红色，上沿有7.5cm的白帆布包缝布带，网孔尺寸18mmx18mm，线径不低于1mm。</w:t>
            </w:r>
          </w:p>
          <w:p>
            <w:pPr>
              <w:widowControl/>
              <w:jc w:val="left"/>
              <w:rPr>
                <w:rFonts w:ascii="宋体" w:hAnsi="宋体" w:cs="宋体"/>
                <w:kern w:val="0"/>
              </w:rPr>
            </w:pPr>
            <w:r>
              <w:rPr>
                <w:rFonts w:hint="eastAsia" w:ascii="宋体" w:hAnsi="宋体" w:cs="宋体"/>
                <w:kern w:val="0"/>
                <w:shd w:val="clear" w:color="auto" w:fill="FFFFFF"/>
              </w:rPr>
              <w:t>含符合羽联标准球网，不含配重</w:t>
            </w:r>
            <w:r>
              <w:rPr>
                <w:rFonts w:hint="eastAsia" w:ascii="宋体" w:hAnsi="宋体"/>
              </w:rPr>
              <w:t>。</w:t>
            </w:r>
          </w:p>
        </w:tc>
        <w:tc>
          <w:tcPr>
            <w:tcW w:w="676" w:type="dxa"/>
            <w:shd w:val="clear" w:color="auto" w:fill="auto"/>
            <w:vAlign w:val="center"/>
          </w:tcPr>
          <w:p>
            <w:pPr>
              <w:widowControl/>
              <w:jc w:val="center"/>
              <w:textAlignment w:val="center"/>
              <w:rPr>
                <w:rFonts w:ascii="宋体" w:hAnsi="宋体" w:cs="宋体"/>
                <w:position w:val="6"/>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701" w:type="dxa"/>
            <w:shd w:val="clear" w:color="auto" w:fill="auto"/>
            <w:vAlign w:val="center"/>
          </w:tcPr>
          <w:p>
            <w:r>
              <w:rPr>
                <w:rFonts w:hint="eastAsia" w:cs="宋体"/>
                <w:kern w:val="0"/>
              </w:rPr>
              <w:t>金陵、李宁、威克多</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r>
    </w:tbl>
    <w:p>
      <w:pPr>
        <w:pStyle w:val="21"/>
        <w:ind w:firstLine="600"/>
      </w:pPr>
    </w:p>
    <w:p/>
    <w:tbl>
      <w:tblPr>
        <w:tblStyle w:val="23"/>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341"/>
        <w:gridCol w:w="811"/>
        <w:gridCol w:w="800"/>
        <w:gridCol w:w="1778"/>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909" w:type="dxa"/>
            <w:gridSpan w:val="8"/>
            <w:vAlign w:val="center"/>
          </w:tcPr>
          <w:p>
            <w:pPr>
              <w:widowControl/>
              <w:jc w:val="center"/>
              <w:textAlignment w:val="center"/>
              <w:rPr>
                <w:rFonts w:cs="宋体"/>
                <w:b/>
                <w:bCs/>
                <w:kern w:val="0"/>
                <w:sz w:val="36"/>
                <w:szCs w:val="36"/>
              </w:rPr>
            </w:pPr>
            <w:r>
              <w:rPr>
                <w:rFonts w:hint="eastAsia" w:cs="宋体"/>
                <w:b/>
                <w:bCs/>
                <w:kern w:val="0"/>
                <w:sz w:val="32"/>
                <w:szCs w:val="32"/>
              </w:rPr>
              <w:t>3、兵乓球馆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center"/>
              <w:textAlignment w:val="center"/>
              <w:rPr>
                <w:rFonts w:cs="宋体"/>
                <w:b/>
                <w:bCs/>
              </w:rPr>
            </w:pPr>
            <w:r>
              <w:rPr>
                <w:rFonts w:hint="eastAsia" w:cs="宋体"/>
                <w:b/>
                <w:bCs/>
                <w:kern w:val="0"/>
              </w:rPr>
              <w:t>序号</w:t>
            </w:r>
          </w:p>
        </w:tc>
        <w:tc>
          <w:tcPr>
            <w:tcW w:w="1391" w:type="dxa"/>
            <w:vAlign w:val="center"/>
          </w:tcPr>
          <w:p>
            <w:pPr>
              <w:widowControl/>
              <w:jc w:val="center"/>
              <w:textAlignment w:val="center"/>
              <w:rPr>
                <w:rFonts w:cs="宋体"/>
                <w:b/>
                <w:bCs/>
              </w:rPr>
            </w:pPr>
            <w:r>
              <w:rPr>
                <w:rFonts w:hint="eastAsia" w:cs="宋体"/>
                <w:b/>
                <w:bCs/>
                <w:kern w:val="0"/>
              </w:rPr>
              <w:t>货物名称</w:t>
            </w:r>
          </w:p>
        </w:tc>
        <w:tc>
          <w:tcPr>
            <w:tcW w:w="6341" w:type="dxa"/>
            <w:vAlign w:val="center"/>
          </w:tcPr>
          <w:p>
            <w:pPr>
              <w:widowControl/>
              <w:jc w:val="center"/>
              <w:textAlignment w:val="center"/>
              <w:rPr>
                <w:rFonts w:cs="宋体"/>
                <w:b/>
                <w:bCs/>
              </w:rPr>
            </w:pPr>
            <w:r>
              <w:rPr>
                <w:rFonts w:hint="eastAsia" w:cs="宋体"/>
                <w:b/>
                <w:bCs/>
                <w:kern w:val="0"/>
              </w:rPr>
              <w:t>技术参数</w:t>
            </w:r>
          </w:p>
        </w:tc>
        <w:tc>
          <w:tcPr>
            <w:tcW w:w="811" w:type="dxa"/>
            <w:vAlign w:val="center"/>
          </w:tcPr>
          <w:p>
            <w:pPr>
              <w:widowControl/>
              <w:jc w:val="center"/>
              <w:textAlignment w:val="center"/>
              <w:rPr>
                <w:rFonts w:cs="宋体"/>
                <w:b/>
                <w:bCs/>
              </w:rPr>
            </w:pPr>
            <w:r>
              <w:rPr>
                <w:rFonts w:hint="eastAsia" w:cs="宋体"/>
                <w:b/>
                <w:bCs/>
                <w:kern w:val="0"/>
              </w:rPr>
              <w:t>单位</w:t>
            </w:r>
          </w:p>
        </w:tc>
        <w:tc>
          <w:tcPr>
            <w:tcW w:w="800" w:type="dxa"/>
            <w:vAlign w:val="center"/>
          </w:tcPr>
          <w:p>
            <w:pPr>
              <w:widowControl/>
              <w:jc w:val="center"/>
              <w:textAlignment w:val="center"/>
              <w:rPr>
                <w:rFonts w:cs="宋体"/>
                <w:b/>
                <w:bCs/>
              </w:rPr>
            </w:pPr>
            <w:r>
              <w:rPr>
                <w:rFonts w:hint="eastAsia" w:cs="宋体"/>
                <w:b/>
                <w:bCs/>
                <w:kern w:val="0"/>
              </w:rPr>
              <w:t>数量</w:t>
            </w:r>
          </w:p>
        </w:tc>
        <w:tc>
          <w:tcPr>
            <w:tcW w:w="1778" w:type="dxa"/>
            <w:vAlign w:val="center"/>
          </w:tcPr>
          <w:p>
            <w:pPr>
              <w:widowControl/>
              <w:jc w:val="center"/>
              <w:textAlignment w:val="center"/>
              <w:rPr>
                <w:rFonts w:cs="宋体"/>
                <w:b/>
                <w:bCs/>
              </w:rPr>
            </w:pPr>
            <w:r>
              <w:rPr>
                <w:rFonts w:hint="eastAsia" w:cs="宋体"/>
                <w:b/>
                <w:bCs/>
                <w:kern w:val="0"/>
              </w:rPr>
              <w:t>参考品牌</w:t>
            </w:r>
          </w:p>
        </w:tc>
        <w:tc>
          <w:tcPr>
            <w:tcW w:w="1122" w:type="dxa"/>
            <w:vAlign w:val="center"/>
          </w:tcPr>
          <w:p>
            <w:pPr>
              <w:widowControl/>
              <w:jc w:val="center"/>
              <w:textAlignment w:val="center"/>
              <w:rPr>
                <w:rFonts w:cs="宋体"/>
                <w:b/>
                <w:bCs/>
                <w:kern w:val="0"/>
              </w:rPr>
            </w:pPr>
            <w:r>
              <w:rPr>
                <w:rFonts w:hint="eastAsia" w:ascii="宋体" w:hAnsi="宋体" w:cs="宋体"/>
                <w:b/>
                <w:bCs/>
                <w:kern w:val="0"/>
              </w:rPr>
              <w:t>单价（元）</w:t>
            </w:r>
          </w:p>
        </w:tc>
        <w:tc>
          <w:tcPr>
            <w:tcW w:w="1122" w:type="dxa"/>
          </w:tcPr>
          <w:p>
            <w:pPr>
              <w:widowControl/>
              <w:jc w:val="center"/>
              <w:textAlignment w:val="center"/>
              <w:rPr>
                <w:rFonts w:cs="宋体"/>
                <w:b/>
                <w:bCs/>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1</w:t>
            </w:r>
          </w:p>
        </w:tc>
        <w:tc>
          <w:tcPr>
            <w:tcW w:w="1391" w:type="dxa"/>
            <w:vAlign w:val="center"/>
          </w:tcPr>
          <w:p>
            <w:pPr>
              <w:widowControl/>
              <w:jc w:val="center"/>
              <w:textAlignment w:val="center"/>
              <w:rPr>
                <w:rFonts w:cs="宋体"/>
              </w:rPr>
            </w:pPr>
            <w:r>
              <w:rPr>
                <w:rFonts w:hint="eastAsia" w:cs="宋体"/>
                <w:kern w:val="0"/>
              </w:rPr>
              <w:t>乒乓球台</w:t>
            </w:r>
          </w:p>
        </w:tc>
        <w:tc>
          <w:tcPr>
            <w:tcW w:w="6341" w:type="dxa"/>
            <w:vAlign w:val="center"/>
          </w:tcPr>
          <w:p>
            <w:pPr>
              <w:widowControl/>
              <w:jc w:val="left"/>
              <w:rPr>
                <w:rFonts w:cs="宋体"/>
                <w:kern w:val="0"/>
              </w:rPr>
            </w:pPr>
            <w:r>
              <w:rPr>
                <w:rFonts w:hint="eastAsia" w:ascii="宋体" w:hAnsi="宋体" w:cs="宋体"/>
                <w:kern w:val="0"/>
                <w:shd w:val="clear" w:color="auto" w:fill="FFFFFF"/>
              </w:rPr>
              <w:t>★</w:t>
            </w:r>
            <w:r>
              <w:rPr>
                <w:rFonts w:hint="eastAsia" w:cs="宋体"/>
                <w:kern w:val="0"/>
              </w:rPr>
              <w:t>1.材质：高密度纤维板</w:t>
            </w:r>
          </w:p>
          <w:p>
            <w:pPr>
              <w:widowControl/>
              <w:jc w:val="left"/>
              <w:rPr>
                <w:rFonts w:cs="宋体"/>
                <w:kern w:val="0"/>
              </w:rPr>
            </w:pPr>
            <w:r>
              <w:rPr>
                <w:rFonts w:hint="eastAsia" w:cs="宋体"/>
                <w:kern w:val="0"/>
              </w:rPr>
              <w:t>2.规格：标准室内球台</w:t>
            </w:r>
          </w:p>
          <w:p>
            <w:pPr>
              <w:widowControl/>
              <w:jc w:val="left"/>
              <w:rPr>
                <w:rFonts w:cs="宋体"/>
                <w:kern w:val="0"/>
              </w:rPr>
            </w:pPr>
            <w:r>
              <w:rPr>
                <w:rFonts w:hint="eastAsia" w:cs="宋体"/>
                <w:kern w:val="0"/>
              </w:rPr>
              <w:t>3.颜色：蓝色</w:t>
            </w:r>
          </w:p>
          <w:p>
            <w:pPr>
              <w:widowControl/>
              <w:jc w:val="left"/>
              <w:rPr>
                <w:rFonts w:cs="宋体"/>
                <w:kern w:val="0"/>
              </w:rPr>
            </w:pPr>
            <w:r>
              <w:rPr>
                <w:rFonts w:hint="eastAsia" w:cs="宋体"/>
                <w:kern w:val="0"/>
              </w:rPr>
              <w:t>4.台面尺寸：2740*1525*760（mm）</w:t>
            </w:r>
          </w:p>
          <w:p>
            <w:pPr>
              <w:widowControl/>
              <w:jc w:val="left"/>
              <w:rPr>
                <w:rFonts w:cs="宋体"/>
                <w:kern w:val="0"/>
              </w:rPr>
            </w:pPr>
            <w:r>
              <w:rPr>
                <w:rFonts w:hint="eastAsia" w:cs="宋体"/>
                <w:kern w:val="0"/>
              </w:rPr>
              <w:t>5.台高：760（mm）</w:t>
            </w:r>
          </w:p>
          <w:p>
            <w:pPr>
              <w:widowControl/>
              <w:jc w:val="left"/>
              <w:rPr>
                <w:rFonts w:cs="宋体"/>
                <w:kern w:val="0"/>
              </w:rPr>
            </w:pPr>
            <w:r>
              <w:rPr>
                <w:rFonts w:hint="eastAsia" w:cs="宋体"/>
                <w:kern w:val="0"/>
              </w:rPr>
              <w:t>6.重量：115（kg）</w:t>
            </w:r>
          </w:p>
          <w:p>
            <w:pPr>
              <w:widowControl/>
              <w:jc w:val="left"/>
              <w:rPr>
                <w:rFonts w:cs="宋体"/>
                <w:kern w:val="0"/>
              </w:rPr>
            </w:pPr>
            <w:r>
              <w:rPr>
                <w:rFonts w:hint="eastAsia" w:cs="宋体"/>
                <w:kern w:val="0"/>
              </w:rPr>
              <w:t xml:space="preserve">7.弹性均匀度≤10mm       </w:t>
            </w:r>
          </w:p>
          <w:p>
            <w:pPr>
              <w:widowControl/>
              <w:jc w:val="left"/>
              <w:rPr>
                <w:rFonts w:cs="宋体"/>
              </w:rPr>
            </w:pPr>
            <w:r>
              <w:rPr>
                <w:rFonts w:hint="eastAsia" w:cs="宋体"/>
                <w:kern w:val="0"/>
              </w:rPr>
              <w:t>8.球台稳定性≤10mm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rPr>
              <w:t>8</w:t>
            </w:r>
          </w:p>
        </w:tc>
        <w:tc>
          <w:tcPr>
            <w:tcW w:w="1778" w:type="dxa"/>
            <w:vAlign w:val="center"/>
          </w:tcPr>
          <w:p>
            <w:pPr>
              <w:widowControl/>
              <w:jc w:val="center"/>
              <w:textAlignment w:val="center"/>
              <w:rPr>
                <w:rFonts w:cs="宋体"/>
                <w:kern w:val="0"/>
              </w:rPr>
            </w:pPr>
            <w:r>
              <w:rPr>
                <w:rFonts w:hint="eastAsia" w:cs="宋体"/>
                <w:kern w:val="0"/>
              </w:rPr>
              <w:t>红双喜、双鱼翔云、健伦大彩虹专业款</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乒乓球发球机</w:t>
            </w:r>
          </w:p>
        </w:tc>
        <w:tc>
          <w:tcPr>
            <w:tcW w:w="6341" w:type="dxa"/>
            <w:vAlign w:val="center"/>
          </w:tcPr>
          <w:p>
            <w:pPr>
              <w:widowControl/>
              <w:jc w:val="left"/>
              <w:rPr>
                <w:rFonts w:cs="宋体"/>
                <w:kern w:val="0"/>
              </w:rPr>
            </w:pPr>
            <w:r>
              <w:rPr>
                <w:rFonts w:hint="eastAsia" w:cs="宋体"/>
                <w:kern w:val="0"/>
              </w:rPr>
              <w:t>1.总重量：26.5KG净重量：≥15.2KG</w:t>
            </w:r>
          </w:p>
          <w:p>
            <w:pPr>
              <w:widowControl/>
              <w:jc w:val="left"/>
              <w:rPr>
                <w:rFonts w:cs="宋体"/>
                <w:kern w:val="0"/>
              </w:rPr>
            </w:pPr>
            <w:r>
              <w:rPr>
                <w:rFonts w:hint="eastAsia" w:cs="宋体"/>
                <w:kern w:val="0"/>
              </w:rPr>
              <w:t>2.包装体积：1160*765*500(mm)</w:t>
            </w:r>
          </w:p>
          <w:p>
            <w:pPr>
              <w:widowControl/>
              <w:jc w:val="left"/>
              <w:rPr>
                <w:rFonts w:cs="宋体"/>
                <w:kern w:val="0"/>
              </w:rPr>
            </w:pPr>
            <w:r>
              <w:rPr>
                <w:rFonts w:hint="eastAsia" w:ascii="宋体" w:hAnsi="宋体" w:cs="宋体"/>
                <w:kern w:val="0"/>
                <w:shd w:val="clear" w:color="auto" w:fill="FFFFFF"/>
              </w:rPr>
              <w:t>★</w:t>
            </w:r>
            <w:r>
              <w:rPr>
                <w:rFonts w:hint="eastAsia" w:cs="宋体"/>
                <w:kern w:val="0"/>
              </w:rPr>
              <w:t>3.出球旋转：九种不同旋转(上旋、下旋、不旋、左侧旋、右侧旋；左侧上旋、左侧下旋、右侧上旋、右侧下旋)</w:t>
            </w:r>
          </w:p>
          <w:p>
            <w:pPr>
              <w:widowControl/>
              <w:jc w:val="left"/>
              <w:rPr>
                <w:rFonts w:cs="宋体"/>
                <w:kern w:val="0"/>
              </w:rPr>
            </w:pPr>
            <w:r>
              <w:rPr>
                <w:rFonts w:hint="eastAsia" w:cs="宋体"/>
                <w:kern w:val="0"/>
              </w:rPr>
              <w:t>4.出球频率：25-95球/分钟</w:t>
            </w:r>
          </w:p>
          <w:p>
            <w:pPr>
              <w:widowControl/>
              <w:jc w:val="left"/>
              <w:rPr>
                <w:rFonts w:cs="宋体"/>
                <w:kern w:val="0"/>
              </w:rPr>
            </w:pPr>
            <w:r>
              <w:rPr>
                <w:rFonts w:hint="eastAsia" w:cs="宋体"/>
                <w:kern w:val="0"/>
              </w:rPr>
              <w:t>5.出球速度：4-50米/秒</w:t>
            </w:r>
          </w:p>
          <w:p>
            <w:pPr>
              <w:widowControl/>
              <w:jc w:val="left"/>
              <w:rPr>
                <w:rFonts w:cs="宋体"/>
                <w:kern w:val="0"/>
              </w:rPr>
            </w:pPr>
            <w:r>
              <w:rPr>
                <w:rFonts w:hint="eastAsia" w:cs="宋体"/>
                <w:kern w:val="0"/>
              </w:rPr>
              <w:t>6.出球角度：可调范围士40度</w:t>
            </w:r>
          </w:p>
          <w:p>
            <w:pPr>
              <w:widowControl/>
              <w:jc w:val="left"/>
              <w:rPr>
                <w:rFonts w:cs="宋体"/>
                <w:kern w:val="0"/>
              </w:rPr>
            </w:pPr>
            <w:r>
              <w:rPr>
                <w:rFonts w:hint="eastAsia" w:cs="宋体"/>
                <w:kern w:val="0"/>
              </w:rPr>
              <w:t>7.出球落点：定点及全台11点</w:t>
            </w:r>
          </w:p>
        </w:tc>
        <w:tc>
          <w:tcPr>
            <w:tcW w:w="811" w:type="dxa"/>
            <w:vAlign w:val="center"/>
          </w:tcPr>
          <w:p>
            <w:pPr>
              <w:widowControl/>
              <w:jc w:val="center"/>
              <w:textAlignment w:val="center"/>
              <w:rPr>
                <w:rFonts w:cs="宋体"/>
              </w:rPr>
            </w:pPr>
            <w:r>
              <w:rPr>
                <w:rFonts w:hint="eastAsia" w:cs="宋体"/>
              </w:rPr>
              <w:t>台</w:t>
            </w:r>
          </w:p>
        </w:tc>
        <w:tc>
          <w:tcPr>
            <w:tcW w:w="800" w:type="dxa"/>
            <w:vAlign w:val="center"/>
          </w:tcPr>
          <w:p>
            <w:pPr>
              <w:widowControl/>
              <w:jc w:val="center"/>
              <w:textAlignment w:val="center"/>
              <w:rPr>
                <w:rFonts w:cs="宋体"/>
              </w:rPr>
            </w:pPr>
            <w:r>
              <w:rPr>
                <w:rFonts w:hint="eastAsia" w:cs="宋体"/>
                <w:kern w:val="0"/>
              </w:rPr>
              <w:t>1</w:t>
            </w:r>
          </w:p>
        </w:tc>
        <w:tc>
          <w:tcPr>
            <w:tcW w:w="1778" w:type="dxa"/>
            <w:vAlign w:val="center"/>
          </w:tcPr>
          <w:p>
            <w:pPr>
              <w:widowControl/>
              <w:jc w:val="center"/>
              <w:textAlignment w:val="center"/>
              <w:rPr>
                <w:rFonts w:cs="宋体"/>
                <w:kern w:val="0"/>
              </w:rPr>
            </w:pPr>
            <w:r>
              <w:rPr>
                <w:rFonts w:hint="eastAsia" w:cs="宋体"/>
                <w:kern w:val="0"/>
              </w:rPr>
              <w:t>红双喜、双鱼超级三代、泰德</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乒乓球裁判椅</w:t>
            </w:r>
          </w:p>
        </w:tc>
        <w:tc>
          <w:tcPr>
            <w:tcW w:w="6341" w:type="dxa"/>
            <w:vAlign w:val="center"/>
          </w:tcPr>
          <w:p>
            <w:pPr>
              <w:widowControl/>
              <w:jc w:val="left"/>
              <w:rPr>
                <w:rFonts w:cs="宋体"/>
                <w:kern w:val="0"/>
              </w:rPr>
            </w:pPr>
            <w:r>
              <w:rPr>
                <w:rFonts w:hint="eastAsia" w:cs="宋体"/>
                <w:kern w:val="0"/>
              </w:rPr>
              <w:t xml:space="preserve">乒乓球裁判桌：展开尺寸高77*宽80*厚37     </w:t>
            </w:r>
          </w:p>
          <w:p>
            <w:pPr>
              <w:widowControl/>
              <w:jc w:val="left"/>
              <w:rPr>
                <w:rFonts w:cs="宋体"/>
                <w:kern w:val="0"/>
              </w:rPr>
            </w:pPr>
            <w:r>
              <w:rPr>
                <w:rFonts w:hint="eastAsia" w:cs="宋体"/>
                <w:kern w:val="0"/>
              </w:rPr>
              <w:t xml:space="preserve">主裁判椅：1.重量20kg 2.台面尺寸：550*550cm  </w:t>
            </w:r>
          </w:p>
          <w:p>
            <w:pPr>
              <w:widowControl/>
              <w:jc w:val="left"/>
              <w:rPr>
                <w:rFonts w:cs="宋体"/>
                <w:kern w:val="0"/>
              </w:rPr>
            </w:pPr>
            <w:r>
              <w:rPr>
                <w:rFonts w:hint="eastAsia" w:cs="宋体"/>
                <w:kern w:val="0"/>
              </w:rPr>
              <w:t>副裁判椅：1.重量20kg 2.台面尺寸：550*550cm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kern w:val="0"/>
              </w:rPr>
              <w:t>4</w:t>
            </w:r>
          </w:p>
        </w:tc>
        <w:tc>
          <w:tcPr>
            <w:tcW w:w="1778" w:type="dxa"/>
            <w:vAlign w:val="center"/>
          </w:tcPr>
          <w:p>
            <w:pPr>
              <w:widowControl/>
              <w:jc w:val="center"/>
              <w:textAlignment w:val="center"/>
              <w:rPr>
                <w:rFonts w:cs="宋体"/>
                <w:kern w:val="0"/>
              </w:rPr>
            </w:pPr>
            <w:r>
              <w:rPr>
                <w:rFonts w:hint="eastAsia" w:cs="宋体"/>
                <w:kern w:val="0"/>
              </w:rPr>
              <w:t>红双喜、双鱼、挺拔</w:t>
            </w: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r>
    </w:tbl>
    <w:p/>
    <w:p>
      <w:pPr>
        <w:pStyle w:val="21"/>
        <w:ind w:firstLine="600"/>
      </w:pPr>
    </w:p>
    <w:tbl>
      <w:tblPr>
        <w:tblStyle w:val="23"/>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49"/>
        <w:gridCol w:w="5812"/>
        <w:gridCol w:w="850"/>
        <w:gridCol w:w="992"/>
        <w:gridCol w:w="156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575" w:type="dxa"/>
            <w:gridSpan w:val="8"/>
            <w:vAlign w:val="center"/>
          </w:tcPr>
          <w:p>
            <w:pPr>
              <w:widowControl/>
              <w:jc w:val="center"/>
              <w:textAlignment w:val="center"/>
              <w:rPr>
                <w:rFonts w:ascii="宋体" w:hAnsi="宋体" w:cs="宋体"/>
                <w:b/>
                <w:bCs/>
                <w:kern w:val="0"/>
              </w:rPr>
            </w:pPr>
            <w:r>
              <w:rPr>
                <w:rFonts w:hint="eastAsia" w:ascii="宋体" w:hAnsi="宋体" w:cs="宋体"/>
                <w:b/>
                <w:bCs/>
                <w:position w:val="6"/>
                <w:sz w:val="32"/>
                <w:szCs w:val="32"/>
              </w:rPr>
              <w:t>4、健身房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1549" w:type="dxa"/>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5812" w:type="dxa"/>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850" w:type="dxa"/>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992" w:type="dxa"/>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560" w:type="dxa"/>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1134" w:type="dxa"/>
          </w:tcPr>
          <w:p>
            <w:pPr>
              <w:widowControl/>
              <w:jc w:val="center"/>
              <w:textAlignment w:val="center"/>
              <w:rPr>
                <w:rFonts w:ascii="宋体" w:hAnsi="宋体" w:cs="宋体"/>
                <w:b/>
                <w:bCs/>
                <w:kern w:val="0"/>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跑步机</w:t>
            </w:r>
          </w:p>
        </w:tc>
        <w:tc>
          <w:tcPr>
            <w:tcW w:w="5812" w:type="dxa"/>
            <w:vAlign w:val="center"/>
          </w:tcPr>
          <w:p>
            <w:pPr>
              <w:widowControl/>
              <w:jc w:val="left"/>
              <w:rPr>
                <w:rFonts w:ascii="宋体" w:hAnsi="宋体" w:cs="宋体"/>
                <w:kern w:val="0"/>
              </w:rPr>
            </w:pPr>
            <w:r>
              <w:rPr>
                <w:rFonts w:hint="eastAsia" w:ascii="宋体" w:hAnsi="宋体" w:cs="宋体"/>
                <w:kern w:val="0"/>
              </w:rPr>
              <w:t xml:space="preserve">显示系统：不小于19.8吋电脑触摸屏，显示速度、时间、距离、热量、心率、坡度、音量数据，可以连接WiFi,无线上网浏览功能 ， USB接口支持，带耳机接口，一对高保真音箱，多媒体娱乐影音系统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w:t>
            </w:r>
            <w:r>
              <w:rPr>
                <w:rFonts w:hint="eastAsia" w:ascii="宋体" w:hAnsi="宋体" w:cs="宋体"/>
                <w:kern w:val="0"/>
              </w:rPr>
              <w:t>程序：10个运动程序可选择，速度坡度固定程序，3种模式设置时间、距离、卡路里，</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2</w:t>
            </w:r>
            <w:r>
              <w:rPr>
                <w:rFonts w:ascii="宋体" w:hAnsi="宋体" w:cs="宋体"/>
                <w:kern w:val="0"/>
              </w:rPr>
              <w:t>.</w:t>
            </w:r>
            <w:r>
              <w:rPr>
                <w:rFonts w:hint="eastAsia" w:ascii="宋体" w:hAnsi="宋体" w:cs="宋体"/>
                <w:kern w:val="0"/>
              </w:rPr>
              <w:t>配备免维护免加油跑带，具有低噪音，使用寿命长的优点</w:t>
            </w:r>
          </w:p>
          <w:p>
            <w:pPr>
              <w:widowControl/>
              <w:jc w:val="left"/>
              <w:rPr>
                <w:rFonts w:ascii="宋体" w:hAnsi="宋体" w:cs="宋体"/>
                <w:kern w:val="0"/>
              </w:rPr>
            </w:pPr>
            <w:r>
              <w:rPr>
                <w:rFonts w:hint="eastAsia" w:ascii="宋体" w:hAnsi="宋体" w:cs="宋体"/>
                <w:kern w:val="0"/>
              </w:rPr>
              <w:t xml:space="preserve"> 3</w:t>
            </w:r>
            <w:r>
              <w:rPr>
                <w:rFonts w:ascii="宋体" w:hAnsi="宋体" w:cs="宋体"/>
                <w:kern w:val="0"/>
              </w:rPr>
              <w:t>.</w:t>
            </w:r>
            <w:r>
              <w:rPr>
                <w:rFonts w:hint="eastAsia" w:ascii="宋体" w:hAnsi="宋体" w:cs="宋体"/>
                <w:kern w:val="0"/>
              </w:rPr>
              <w:t>低噪声交流马达、交流调速变频器。</w:t>
            </w:r>
          </w:p>
          <w:p>
            <w:pPr>
              <w:widowControl/>
              <w:jc w:val="left"/>
              <w:rPr>
                <w:rFonts w:ascii="宋体" w:hAnsi="宋体" w:cs="宋体"/>
                <w:kern w:val="0"/>
              </w:rPr>
            </w:pPr>
            <w:r>
              <w:rPr>
                <w:rFonts w:hint="eastAsia" w:ascii="宋体" w:hAnsi="宋体" w:cs="宋体"/>
                <w:kern w:val="0"/>
              </w:rPr>
              <w:t xml:space="preserve"> 4</w:t>
            </w:r>
            <w:r>
              <w:rPr>
                <w:rFonts w:ascii="宋体" w:hAnsi="宋体" w:cs="宋体"/>
                <w:kern w:val="0"/>
              </w:rPr>
              <w:t>.</w:t>
            </w:r>
            <w:r>
              <w:rPr>
                <w:rFonts w:hint="eastAsia" w:ascii="宋体" w:hAnsi="宋体" w:cs="宋体"/>
                <w:kern w:val="0"/>
              </w:rPr>
              <w:t>心率控制：手握式脉搏传感运动心率</w:t>
            </w:r>
          </w:p>
          <w:p>
            <w:pPr>
              <w:widowControl/>
              <w:jc w:val="left"/>
              <w:rPr>
                <w:rFonts w:ascii="宋体" w:hAnsi="宋体" w:cs="宋体"/>
                <w:kern w:val="0"/>
              </w:rPr>
            </w:pPr>
            <w:r>
              <w:rPr>
                <w:rFonts w:hint="eastAsia" w:ascii="宋体" w:hAnsi="宋体" w:cs="宋体"/>
                <w:kern w:val="0"/>
              </w:rPr>
              <w:t xml:space="preserve"> 5</w:t>
            </w:r>
            <w:r>
              <w:rPr>
                <w:rFonts w:ascii="宋体" w:hAnsi="宋体" w:cs="宋体"/>
                <w:kern w:val="0"/>
              </w:rPr>
              <w:t>.</w:t>
            </w:r>
            <w:r>
              <w:rPr>
                <w:rFonts w:hint="eastAsia" w:ascii="宋体" w:hAnsi="宋体" w:cs="宋体"/>
                <w:kern w:val="0"/>
              </w:rPr>
              <w:t>安全急停开关</w:t>
            </w:r>
          </w:p>
          <w:p>
            <w:pPr>
              <w:widowControl/>
              <w:jc w:val="left"/>
              <w:rPr>
                <w:rFonts w:ascii="宋体" w:hAnsi="宋体" w:cs="宋体"/>
                <w:kern w:val="0"/>
              </w:rPr>
            </w:pPr>
            <w:r>
              <w:rPr>
                <w:rFonts w:hint="eastAsia" w:ascii="宋体" w:hAnsi="宋体" w:cs="宋体"/>
                <w:kern w:val="0"/>
              </w:rPr>
              <w:t xml:space="preserve"> 6</w:t>
            </w:r>
            <w:r>
              <w:rPr>
                <w:rFonts w:ascii="宋体" w:hAnsi="宋体" w:cs="宋体"/>
                <w:kern w:val="0"/>
              </w:rPr>
              <w:t>.</w:t>
            </w:r>
            <w:r>
              <w:rPr>
                <w:rFonts w:hint="eastAsia" w:ascii="宋体" w:hAnsi="宋体" w:cs="宋体"/>
                <w:kern w:val="0"/>
              </w:rPr>
              <w:t xml:space="preserve">输入电压：≥220V  50/60Hz </w:t>
            </w:r>
          </w:p>
          <w:p>
            <w:pPr>
              <w:widowControl/>
              <w:jc w:val="left"/>
              <w:rPr>
                <w:rFonts w:ascii="宋体" w:hAnsi="宋体" w:cs="宋体"/>
                <w:kern w:val="0"/>
              </w:rPr>
            </w:pPr>
            <w:r>
              <w:rPr>
                <w:rFonts w:hint="eastAsia" w:ascii="宋体" w:hAnsi="宋体" w:cs="宋体"/>
                <w:kern w:val="0"/>
              </w:rPr>
              <w:t xml:space="preserve"> 7</w:t>
            </w:r>
            <w:r>
              <w:rPr>
                <w:rFonts w:ascii="宋体" w:hAnsi="宋体" w:cs="宋体"/>
                <w:kern w:val="0"/>
              </w:rPr>
              <w:t>.</w:t>
            </w:r>
            <w:r>
              <w:rPr>
                <w:rFonts w:hint="eastAsia" w:ascii="宋体" w:hAnsi="宋体" w:cs="宋体"/>
                <w:kern w:val="0"/>
              </w:rPr>
              <w:t>最大承重：≥180Kg</w:t>
            </w:r>
          </w:p>
          <w:p>
            <w:pPr>
              <w:widowControl/>
              <w:jc w:val="left"/>
              <w:rPr>
                <w:rFonts w:ascii="宋体" w:hAnsi="宋体" w:cs="宋体"/>
                <w:kern w:val="0"/>
              </w:rPr>
            </w:pPr>
            <w:r>
              <w:rPr>
                <w:rFonts w:hint="eastAsia" w:ascii="宋体" w:hAnsi="宋体" w:cs="宋体"/>
                <w:kern w:val="0"/>
              </w:rPr>
              <w:t xml:space="preserve"> 8</w:t>
            </w:r>
            <w:r>
              <w:rPr>
                <w:rFonts w:ascii="宋体" w:hAnsi="宋体" w:cs="宋体"/>
                <w:kern w:val="0"/>
              </w:rPr>
              <w:t>.</w:t>
            </w:r>
            <w:r>
              <w:rPr>
                <w:rFonts w:hint="eastAsia" w:ascii="宋体" w:hAnsi="宋体" w:cs="宋体"/>
                <w:kern w:val="0"/>
              </w:rPr>
              <w:t>功率：≥2.2kw</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9</w:t>
            </w:r>
            <w:r>
              <w:rPr>
                <w:rFonts w:ascii="宋体" w:hAnsi="宋体" w:cs="宋体"/>
                <w:kern w:val="0"/>
              </w:rPr>
              <w:t>.</w:t>
            </w:r>
            <w:r>
              <w:rPr>
                <w:rFonts w:hint="eastAsia" w:ascii="宋体" w:hAnsi="宋体" w:cs="宋体"/>
                <w:kern w:val="0"/>
              </w:rPr>
              <w:t>速度范围：≥1.0-20.0Km/h</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1.</w:t>
            </w:r>
            <w:r>
              <w:rPr>
                <w:rFonts w:hint="eastAsia" w:ascii="宋体" w:hAnsi="宋体" w:cs="宋体"/>
                <w:kern w:val="0"/>
              </w:rPr>
              <w:t>坡度范围：≥0-20°</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2.</w:t>
            </w:r>
            <w:r>
              <w:rPr>
                <w:rFonts w:hint="eastAsia" w:ascii="宋体" w:hAnsi="宋体" w:cs="宋体"/>
                <w:kern w:val="0"/>
              </w:rPr>
              <w:t>跑带面积：≥1575x580mm</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3.</w:t>
            </w:r>
            <w:r>
              <w:rPr>
                <w:rFonts w:hint="eastAsia" w:ascii="宋体" w:hAnsi="宋体" w:cs="宋体"/>
                <w:kern w:val="0"/>
              </w:rPr>
              <w:t>占地面积：2150x980mm*1620mm</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4.</w:t>
            </w:r>
            <w:r>
              <w:rPr>
                <w:rFonts w:hint="eastAsia" w:ascii="宋体" w:hAnsi="宋体" w:cs="宋体"/>
                <w:kern w:val="0"/>
              </w:rPr>
              <w:t>净重：不小于160kg</w:t>
            </w:r>
          </w:p>
          <w:p>
            <w:pPr>
              <w:widowControl/>
              <w:jc w:val="left"/>
              <w:rPr>
                <w:rFonts w:ascii="宋体" w:hAnsi="宋体" w:cs="宋体"/>
                <w:kern w:val="0"/>
              </w:rPr>
            </w:pPr>
            <w:r>
              <w:rPr>
                <w:rFonts w:hint="eastAsia" w:ascii="宋体" w:hAnsi="宋体" w:cs="宋体"/>
                <w:kern w:val="0"/>
              </w:rPr>
              <w:t xml:space="preserve"> </w:t>
            </w:r>
            <w:r>
              <w:rPr>
                <w:rFonts w:ascii="宋体" w:hAnsi="宋体" w:cs="宋体"/>
                <w:kern w:val="0"/>
              </w:rPr>
              <w:t>15.</w:t>
            </w:r>
            <w:r>
              <w:rPr>
                <w:rFonts w:hint="eastAsia" w:ascii="宋体" w:hAnsi="宋体" w:cs="宋体"/>
                <w:kern w:val="0"/>
              </w:rPr>
              <w:t>产品通过NSCC认证，认证书需在NSCC国体认证唯一官方网站http://www.nscc.com.cn上能查询到，并通过国家体育用品质量监督检验中心检验合格</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w:t>
            </w:r>
          </w:p>
        </w:tc>
        <w:tc>
          <w:tcPr>
            <w:tcW w:w="1560" w:type="dxa"/>
            <w:vAlign w:val="center"/>
          </w:tcPr>
          <w:p>
            <w:pPr>
              <w:keepNext/>
              <w:keepLines/>
              <w:shd w:val="clear" w:color="auto" w:fill="FFFFFF"/>
              <w:tabs>
                <w:tab w:val="left" w:pos="576"/>
              </w:tabs>
              <w:snapToGrid w:val="0"/>
              <w:jc w:val="left"/>
              <w:outlineLvl w:val="1"/>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rPr>
                <w:rFonts w:ascii="宋体" w:hAnsi="宋体"/>
              </w:rPr>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坐姿屈（伸）腿训练器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1、主管材为137*40*3.0mm平椭管或50*50*3.0mm以上 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占地面积：1147*1599*1527mm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2（屈腿、伸腿各1套）</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迈宝赫、</w:t>
            </w:r>
          </w:p>
          <w:p>
            <w:pPr>
              <w:shd w:val="clear" w:color="auto" w:fill="FFFFFF"/>
              <w:jc w:val="left"/>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坐式蹬腿训练器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占地面积：1860*1165*1527mm    </w:t>
            </w:r>
            <w:r>
              <w:rPr>
                <w:rFonts w:hint="eastAsia" w:ascii="宋体" w:hAnsi="宋体" w:cs="宋体"/>
                <w:kern w:val="0"/>
                <w:shd w:val="clear" w:color="auto" w:fill="FFFFFF"/>
              </w:rPr>
              <w:t>★</w:t>
            </w:r>
            <w:r>
              <w:rPr>
                <w:rFonts w:hint="eastAsia" w:ascii="宋体" w:hAnsi="宋体" w:cs="宋体"/>
              </w:rPr>
              <w:t>净重：≥260kg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身器材（军霞）</w:t>
            </w:r>
          </w:p>
          <w:p>
            <w:pPr>
              <w:shd w:val="clear" w:color="auto" w:fill="FFFFFF"/>
              <w:jc w:val="left"/>
              <w:rPr>
                <w:rFonts w:ascii="宋体" w:hAnsi="宋体" w:cs="宋体"/>
                <w:position w:val="6"/>
              </w:rPr>
            </w:pPr>
            <w:r>
              <w:rPr>
                <w:rFonts w:hint="eastAsia" w:ascii="宋体" w:hAnsi="宋体" w:cs="宋体"/>
                <w:position w:val="6"/>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臀部训练器</w:t>
            </w:r>
          </w:p>
        </w:tc>
        <w:tc>
          <w:tcPr>
            <w:tcW w:w="5812" w:type="dxa"/>
            <w:vAlign w:val="center"/>
          </w:tcPr>
          <w:p>
            <w:pPr>
              <w:widowControl/>
              <w:jc w:val="left"/>
              <w:rPr>
                <w:rFonts w:ascii="宋体" w:hAnsi="宋体" w:cs="宋体"/>
              </w:rPr>
            </w:pP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占地面积：1014*2150*1527mm   </w:t>
            </w:r>
            <w:r>
              <w:rPr>
                <w:rFonts w:hint="eastAsia" w:ascii="宋体" w:hAnsi="宋体" w:cs="宋体"/>
                <w:kern w:val="0"/>
                <w:shd w:val="clear" w:color="auto" w:fill="FFFFFF"/>
              </w:rPr>
              <w:t>★</w:t>
            </w:r>
            <w:r>
              <w:rPr>
                <w:rFonts w:hint="eastAsia" w:ascii="宋体" w:hAnsi="宋体" w:cs="宋体"/>
              </w:rPr>
              <w:t>净重：≥215kg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cs="宋体"/>
                <w:position w:val="6"/>
              </w:rPr>
              <w:t>、</w:t>
            </w: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商用椭圆机</w:t>
            </w:r>
          </w:p>
        </w:tc>
        <w:tc>
          <w:tcPr>
            <w:tcW w:w="5812" w:type="dxa"/>
            <w:vAlign w:val="center"/>
          </w:tcPr>
          <w:p>
            <w:pPr>
              <w:widowControl/>
              <w:jc w:val="left"/>
              <w:rPr>
                <w:rFonts w:ascii="宋体" w:hAnsi="宋体" w:cs="宋体"/>
                <w:kern w:val="0"/>
              </w:rPr>
            </w:pPr>
            <w:r>
              <w:rPr>
                <w:rFonts w:hint="eastAsia" w:ascii="宋体" w:hAnsi="宋体" w:cs="宋体"/>
                <w:kern w:val="0"/>
              </w:rPr>
              <w:t>彩屏仪表</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仪表功能：时间，速度，距离，卡路里，心跳，重新设置，测脂，转速；1组手动控制，12组自动程式，心率控制，4组自定义设置；带IPAD支架，带USB充电，高清喇叭,自带APP，WiFi上网。</w:t>
            </w:r>
          </w:p>
          <w:p>
            <w:pPr>
              <w:widowControl/>
              <w:jc w:val="left"/>
              <w:rPr>
                <w:rFonts w:ascii="宋体" w:hAnsi="宋体" w:cs="宋体"/>
                <w:kern w:val="0"/>
              </w:rPr>
            </w:pPr>
            <w:r>
              <w:rPr>
                <w:rFonts w:hint="eastAsia" w:ascii="宋体" w:hAnsi="宋体" w:cs="宋体"/>
                <w:kern w:val="0"/>
              </w:rPr>
              <w:t>心跳方式：手握心跳检测</w:t>
            </w:r>
          </w:p>
          <w:p>
            <w:pPr>
              <w:widowControl/>
              <w:jc w:val="left"/>
              <w:rPr>
                <w:rFonts w:ascii="宋体" w:hAnsi="宋体" w:cs="宋体"/>
                <w:kern w:val="0"/>
              </w:rPr>
            </w:pPr>
            <w:r>
              <w:rPr>
                <w:rFonts w:hint="eastAsia" w:ascii="宋体" w:hAnsi="宋体" w:cs="宋体"/>
                <w:kern w:val="0"/>
              </w:rPr>
              <w:t>控制方式：仪表控制阻力，电磁控32段阻力控制</w:t>
            </w:r>
          </w:p>
          <w:p>
            <w:pPr>
              <w:widowControl/>
              <w:jc w:val="left"/>
              <w:rPr>
                <w:rFonts w:ascii="宋体" w:hAnsi="宋体" w:cs="宋体"/>
                <w:kern w:val="0"/>
              </w:rPr>
            </w:pPr>
            <w:r>
              <w:rPr>
                <w:rFonts w:hint="eastAsia" w:ascii="宋体" w:hAnsi="宋体" w:cs="宋体"/>
                <w:kern w:val="0"/>
              </w:rPr>
              <w:t>飞轮重量：9kgs</w:t>
            </w:r>
          </w:p>
          <w:p>
            <w:pPr>
              <w:widowControl/>
              <w:jc w:val="left"/>
              <w:rPr>
                <w:rFonts w:ascii="宋体" w:hAnsi="宋体" w:cs="宋体"/>
                <w:kern w:val="0"/>
              </w:rPr>
            </w:pPr>
            <w:r>
              <w:rPr>
                <w:rFonts w:hint="eastAsia" w:ascii="宋体" w:hAnsi="宋体" w:cs="宋体"/>
                <w:kern w:val="0"/>
              </w:rPr>
              <w:t>座管/滑动管/导轨：4轨道铁管+铝片</w:t>
            </w:r>
          </w:p>
          <w:p>
            <w:pPr>
              <w:widowControl/>
              <w:jc w:val="left"/>
              <w:rPr>
                <w:rFonts w:ascii="宋体" w:hAnsi="宋体" w:cs="宋体"/>
                <w:kern w:val="0"/>
              </w:rPr>
            </w:pPr>
            <w:r>
              <w:rPr>
                <w:rFonts w:hint="eastAsia" w:ascii="宋体" w:hAnsi="宋体" w:cs="宋体"/>
                <w:kern w:val="0"/>
              </w:rPr>
              <w:t>扬升坡度：20段</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净重/毛重：≥104kg/128kg</w:t>
            </w:r>
          </w:p>
          <w:p>
            <w:pPr>
              <w:widowControl/>
              <w:jc w:val="left"/>
              <w:rPr>
                <w:rFonts w:ascii="宋体" w:hAnsi="宋体" w:cs="宋体"/>
                <w:kern w:val="0"/>
              </w:rPr>
            </w:pPr>
            <w:r>
              <w:rPr>
                <w:rFonts w:hint="eastAsia" w:ascii="宋体" w:hAnsi="宋体" w:cs="宋体"/>
                <w:kern w:val="0"/>
              </w:rPr>
              <w:t>组立尺寸（mm）：1900*660*1700</w:t>
            </w:r>
          </w:p>
          <w:p>
            <w:pPr>
              <w:widowControl/>
              <w:jc w:val="left"/>
              <w:rPr>
                <w:rFonts w:ascii="宋体" w:hAnsi="宋体" w:cs="宋体"/>
                <w:kern w:val="0"/>
              </w:rPr>
            </w:pPr>
            <w:r>
              <w:rPr>
                <w:rFonts w:hint="eastAsia" w:ascii="宋体" w:hAnsi="宋体" w:cs="宋体"/>
                <w:kern w:val="0"/>
              </w:rPr>
              <w:t>外箱尺寸（mm）：1980*600*920</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4</w:t>
            </w:r>
          </w:p>
        </w:tc>
        <w:tc>
          <w:tcPr>
            <w:tcW w:w="1560" w:type="dxa"/>
            <w:vAlign w:val="center"/>
          </w:tcPr>
          <w:p>
            <w:pPr>
              <w:widowControl/>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蝴蝶机夹胸训练器</w:t>
            </w:r>
          </w:p>
        </w:tc>
        <w:tc>
          <w:tcPr>
            <w:tcW w:w="5812" w:type="dxa"/>
            <w:vAlign w:val="center"/>
          </w:tcPr>
          <w:p>
            <w:pPr>
              <w:widowControl/>
              <w:jc w:val="left"/>
              <w:rPr>
                <w:rFonts w:ascii="宋体" w:hAnsi="宋体" w:cs="宋体"/>
              </w:rPr>
            </w:pPr>
            <w:r>
              <w:rPr>
                <w:rFonts w:hint="eastAsia" w:ascii="宋体" w:hAnsi="宋体" w:cs="宋体"/>
              </w:rPr>
              <w:t xml:space="preserve">1、主管材为40*137*3.0mm平椭管或50*50*3.0mm以上 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7.占地面积：1130*1050*2050mm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8.净重：≥234kg 毛重：≥252KG  </w:t>
            </w:r>
          </w:p>
          <w:p>
            <w:pPr>
              <w:widowControl/>
              <w:jc w:val="left"/>
              <w:rPr>
                <w:rFonts w:ascii="宋体" w:hAnsi="宋体" w:cs="宋体"/>
              </w:rPr>
            </w:pPr>
            <w:r>
              <w:rPr>
                <w:rFonts w:hint="eastAsia" w:ascii="宋体" w:hAnsi="宋体" w:cs="宋体"/>
              </w:rPr>
              <w:t>9、可调式插销设计，满足不同运动强度、不同身高人群训练需求</w:t>
            </w:r>
          </w:p>
          <w:p>
            <w:pPr>
              <w:widowControl/>
              <w:jc w:val="left"/>
              <w:rPr>
                <w:rFonts w:ascii="宋体" w:hAnsi="宋体" w:cs="宋体"/>
              </w:rPr>
            </w:pPr>
            <w:r>
              <w:rPr>
                <w:rFonts w:hint="eastAsia" w:ascii="宋体" w:hAnsi="宋体" w:cs="宋体"/>
              </w:rPr>
              <w:t>10、全自动激光切割机加工、机械手自动焊接，配以精致打磨，表面双层烤漆：闪银粉体喷涂＋罩光</w:t>
            </w:r>
          </w:p>
          <w:p>
            <w:pPr>
              <w:widowControl/>
              <w:jc w:val="left"/>
              <w:rPr>
                <w:rFonts w:ascii="宋体" w:hAnsi="宋体" w:cs="宋体"/>
              </w:rPr>
            </w:pPr>
            <w:r>
              <w:rPr>
                <w:rFonts w:hint="eastAsia" w:ascii="宋体" w:hAnsi="宋体" w:cs="宋体"/>
              </w:rPr>
              <w:t xml:space="preserve">11、绳索规格强度：≥φ6钢丝绳 ，可承受力≥750KG 件数：2件                  包装尺寸：纸箱A：1465*840*260         纸箱B：1467*750*390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12、标准配重不少于110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、迈宝赫</w:t>
            </w:r>
          </w:p>
          <w:p>
            <w:pPr>
              <w:widowControl/>
              <w:jc w:val="left"/>
              <w:rPr>
                <w:rFonts w:ascii="宋体" w:hAnsi="宋体" w:cs="宋体"/>
              </w:rPr>
            </w:pPr>
            <w:r>
              <w:rPr>
                <w:rFonts w:hint="eastAsia" w:ascii="宋体" w:hAnsi="宋体" w:cs="宋体"/>
              </w:rPr>
              <w:t>宝德龙</w:t>
            </w:r>
          </w:p>
        </w:tc>
        <w:tc>
          <w:tcPr>
            <w:tcW w:w="1134" w:type="dxa"/>
            <w:vAlign w:val="center"/>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坐姿推胸训练器</w:t>
            </w:r>
          </w:p>
        </w:tc>
        <w:tc>
          <w:tcPr>
            <w:tcW w:w="5812" w:type="dxa"/>
            <w:vAlign w:val="center"/>
          </w:tcPr>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1、主管材为137*40*3.0mm平椭管</w:t>
            </w:r>
            <w:r>
              <w:rPr>
                <w:rFonts w:hint="eastAsia" w:ascii="宋体" w:hAnsi="宋体" w:cs="宋体"/>
              </w:rPr>
              <w:t xml:space="preserve">或50*50*3.0mm 以上的方管，管材壁厚不小于3mm </w:t>
            </w:r>
            <w:r>
              <w:rPr>
                <w:rFonts w:hint="eastAsia" w:asciiTheme="minorEastAsia" w:hAnsiTheme="minorEastAsia" w:eastAsiaTheme="minorEastAsia" w:cstheme="minorEastAsia"/>
              </w:rPr>
              <w:t xml:space="preserve"> ;                </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靠背多位置调节，适合不同使用者的需要，手把采用软质PVC挤压成形相对橡胶挤压成形更耐磨损。                                                         3、采用高强度铝合金端盖，美观大方，经久耐用，永不退色。                                        </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4、坐靠垫采用人体工程原理一次成型设计，贴合人体曲线，舒适感强且经久耐用。                                                                                                   5、运动轨迹为向心及离心轨迹，符合人体生物力学原理。</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占地面积：1412*1131*1527mm    </w:t>
            </w: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净重：≥217kg</w:t>
            </w:r>
          </w:p>
          <w:p>
            <w:pPr>
              <w:pStyle w:val="21"/>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6、标准配重不少于110</w:t>
            </w:r>
            <w:r>
              <w:rPr>
                <w:rFonts w:hint="eastAsia" w:asciiTheme="minorEastAsia" w:hAnsiTheme="minorEastAsia" w:eastAsiaTheme="minorEastAsia" w:cstheme="minorEastAsia"/>
                <w:sz w:val="21"/>
                <w:szCs w:val="21"/>
              </w:rPr>
              <w:t>kg，</w:t>
            </w:r>
            <w:r>
              <w:rPr>
                <w:rFonts w:hint="eastAsia" w:asciiTheme="minorEastAsia" w:hAnsiTheme="minorEastAsia" w:eastAsiaTheme="minorEastAsia" w:cstheme="minorEastAsia"/>
                <w:kern w:val="0"/>
                <w:sz w:val="21"/>
                <w:szCs w:val="21"/>
              </w:rPr>
              <w:t>材质冷拉钢板，经久耐用</w:t>
            </w:r>
          </w:p>
        </w:tc>
        <w:tc>
          <w:tcPr>
            <w:tcW w:w="850" w:type="dxa"/>
            <w:vAlign w:val="center"/>
          </w:tcPr>
          <w:p>
            <w:pPr>
              <w:jc w:val="center"/>
              <w:rPr>
                <w:rFonts w:asciiTheme="minorEastAsia" w:hAnsiTheme="minorEastAsia" w:eastAsiaTheme="minorEastAsia" w:cstheme="minorEastAsia"/>
                <w:position w:val="6"/>
              </w:rPr>
            </w:pPr>
            <w:r>
              <w:rPr>
                <w:rFonts w:hint="eastAsia" w:asciiTheme="minorEastAsia" w:hAnsiTheme="minorEastAsia" w:eastAsiaTheme="minorEastAsia" w:cstheme="minorEastAsia"/>
                <w:position w:val="6"/>
              </w:rPr>
              <w:t>台</w:t>
            </w:r>
          </w:p>
        </w:tc>
        <w:tc>
          <w:tcPr>
            <w:tcW w:w="992" w:type="dxa"/>
            <w:vAlign w:val="center"/>
          </w:tcPr>
          <w:p>
            <w:pPr>
              <w:widowControl/>
              <w:jc w:val="center"/>
              <w:textAlignment w:val="center"/>
              <w:rPr>
                <w:rFonts w:asciiTheme="minorEastAsia" w:hAnsiTheme="minorEastAsia" w:eastAsiaTheme="minorEastAsia" w:cstheme="minorEastAsia"/>
                <w:kern w:val="0"/>
                <w:position w:val="6"/>
              </w:rPr>
            </w:pPr>
            <w:r>
              <w:rPr>
                <w:rFonts w:hint="eastAsia" w:asciiTheme="minorEastAsia" w:hAnsiTheme="minorEastAsia" w:eastAsiaTheme="minorEastAsia" w:cstheme="minorEastAsia"/>
                <w:kern w:val="0"/>
              </w:rPr>
              <w:t>1</w:t>
            </w:r>
          </w:p>
        </w:tc>
        <w:tc>
          <w:tcPr>
            <w:tcW w:w="1560" w:type="dxa"/>
            <w:vAlign w:val="center"/>
          </w:tcPr>
          <w:p>
            <w:pPr>
              <w:shd w:val="clear" w:color="auto" w:fill="FFFFFF"/>
              <w:jc w:val="left"/>
              <w:rPr>
                <w:rFonts w:asciiTheme="minorEastAsia" w:hAnsiTheme="minorEastAsia" w:eastAsiaTheme="minorEastAsia" w:cstheme="minorEastAsia"/>
              </w:rPr>
            </w:pPr>
            <w:r>
              <w:rPr>
                <w:rFonts w:hint="eastAsia" w:asciiTheme="minorEastAsia" w:hAnsiTheme="minorEastAsia" w:eastAsiaTheme="minorEastAsia" w:cstheme="minorEastAsia"/>
              </w:rPr>
              <w:t>康力源健身器材（军霞）</w:t>
            </w:r>
          </w:p>
          <w:p>
            <w:pPr>
              <w:shd w:val="clear" w:color="auto" w:fill="FFFFFF"/>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p>
            <w:pPr>
              <w:rPr>
                <w:rFonts w:asciiTheme="minorEastAsia" w:hAnsiTheme="minorEastAsia" w:eastAsiaTheme="minorEastAsia" w:cstheme="minorEastAsia"/>
              </w:rPr>
            </w:pPr>
            <w:r>
              <w:rPr>
                <w:rFonts w:hint="eastAsia" w:asciiTheme="minorEastAsia" w:hAnsiTheme="minorEastAsia" w:eastAsiaTheme="minorEastAsia" w:cstheme="minorEastAsia"/>
              </w:rPr>
              <w:t>迈宝赫</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坐姿推肩训练器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占地面积：1556*1532*1527mm         </w:t>
            </w:r>
            <w:r>
              <w:rPr>
                <w:rFonts w:hint="eastAsia" w:ascii="宋体" w:hAnsi="宋体" w:cs="宋体"/>
                <w:kern w:val="0"/>
                <w:shd w:val="clear" w:color="auto" w:fill="FFFFFF"/>
              </w:rPr>
              <w:t>★</w:t>
            </w:r>
            <w:r>
              <w:rPr>
                <w:rFonts w:hint="eastAsia" w:ascii="宋体" w:hAnsi="宋体" w:cs="宋体"/>
              </w:rPr>
              <w:t>净重：≥235kg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坐姿高/低拉双功能训练器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占地面积：1424*1502*1827mm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净重：≥225kg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助力单双杠训练器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占地面积：1272*1158*2268mm        </w:t>
            </w:r>
            <w:r>
              <w:rPr>
                <w:rFonts w:hint="eastAsia" w:ascii="宋体" w:hAnsi="宋体" w:cs="宋体"/>
                <w:kern w:val="0"/>
                <w:shd w:val="clear" w:color="auto" w:fill="FFFFFF"/>
              </w:rPr>
              <w:t>★</w:t>
            </w:r>
            <w:r>
              <w:rPr>
                <w:rFonts w:hint="eastAsia" w:ascii="宋体" w:hAnsi="宋体" w:cs="宋体"/>
              </w:rPr>
              <w:t>净重：≥196kg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6、标准配重不少于60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上斜推胸训练器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1、主管材为50*120*3.0mm平椭管或50*50*3.0mm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占地面积：1600*1830*1800mm      </w:t>
            </w:r>
            <w:r>
              <w:rPr>
                <w:rFonts w:hint="eastAsia" w:ascii="宋体" w:hAnsi="宋体" w:cs="宋体"/>
                <w:kern w:val="0"/>
                <w:shd w:val="clear" w:color="auto" w:fill="FFFFFF"/>
              </w:rPr>
              <w:t>★</w:t>
            </w:r>
            <w:r>
              <w:rPr>
                <w:rFonts w:hint="eastAsia" w:ascii="宋体" w:hAnsi="宋体" w:cs="宋体"/>
              </w:rPr>
              <w:t xml:space="preserve"> 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大飞鸟龙门架综合训练器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占地面积：4045*640*2450mm        </w:t>
            </w:r>
            <w:r>
              <w:rPr>
                <w:rFonts w:hint="eastAsia" w:ascii="宋体" w:hAnsi="宋体" w:cs="宋体"/>
                <w:kern w:val="0"/>
                <w:shd w:val="clear" w:color="auto" w:fill="FFFFFF"/>
              </w:rPr>
              <w:t>★</w:t>
            </w:r>
            <w:r>
              <w:rPr>
                <w:rFonts w:hint="eastAsia" w:ascii="宋体" w:hAnsi="宋体" w:cs="宋体"/>
              </w:rPr>
              <w:t>净重：≥420kg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斯密斯机综合训练器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主管材为50*50*3.0mm 以上的方管，管材壁厚不小于3mm</w:t>
            </w:r>
          </w:p>
          <w:p>
            <w:pPr>
              <w:widowControl/>
              <w:jc w:val="left"/>
              <w:rPr>
                <w:rFonts w:ascii="宋体" w:hAnsi="宋体" w:cs="宋体"/>
              </w:rPr>
            </w:pPr>
            <w:r>
              <w:rPr>
                <w:rFonts w:hint="eastAsia" w:ascii="宋体" w:hAnsi="宋体" w:cs="宋体"/>
              </w:rPr>
              <w:t>占地面积：2069mm*1585.5*2414mm</w:t>
            </w:r>
          </w:p>
          <w:p>
            <w:pPr>
              <w:widowControl/>
              <w:jc w:val="left"/>
              <w:rPr>
                <w:rFonts w:ascii="宋体" w:hAnsi="宋体" w:cs="宋体"/>
              </w:rPr>
            </w:pPr>
            <w:r>
              <w:rPr>
                <w:rFonts w:hint="eastAsia" w:ascii="宋体" w:hAnsi="宋体" w:cs="宋体"/>
              </w:rPr>
              <w:t xml:space="preserve">最大训练荷载：100kg                 </w:t>
            </w:r>
          </w:p>
          <w:p>
            <w:pPr>
              <w:widowControl/>
              <w:jc w:val="left"/>
              <w:rPr>
                <w:rFonts w:ascii="宋体" w:hAnsi="宋体" w:cs="宋体"/>
              </w:rPr>
            </w:pPr>
            <w:r>
              <w:rPr>
                <w:rFonts w:hint="eastAsia" w:ascii="宋体" w:hAnsi="宋体" w:cs="宋体"/>
              </w:rPr>
              <w:t xml:space="preserve">最大配重:300kg                                                    </w:t>
            </w:r>
          </w:p>
          <w:p>
            <w:pPr>
              <w:widowControl/>
              <w:jc w:val="left"/>
              <w:rPr>
                <w:rFonts w:ascii="宋体" w:hAnsi="宋体" w:cs="宋体"/>
              </w:rPr>
            </w:pPr>
            <w:r>
              <w:rPr>
                <w:rFonts w:hint="eastAsia" w:ascii="宋体" w:hAnsi="宋体" w:cs="宋体"/>
              </w:rPr>
              <w:t xml:space="preserve">阻力形式：杠铃                            </w:t>
            </w:r>
          </w:p>
          <w:p>
            <w:pPr>
              <w:widowControl/>
              <w:jc w:val="left"/>
              <w:rPr>
                <w:rFonts w:ascii="宋体" w:hAnsi="宋体" w:cs="宋体"/>
              </w:rPr>
            </w:pPr>
            <w:r>
              <w:rPr>
                <w:rFonts w:hint="eastAsia" w:ascii="宋体" w:hAnsi="宋体" w:cs="宋体"/>
              </w:rPr>
              <w:t xml:space="preserve">主立管规格：50mm*120mm*3mm(平椭管）  </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净重：≥260kg                            </w:t>
            </w:r>
          </w:p>
          <w:p>
            <w:pPr>
              <w:widowControl/>
              <w:jc w:val="left"/>
              <w:rPr>
                <w:rFonts w:ascii="宋体" w:hAnsi="宋体" w:cs="宋体"/>
              </w:rPr>
            </w:pPr>
            <w:r>
              <w:rPr>
                <w:rFonts w:hint="eastAsia" w:ascii="宋体" w:hAnsi="宋体" w:cs="宋体"/>
              </w:rPr>
              <w:t>通过GB17498-2008通用安全要求检测</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高档优质静音滑轨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right"/>
              <w:textAlignment w:val="center"/>
              <w:rPr>
                <w:rStyle w:val="59"/>
                <w:rFonts w:hint="default"/>
                <w:color w:val="auto"/>
              </w:rPr>
            </w:pPr>
            <w:r>
              <w:rPr>
                <w:rStyle w:val="59"/>
                <w:rFonts w:hint="default"/>
                <w:color w:val="auto"/>
              </w:rPr>
              <w:t>14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内外夹腿训练器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占地面积：1621*800*1536mm        </w:t>
            </w: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6、标准配重不少于60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划船机阻力训练器</w:t>
            </w:r>
          </w:p>
        </w:tc>
        <w:tc>
          <w:tcPr>
            <w:tcW w:w="5812" w:type="dxa"/>
            <w:vAlign w:val="center"/>
          </w:tcPr>
          <w:p>
            <w:pPr>
              <w:widowControl/>
              <w:jc w:val="left"/>
              <w:rPr>
                <w:rFonts w:ascii="宋体" w:hAnsi="宋体" w:cs="宋体"/>
                <w:kern w:val="0"/>
              </w:rPr>
            </w:pPr>
            <w:r>
              <w:rPr>
                <w:rFonts w:hint="eastAsia" w:ascii="宋体" w:hAnsi="宋体" w:cs="宋体"/>
                <w:kern w:val="0"/>
              </w:rPr>
              <w:t>1. 阻力方式：水阻力划船训练器材</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2. 净重≥49KG,毛重≥55KG.   </w:t>
            </w:r>
          </w:p>
          <w:p>
            <w:pPr>
              <w:widowControl/>
              <w:jc w:val="left"/>
              <w:rPr>
                <w:rFonts w:ascii="宋体" w:hAnsi="宋体" w:cs="宋体"/>
                <w:kern w:val="0"/>
              </w:rPr>
            </w:pPr>
            <w:r>
              <w:rPr>
                <w:rFonts w:hint="eastAsia" w:ascii="宋体" w:hAnsi="宋体" w:cs="宋体"/>
                <w:kern w:val="0"/>
              </w:rPr>
              <w:t>3. 传动方式：皮带传动方式，超静音设计</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4. 主立管材质尺寸：≥120*50*2.5mm</w:t>
            </w:r>
          </w:p>
          <w:p>
            <w:pPr>
              <w:widowControl/>
              <w:jc w:val="left"/>
              <w:rPr>
                <w:rFonts w:ascii="宋体" w:hAnsi="宋体" w:cs="宋体"/>
                <w:kern w:val="0"/>
              </w:rPr>
            </w:pPr>
            <w:r>
              <w:rPr>
                <w:rFonts w:hint="eastAsia" w:ascii="宋体" w:hAnsi="宋体" w:cs="宋体"/>
                <w:kern w:val="0"/>
              </w:rPr>
              <w:t>5. 导轨：全铝合金导轨</w:t>
            </w:r>
          </w:p>
          <w:p>
            <w:pPr>
              <w:widowControl/>
              <w:jc w:val="left"/>
              <w:rPr>
                <w:rFonts w:ascii="宋体" w:hAnsi="宋体" w:cs="宋体"/>
                <w:kern w:val="0"/>
              </w:rPr>
            </w:pPr>
            <w:r>
              <w:rPr>
                <w:rFonts w:hint="eastAsia" w:ascii="宋体" w:hAnsi="宋体" w:cs="宋体"/>
                <w:kern w:val="0"/>
              </w:rPr>
              <w:t xml:space="preserve">6. 展开尺寸：≥2280X565X760mm             </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45倒蹬训练器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w:t>
            </w:r>
            <w:r>
              <w:rPr>
                <w:rFonts w:hint="eastAsia" w:ascii="宋体" w:hAnsi="宋体" w:cs="宋体"/>
                <w:kern w:val="0"/>
                <w:shd w:val="clear" w:color="auto" w:fill="FFFFFF"/>
              </w:rPr>
              <w:t>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占地面积：2400*1350*1450mm       </w:t>
            </w:r>
            <w:r>
              <w:rPr>
                <w:rFonts w:hint="eastAsia" w:ascii="宋体" w:hAnsi="宋体" w:cs="宋体"/>
                <w:kern w:val="0"/>
                <w:shd w:val="clear" w:color="auto" w:fill="FFFFFF"/>
              </w:rPr>
              <w:t>★</w:t>
            </w:r>
            <w:r>
              <w:rPr>
                <w:rFonts w:hint="eastAsia" w:ascii="宋体" w:hAnsi="宋体" w:cs="宋体"/>
                <w:kern w:val="0"/>
              </w:rPr>
              <w:t>净重：≥220kg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w:t>
            </w:r>
            <w:r>
              <w:rPr>
                <w:rFonts w:hint="eastAsia" w:ascii="宋体" w:hAnsi="宋体" w:cs="宋体"/>
                <w:kern w:val="0"/>
                <w:shd w:val="clear" w:color="auto" w:fill="FFFFFF"/>
              </w:rPr>
              <w:t>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占地面积：936*1373*1527mm        </w:t>
            </w:r>
            <w:r>
              <w:rPr>
                <w:rFonts w:hint="eastAsia" w:ascii="宋体" w:hAnsi="宋体" w:cs="宋体"/>
                <w:kern w:val="0"/>
                <w:shd w:val="clear" w:color="auto" w:fill="FFFFFF"/>
              </w:rPr>
              <w:t>★</w:t>
            </w:r>
            <w:r>
              <w:rPr>
                <w:rFonts w:hint="eastAsia" w:ascii="宋体" w:hAnsi="宋体" w:cs="宋体"/>
                <w:kern w:val="0"/>
              </w:rPr>
              <w:t xml:space="preserve"> 净重：≥250kg配重≥100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三头肌下压训练器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占地面积：1067*1496*1527mm        </w:t>
            </w:r>
            <w:r>
              <w:rPr>
                <w:rFonts w:hint="eastAsia" w:ascii="宋体" w:hAnsi="宋体" w:cs="宋体"/>
                <w:kern w:val="0"/>
                <w:shd w:val="clear" w:color="auto" w:fill="FFFFFF"/>
              </w:rPr>
              <w:t>★</w:t>
            </w:r>
            <w:r>
              <w:rPr>
                <w:rFonts w:hint="eastAsia" w:ascii="宋体" w:hAnsi="宋体" w:cs="宋体"/>
                <w:kern w:val="0"/>
              </w:rPr>
              <w:t>净重：≥218kg配重≥100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坐姿蹬腿力量训练器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占地面积：1023*1848*1527mm         </w:t>
            </w:r>
            <w:r>
              <w:rPr>
                <w:rFonts w:hint="eastAsia" w:ascii="宋体" w:hAnsi="宋体" w:cs="宋体"/>
                <w:kern w:val="0"/>
                <w:shd w:val="clear" w:color="auto" w:fill="FFFFFF"/>
              </w:rPr>
              <w:t>★</w:t>
            </w:r>
            <w:r>
              <w:rPr>
                <w:rFonts w:hint="eastAsia" w:ascii="宋体" w:hAnsi="宋体" w:cs="宋体"/>
              </w:rPr>
              <w:t>净重：≥226kg</w:t>
            </w:r>
          </w:p>
          <w:p>
            <w:pPr>
              <w:pStyle w:val="21"/>
              <w:ind w:firstLine="0" w:firstLineChars="0"/>
              <w:rPr>
                <w:rFonts w:ascii="宋体" w:hAnsi="宋体" w:eastAsia="宋体" w:cs="宋体"/>
                <w:b/>
                <w:bCs/>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right"/>
              <w:textAlignment w:val="center"/>
              <w:rPr>
                <w:rStyle w:val="59"/>
                <w:rFonts w:hint="default"/>
                <w:color w:val="auto"/>
              </w:rPr>
            </w:pPr>
            <w:r>
              <w:rPr>
                <w:rFonts w:hint="eastAsia" w:ascii="宋体" w:hAnsi="宋体" w:cs="宋体"/>
                <w:kern w:val="0"/>
              </w:rPr>
              <w:t>20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杠铃架</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占地面积：920*825*1445mm      </w:t>
            </w:r>
            <w:r>
              <w:rPr>
                <w:rFonts w:hint="eastAsia" w:ascii="宋体" w:hAnsi="宋体" w:cs="宋体"/>
                <w:kern w:val="0"/>
                <w:shd w:val="clear" w:color="auto" w:fill="FFFFFF"/>
              </w:rPr>
              <w:t>★</w:t>
            </w:r>
            <w:r>
              <w:rPr>
                <w:rFonts w:hint="eastAsia" w:ascii="宋体" w:hAnsi="宋体" w:cs="宋体"/>
                <w:kern w:val="0"/>
              </w:rPr>
              <w:t>净重：≥72kg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1、主管材为50*120*3.0mm平椭管</w:t>
            </w:r>
            <w:r>
              <w:rPr>
                <w:rFonts w:hint="eastAsia" w:ascii="宋体" w:hAnsi="宋体" w:cs="宋体"/>
              </w:rPr>
              <w:t>或50*50*3.0mm 以上的方管，管材壁厚不小于3mm</w:t>
            </w:r>
            <w:r>
              <w:rPr>
                <w:rFonts w:hint="eastAsia" w:ascii="宋体" w:hAnsi="宋体" w:cs="宋体"/>
                <w:kern w:val="0"/>
              </w:rPr>
              <w:t xml:space="preserve"> ; </w:t>
            </w:r>
          </w:p>
          <w:p>
            <w:pPr>
              <w:widowControl/>
              <w:jc w:val="left"/>
              <w:rPr>
                <w:rFonts w:ascii="宋体" w:hAnsi="宋体" w:cs="宋体"/>
                <w:kern w:val="0"/>
              </w:rPr>
            </w:pPr>
            <w:r>
              <w:rPr>
                <w:rFonts w:hint="eastAsia" w:ascii="宋体" w:hAnsi="宋体" w:cs="宋体"/>
                <w:kern w:val="0"/>
              </w:rPr>
              <w:t>2、 靠背多位置调节，适合不同使用者的需要，手把采用软质PVC挤压成形相对橡胶挤压成形更耐磨损。                                                         3、采用高强度铝合金端盖，美观大方，经久耐用，永不退色。                                        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占地面积：1140*690*910mm      </w:t>
            </w:r>
            <w:r>
              <w:rPr>
                <w:rFonts w:hint="eastAsia" w:ascii="宋体" w:hAnsi="宋体" w:cs="宋体"/>
                <w:kern w:val="0"/>
                <w:shd w:val="clear" w:color="auto" w:fill="FFFFFF"/>
              </w:rPr>
              <w:t>★</w:t>
            </w:r>
            <w:r>
              <w:rPr>
                <w:rFonts w:hint="eastAsia" w:ascii="宋体" w:hAnsi="宋体" w:cs="宋体"/>
                <w:kern w:val="0"/>
              </w:rPr>
              <w:t xml:space="preserve"> 净重：≥45kg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奥林匹克上斜举重床</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占地面积：1700*1830*1330mm       </w:t>
            </w:r>
            <w:r>
              <w:rPr>
                <w:rFonts w:hint="eastAsia" w:ascii="宋体" w:hAnsi="宋体" w:cs="宋体"/>
                <w:kern w:val="0"/>
                <w:shd w:val="clear" w:color="auto" w:fill="FFFFFF"/>
              </w:rPr>
              <w:t>★</w:t>
            </w:r>
            <w:r>
              <w:rPr>
                <w:rFonts w:hint="eastAsia" w:ascii="宋体" w:hAnsi="宋体" w:cs="宋体"/>
                <w:kern w:val="0"/>
              </w:rPr>
              <w:t>净重：≥102kg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杠铃片架</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占地面积：773*1166*1050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小腿训练器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1、主管材为137*40*3.0平椭管</w:t>
            </w:r>
            <w:r>
              <w:rPr>
                <w:rFonts w:hint="eastAsia" w:ascii="宋体" w:hAnsi="宋体" w:cs="宋体"/>
              </w:rPr>
              <w:t>或50*50*3.0mm 以上的方管，管材壁厚不小于3mm</w:t>
            </w:r>
            <w:r>
              <w:rPr>
                <w:rFonts w:hint="eastAsia" w:ascii="宋体" w:hAnsi="宋体" w:cs="宋体"/>
                <w:kern w:val="0"/>
              </w:rPr>
              <w:t>;                                                                2、手把采用软质PVC挤压成形相对橡胶挤压成形更耐磨损。                                                         3、采用高强度铝合金端盖，美观大方，经久耐用，永不退色。                                            4.力量系列中非常适合新手使用的设备，但是强大的结构和功能设计也能满足高级用户的需求。</w:t>
            </w:r>
          </w:p>
          <w:p>
            <w:pPr>
              <w:widowControl/>
              <w:jc w:val="left"/>
              <w:rPr>
                <w:rFonts w:ascii="宋体" w:hAnsi="宋体" w:cs="宋体"/>
                <w:kern w:val="0"/>
              </w:rPr>
            </w:pPr>
            <w:r>
              <w:rPr>
                <w:rFonts w:hint="eastAsia" w:ascii="宋体" w:hAnsi="宋体" w:cs="宋体"/>
                <w:kern w:val="0"/>
              </w:rPr>
              <w:t>专注打造科学的生物力学和自然的运动轨迹，更加有效地帮助用户提高力量。 一如既往的设计理念为专业运动员打造可以信赖的力量训练设备</w:t>
            </w:r>
          </w:p>
          <w:p>
            <w:pPr>
              <w:widowControl/>
              <w:jc w:val="left"/>
              <w:rPr>
                <w:rFonts w:ascii="宋体" w:hAnsi="宋体" w:cs="宋体"/>
                <w:kern w:val="0"/>
              </w:rPr>
            </w:pPr>
            <w:r>
              <w:rPr>
                <w:rFonts w:hint="eastAsia" w:ascii="宋体" w:hAnsi="宋体" w:cs="宋体"/>
                <w:kern w:val="0"/>
              </w:rPr>
              <w:t>占地面积： 1580*1050*720mm</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净重：≥206kg 配重≥100</w:t>
            </w:r>
            <w:r>
              <w:rPr>
                <w:rFonts w:hint="eastAsia" w:ascii="宋体" w:hAnsi="宋体" w:cs="宋体"/>
              </w:rPr>
              <w:t>kg</w:t>
            </w:r>
          </w:p>
          <w:p>
            <w:pPr>
              <w:widowControl/>
              <w:jc w:val="left"/>
              <w:rPr>
                <w:rFonts w:ascii="宋体" w:hAnsi="宋体" w:cs="宋体"/>
                <w:kern w:val="0"/>
              </w:rPr>
            </w:pPr>
            <w:r>
              <w:rPr>
                <w:rFonts w:hint="eastAsia" w:ascii="宋体" w:hAnsi="宋体" w:cs="宋体"/>
                <w:kern w:val="0"/>
              </w:rPr>
              <w:t>包装尺寸：纸箱A：1465*840*260mm</w:t>
            </w:r>
          </w:p>
          <w:p>
            <w:pPr>
              <w:widowControl/>
              <w:jc w:val="left"/>
              <w:rPr>
                <w:rFonts w:ascii="宋体" w:hAnsi="宋体" w:cs="宋体"/>
                <w:kern w:val="0"/>
              </w:rPr>
            </w:pPr>
            <w:r>
              <w:rPr>
                <w:rFonts w:hint="eastAsia" w:ascii="宋体" w:hAnsi="宋体" w:cs="宋体"/>
                <w:kern w:val="0"/>
              </w:rPr>
              <w:t>纸箱B：1700*1100*420mm</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kern w:val="0"/>
              </w:rPr>
            </w:pPr>
            <w:r>
              <w:rPr>
                <w:rFonts w:hint="eastAsia" w:ascii="宋体" w:hAnsi="宋体" w:cs="宋体"/>
              </w:rPr>
              <w:t>康</w:t>
            </w:r>
            <w:r>
              <w:rPr>
                <w:rFonts w:hint="eastAsia" w:ascii="宋体" w:hAnsi="宋体" w:cs="宋体"/>
                <w:kern w:val="0"/>
              </w:rPr>
              <w:t>力源健身器材（军霞）</w:t>
            </w:r>
          </w:p>
          <w:p>
            <w:pPr>
              <w:widowControl/>
              <w:jc w:val="left"/>
              <w:rPr>
                <w:rFonts w:ascii="宋体" w:hAnsi="宋体" w:cs="宋体"/>
              </w:rPr>
            </w:pPr>
            <w:r>
              <w:rPr>
                <w:rFonts w:hint="eastAsia" w:ascii="宋体" w:hAnsi="宋体" w:cs="宋体"/>
                <w:kern w:val="0"/>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哈克深蹲训练器</w:t>
            </w:r>
          </w:p>
        </w:tc>
        <w:tc>
          <w:tcPr>
            <w:tcW w:w="5812" w:type="dxa"/>
            <w:vAlign w:val="center"/>
          </w:tcPr>
          <w:p>
            <w:pPr>
              <w:widowControl/>
              <w:numPr>
                <w:ilvl w:val="0"/>
                <w:numId w:val="6"/>
              </w:numPr>
              <w:jc w:val="left"/>
              <w:rPr>
                <w:rFonts w:ascii="宋体" w:hAnsi="宋体" w:cs="宋体"/>
                <w:kern w:val="0"/>
              </w:rPr>
            </w:pPr>
            <w:r>
              <w:rPr>
                <w:rFonts w:hint="eastAsia" w:ascii="宋体" w:hAnsi="宋体" w:cs="宋体"/>
                <w:kern w:val="0"/>
              </w:rPr>
              <w:t>尺寸：2010*1630*1470mm</w:t>
            </w:r>
          </w:p>
          <w:p>
            <w:pPr>
              <w:widowControl/>
              <w:ind w:left="210"/>
              <w:jc w:val="left"/>
              <w:rPr>
                <w:rFonts w:ascii="宋体" w:hAnsi="宋体" w:cs="宋体"/>
                <w:kern w:val="0"/>
              </w:rPr>
            </w:pPr>
            <w:r>
              <w:rPr>
                <w:rFonts w:hint="eastAsia" w:ascii="宋体" w:hAnsi="宋体" w:cs="宋体"/>
                <w:kern w:val="0"/>
                <w:shd w:val="clear" w:color="auto" w:fill="FFFFFF"/>
              </w:rPr>
              <w:t>★2、</w:t>
            </w:r>
            <w:r>
              <w:rPr>
                <w:rFonts w:hint="eastAsia" w:ascii="宋体" w:hAnsi="宋体" w:cs="宋体"/>
                <w:kern w:val="0"/>
              </w:rPr>
              <w:t>重量：≥196kg</w:t>
            </w:r>
          </w:p>
          <w:p>
            <w:pPr>
              <w:widowControl/>
              <w:ind w:left="210"/>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3、</w:t>
            </w:r>
            <w:r>
              <w:rPr>
                <w:rFonts w:hint="eastAsia" w:ascii="宋体" w:hAnsi="宋体" w:cs="宋体"/>
                <w:kern w:val="0"/>
              </w:rPr>
              <w:t>管材：采用50.8*76.2mm、50.8*50.8mm、38*38mm方管管材。50.8mm圆管，管壁厚度3.0mm</w:t>
            </w:r>
          </w:p>
          <w:p>
            <w:pPr>
              <w:widowControl/>
              <w:jc w:val="left"/>
              <w:rPr>
                <w:rFonts w:ascii="宋体" w:hAnsi="宋体" w:cs="宋体"/>
                <w:kern w:val="0"/>
              </w:rPr>
            </w:pPr>
            <w:r>
              <w:rPr>
                <w:rFonts w:hint="eastAsia" w:ascii="宋体" w:hAnsi="宋体" w:cs="宋体"/>
                <w:kern w:val="0"/>
              </w:rPr>
              <w:t>坐垫：采用高密度泡沫材质填充</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奥林匹克卧推举重床</w:t>
            </w:r>
          </w:p>
        </w:tc>
        <w:tc>
          <w:tcPr>
            <w:tcW w:w="5812" w:type="dxa"/>
            <w:vAlign w:val="center"/>
          </w:tcPr>
          <w:p>
            <w:pPr>
              <w:widowControl/>
              <w:jc w:val="left"/>
              <w:rPr>
                <w:rFonts w:ascii="宋体" w:hAnsi="宋体" w:cs="宋体"/>
                <w:kern w:val="0"/>
              </w:rPr>
            </w:pPr>
            <w:r>
              <w:rPr>
                <w:rFonts w:hint="eastAsia" w:ascii="宋体" w:hAnsi="宋体" w:cs="宋体"/>
                <w:kern w:val="0"/>
              </w:rPr>
              <w:t xml:space="preserve">1、  充满活力的造型设计，激发锻炼。                                                   </w:t>
            </w:r>
          </w:p>
          <w:p>
            <w:pPr>
              <w:widowControl/>
              <w:jc w:val="left"/>
              <w:rPr>
                <w:rFonts w:ascii="宋体" w:hAnsi="宋体" w:cs="宋体"/>
                <w:kern w:val="0"/>
              </w:rPr>
            </w:pPr>
            <w:r>
              <w:rPr>
                <w:rFonts w:hint="eastAsia" w:ascii="宋体" w:hAnsi="宋体" w:cs="宋体"/>
                <w:kern w:val="0"/>
              </w:rPr>
              <w:t xml:space="preserve">2、  多把位手柄，软质PVC挤压成形相对橡胶挤压成形更耐磨损。      </w:t>
            </w:r>
          </w:p>
          <w:p>
            <w:pPr>
              <w:widowControl/>
              <w:jc w:val="left"/>
              <w:rPr>
                <w:rFonts w:ascii="宋体" w:hAnsi="宋体" w:cs="宋体"/>
                <w:kern w:val="0"/>
              </w:rPr>
            </w:pPr>
            <w:r>
              <w:rPr>
                <w:rFonts w:hint="eastAsia" w:ascii="宋体" w:hAnsi="宋体" w:cs="宋体"/>
                <w:kern w:val="0"/>
              </w:rPr>
              <w:t xml:space="preserve">3、  采用高强度铝合金端盖，美观大方，经久耐用，永不退色。          </w:t>
            </w:r>
          </w:p>
          <w:p>
            <w:pPr>
              <w:widowControl/>
              <w:jc w:val="left"/>
              <w:rPr>
                <w:rFonts w:ascii="宋体" w:hAnsi="宋体" w:cs="宋体"/>
                <w:kern w:val="0"/>
              </w:rPr>
            </w:pPr>
            <w:r>
              <w:rPr>
                <w:rFonts w:hint="eastAsia" w:ascii="宋体" w:hAnsi="宋体" w:cs="宋体"/>
                <w:kern w:val="0"/>
              </w:rPr>
              <w:t xml:space="preserve">4、  主框架采用大规格50*120*3.0平椭圆型钢管制造，电脑切割整体焊接技术。                                                                                            </w:t>
            </w:r>
          </w:p>
          <w:p>
            <w:pPr>
              <w:widowControl/>
              <w:jc w:val="left"/>
              <w:rPr>
                <w:rFonts w:ascii="宋体" w:hAnsi="宋体" w:cs="宋体"/>
                <w:kern w:val="0"/>
              </w:rPr>
            </w:pPr>
            <w:r>
              <w:rPr>
                <w:rFonts w:hint="eastAsia" w:ascii="宋体" w:hAnsi="宋体" w:cs="宋体"/>
                <w:kern w:val="0"/>
              </w:rPr>
              <w:t xml:space="preserve">5、坐靠垫采用人体工程原理一次成型设计，贴合人体曲线，舒适感强且经久耐用。                                                                                            </w:t>
            </w:r>
          </w:p>
          <w:p>
            <w:pPr>
              <w:widowControl/>
              <w:jc w:val="left"/>
              <w:rPr>
                <w:rFonts w:ascii="宋体" w:hAnsi="宋体" w:cs="宋体"/>
                <w:kern w:val="0"/>
              </w:rPr>
            </w:pPr>
            <w:r>
              <w:rPr>
                <w:rFonts w:hint="eastAsia" w:ascii="宋体" w:hAnsi="宋体" w:cs="宋体"/>
                <w:kern w:val="0"/>
              </w:rPr>
              <w:t>6、  运动轨迹为向心及离心轨迹，符合人体生物力学原理。</w:t>
            </w:r>
          </w:p>
          <w:p>
            <w:pPr>
              <w:widowControl/>
              <w:jc w:val="left"/>
              <w:rPr>
                <w:rFonts w:ascii="宋体" w:hAnsi="宋体" w:cs="宋体"/>
                <w:kern w:val="0"/>
              </w:rPr>
            </w:pPr>
            <w:r>
              <w:rPr>
                <w:rFonts w:hint="eastAsia" w:ascii="宋体" w:hAnsi="宋体" w:cs="宋体"/>
                <w:kern w:val="0"/>
              </w:rPr>
              <w:t>占地面积：1958mm*1866mm*1189mm</w:t>
            </w:r>
          </w:p>
          <w:p>
            <w:pPr>
              <w:widowControl/>
              <w:jc w:val="left"/>
              <w:rPr>
                <w:rFonts w:ascii="宋体" w:hAnsi="宋体" w:cs="宋体"/>
                <w:kern w:val="0"/>
              </w:rPr>
            </w:pPr>
            <w:r>
              <w:rPr>
                <w:rFonts w:hint="eastAsia" w:ascii="宋体" w:hAnsi="宋体" w:cs="宋体"/>
                <w:kern w:val="0"/>
              </w:rPr>
              <w:t xml:space="preserve">允许使用者最大人体质量：100kg              </w:t>
            </w:r>
          </w:p>
          <w:p>
            <w:pPr>
              <w:widowControl/>
              <w:jc w:val="left"/>
              <w:rPr>
                <w:rFonts w:ascii="宋体" w:hAnsi="宋体" w:cs="宋体"/>
                <w:kern w:val="0"/>
              </w:rPr>
            </w:pPr>
            <w:r>
              <w:rPr>
                <w:rFonts w:hint="eastAsia" w:ascii="宋体" w:hAnsi="宋体" w:cs="宋体"/>
                <w:kern w:val="0"/>
              </w:rPr>
              <w:t xml:space="preserve">最大训练荷载：300kg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净重：≥90kg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通过GB17498-2008通用安全要求检测</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哑铃平凳</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1</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占地面积：1345*540*460mm         </w:t>
            </w:r>
            <w:r>
              <w:rPr>
                <w:rFonts w:hint="eastAsia" w:ascii="宋体" w:hAnsi="宋体" w:cs="宋体"/>
                <w:kern w:val="0"/>
                <w:shd w:val="clear" w:color="auto" w:fill="FFFFFF"/>
              </w:rPr>
              <w:t>★</w:t>
            </w:r>
            <w:r>
              <w:rPr>
                <w:rFonts w:hint="eastAsia" w:ascii="宋体" w:hAnsi="宋体" w:cs="宋体"/>
                <w:kern w:val="0"/>
              </w:rPr>
              <w:t xml:space="preserve"> 净重：≥25kg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可调式哑铃椅</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1.主架管采用50*120*3.0mm平椭圆管，管材设计圆润，外观高端大气。</w:t>
            </w:r>
          </w:p>
          <w:p>
            <w:pPr>
              <w:widowControl/>
              <w:jc w:val="left"/>
              <w:rPr>
                <w:rFonts w:ascii="宋体" w:hAnsi="宋体" w:cs="宋体"/>
                <w:kern w:val="0"/>
              </w:rPr>
            </w:pPr>
            <w:r>
              <w:rPr>
                <w:rFonts w:hint="eastAsia" w:ascii="宋体" w:hAnsi="宋体" w:cs="宋体"/>
                <w:kern w:val="0"/>
              </w:rPr>
              <w:t xml:space="preserve">2.座垫：一次PU成型技术，根据人体工学原理设计的垫子硬度，硬度控制在65度正负5度，确保软硬适中，适合绝大多数使用者 外层包敷皮革，皮革可通过500g砝码来回摩擦8000次不脱皮不掉色。      </w:t>
            </w:r>
          </w:p>
          <w:p>
            <w:pPr>
              <w:widowControl/>
              <w:jc w:val="left"/>
              <w:rPr>
                <w:rFonts w:ascii="宋体" w:hAnsi="宋体" w:cs="宋体"/>
                <w:kern w:val="0"/>
              </w:rPr>
            </w:pPr>
            <w:r>
              <w:rPr>
                <w:rFonts w:hint="eastAsia" w:ascii="宋体" w:hAnsi="宋体" w:cs="宋体"/>
                <w:kern w:val="0"/>
              </w:rPr>
              <w:t>3.辅助杠铃片悬挂架：部分器械配有辅助性杠铃片悬挂架，用于放置更多规格的杠铃片，方便使用。</w:t>
            </w:r>
          </w:p>
          <w:p>
            <w:pPr>
              <w:widowControl/>
              <w:jc w:val="left"/>
              <w:rPr>
                <w:rFonts w:ascii="宋体" w:hAnsi="宋体" w:cs="宋体"/>
                <w:kern w:val="0"/>
              </w:rPr>
            </w:pPr>
            <w:r>
              <w:rPr>
                <w:rFonts w:hint="eastAsia" w:ascii="宋体" w:hAnsi="宋体" w:cs="宋体"/>
                <w:kern w:val="0"/>
              </w:rPr>
              <w:t>占地面积：1378mm*535.5*501mm</w:t>
            </w:r>
          </w:p>
          <w:p>
            <w:pPr>
              <w:widowControl/>
              <w:jc w:val="left"/>
              <w:rPr>
                <w:rFonts w:ascii="宋体" w:hAnsi="宋体" w:cs="宋体"/>
                <w:kern w:val="0"/>
              </w:rPr>
            </w:pPr>
            <w:r>
              <w:rPr>
                <w:rFonts w:hint="eastAsia" w:ascii="宋体" w:hAnsi="宋体" w:cs="宋体"/>
                <w:kern w:val="0"/>
              </w:rPr>
              <w:t xml:space="preserve">最大训练荷载：100kg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商用哑铃架</w:t>
            </w:r>
          </w:p>
        </w:tc>
        <w:tc>
          <w:tcPr>
            <w:tcW w:w="5812" w:type="dxa"/>
            <w:vAlign w:val="center"/>
          </w:tcPr>
          <w:p>
            <w:pPr>
              <w:widowControl/>
              <w:jc w:val="left"/>
              <w:rPr>
                <w:rFonts w:ascii="宋体" w:hAnsi="宋体" w:cs="宋体"/>
              </w:rPr>
            </w:pPr>
            <w:r>
              <w:rPr>
                <w:rFonts w:hint="eastAsia" w:ascii="宋体" w:hAnsi="宋体" w:cs="宋体"/>
              </w:rPr>
              <w:t>外形尺寸：2230*720*700</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主立管规格：50*120*3mm  </w:t>
            </w:r>
          </w:p>
          <w:p>
            <w:pPr>
              <w:widowControl/>
              <w:jc w:val="left"/>
              <w:rPr>
                <w:rFonts w:ascii="宋体" w:hAnsi="宋体" w:cs="宋体"/>
              </w:rPr>
            </w:pPr>
            <w:r>
              <w:rPr>
                <w:rFonts w:hint="eastAsia" w:ascii="宋体" w:hAnsi="宋体" w:cs="宋体"/>
              </w:rPr>
              <w:t xml:space="preserve">最大承受荷载：600kg       </w:t>
            </w:r>
            <w:r>
              <w:rPr>
                <w:rFonts w:hint="eastAsia" w:ascii="宋体" w:hAnsi="宋体" w:cs="宋体"/>
                <w:kern w:val="0"/>
                <w:shd w:val="clear" w:color="auto" w:fill="FFFFFF"/>
              </w:rPr>
              <w:t>★</w:t>
            </w:r>
            <w:r>
              <w:rPr>
                <w:rFonts w:hint="eastAsia" w:ascii="宋体" w:hAnsi="宋体" w:cs="宋体"/>
              </w:rPr>
              <w:t xml:space="preserve"> 净重：≥88kg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至少可存放12副哑铃，双层或三层</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外包胶、橡胶材质环保、耐磨、抗摔</w:t>
            </w:r>
          </w:p>
          <w:p>
            <w:pPr>
              <w:widowControl/>
              <w:jc w:val="left"/>
              <w:rPr>
                <w:rFonts w:ascii="宋体" w:hAnsi="宋体" w:cs="宋体"/>
              </w:rPr>
            </w:pPr>
            <w:r>
              <w:rPr>
                <w:rFonts w:hint="eastAsia" w:ascii="宋体" w:hAnsi="宋体" w:cs="宋体"/>
              </w:rPr>
              <w:t>三孔杠铃片，内嵌不锈钢钢圈，美观实用；</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规格为：2.5KG  5KG  10KG  15KG  20KG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大孔配奥杆用</w:t>
            </w:r>
          </w:p>
        </w:tc>
        <w:tc>
          <w:tcPr>
            <w:tcW w:w="850" w:type="dxa"/>
            <w:vAlign w:val="center"/>
          </w:tcPr>
          <w:p>
            <w:pP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2000</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圆头包胶哑铃</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规格为：2.5KG--30KG(每2.5KG一个级别递增）</w:t>
            </w:r>
          </w:p>
        </w:tc>
        <w:tc>
          <w:tcPr>
            <w:tcW w:w="850" w:type="dxa"/>
            <w:vAlign w:val="center"/>
          </w:tcPr>
          <w:p>
            <w:pPr>
              <w:jc w:val="cente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390</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杠铃杆</w:t>
            </w:r>
          </w:p>
        </w:tc>
        <w:tc>
          <w:tcPr>
            <w:tcW w:w="5812" w:type="dxa"/>
            <w:vAlign w:val="center"/>
          </w:tcPr>
          <w:p>
            <w:pPr>
              <w:pStyle w:val="21"/>
              <w:ind w:firstLine="0" w:firstLineChars="0"/>
              <w:rPr>
                <w:rFonts w:ascii="宋体" w:hAnsi="宋体" w:eastAsia="宋体" w:cs="宋体"/>
                <w:sz w:val="21"/>
                <w:szCs w:val="21"/>
              </w:rPr>
            </w:pPr>
            <w:r>
              <w:rPr>
                <w:rFonts w:hint="eastAsia" w:ascii="宋体" w:hAnsi="宋体" w:eastAsia="宋体" w:cs="宋体"/>
                <w:kern w:val="0"/>
                <w:szCs w:val="21"/>
                <w:shd w:val="clear" w:color="auto" w:fill="FFFFFF"/>
              </w:rPr>
              <w:t>★</w:t>
            </w:r>
            <w:r>
              <w:rPr>
                <w:rFonts w:hint="eastAsia" w:ascii="宋体" w:hAnsi="宋体" w:eastAsia="宋体" w:cs="宋体"/>
                <w:sz w:val="21"/>
                <w:szCs w:val="21"/>
              </w:rPr>
              <w:t>农夫行走异型杆，承重≥200kg，奥杆配大孔片。</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奥林匹克杠铃直杆，总长1.2m，承重≥100kg，总重6.3kg。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奥林匹克杠铃直杆，总长2.2m，承重≥300kg，总重≥20kg。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奥林匹克杠铃曲杠，总长1.2m，承重≥100k。</w:t>
            </w:r>
          </w:p>
        </w:tc>
        <w:tc>
          <w:tcPr>
            <w:tcW w:w="850" w:type="dxa"/>
            <w:vAlign w:val="center"/>
          </w:tcPr>
          <w:p>
            <w:pPr>
              <w:jc w:val="center"/>
              <w:rPr>
                <w:rFonts w:ascii="宋体" w:hAnsi="宋体" w:cs="宋体"/>
                <w:position w:val="6"/>
              </w:rPr>
            </w:pPr>
            <w:r>
              <w:rPr>
                <w:rFonts w:hint="eastAsia" w:ascii="宋体" w:hAnsi="宋体" w:cs="宋体"/>
                <w:kern w:val="0"/>
              </w:rPr>
              <w:t>根</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position w:val="6"/>
              </w:rPr>
              <w:t>4（各一根）</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减震垫</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3.0cm 500*500 健身房自由重量区商用</w:t>
            </w:r>
          </w:p>
        </w:tc>
        <w:tc>
          <w:tcPr>
            <w:tcW w:w="850" w:type="dxa"/>
            <w:vAlign w:val="center"/>
          </w:tcPr>
          <w:p>
            <w:pPr>
              <w:jc w:val="center"/>
              <w:rPr>
                <w:rFonts w:ascii="宋体" w:hAnsi="宋体" w:cs="宋体"/>
                <w:position w:val="6"/>
              </w:rPr>
            </w:pPr>
            <w:r>
              <w:rPr>
                <w:rFonts w:hint="eastAsia" w:ascii="宋体" w:hAnsi="宋体" w:cs="宋体"/>
                <w:kern w:val="0"/>
              </w:rPr>
              <w:t>平米</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100</w:t>
            </w:r>
          </w:p>
        </w:tc>
        <w:tc>
          <w:tcPr>
            <w:tcW w:w="1560" w:type="dxa"/>
          </w:tcPr>
          <w:p>
            <w:pPr>
              <w:rPr>
                <w:rFonts w:ascii="宋体" w:hAnsi="宋体" w:cs="宋体"/>
                <w:position w:val="6"/>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r>
    </w:tbl>
    <w:p/>
    <w:p>
      <w:pPr>
        <w:rPr>
          <w:rFonts w:ascii="宋体" w:hAnsi="宋体" w:cs="宋体"/>
        </w:rPr>
      </w:pPr>
    </w:p>
    <w:tbl>
      <w:tblPr>
        <w:tblStyle w:val="23"/>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5242"/>
        <w:gridCol w:w="711"/>
        <w:gridCol w:w="992"/>
        <w:gridCol w:w="1560"/>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433" w:type="dxa"/>
            <w:gridSpan w:val="8"/>
            <w:vAlign w:val="center"/>
          </w:tcPr>
          <w:p>
            <w:pPr>
              <w:jc w:val="center"/>
              <w:rPr>
                <w:rFonts w:ascii="宋体" w:hAnsi="宋体" w:cs="宋体"/>
                <w:b/>
                <w:bCs/>
                <w:kern w:val="0"/>
              </w:rPr>
            </w:pPr>
            <w:r>
              <w:rPr>
                <w:rFonts w:hint="eastAsia" w:ascii="宋体" w:hAnsi="宋体" w:cs="宋体"/>
                <w:b/>
                <w:bCs/>
                <w:position w:val="6"/>
              </w:rPr>
              <w:t>5、体操房</w:t>
            </w:r>
            <w:r>
              <w:rPr>
                <w:rFonts w:hint="eastAsia" w:ascii="宋体" w:hAnsi="宋体" w:cs="宋体"/>
                <w:b/>
                <w:bCs/>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2258" w:type="dxa"/>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5242" w:type="dxa"/>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711" w:type="dxa"/>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992" w:type="dxa"/>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560" w:type="dxa"/>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992" w:type="dxa"/>
          </w:tcPr>
          <w:p>
            <w:pPr>
              <w:widowControl/>
              <w:jc w:val="center"/>
              <w:textAlignment w:val="center"/>
              <w:rPr>
                <w:rFonts w:ascii="宋体" w:hAnsi="宋体" w:cs="宋体"/>
                <w:b/>
                <w:bCs/>
                <w:kern w:val="0"/>
              </w:rPr>
            </w:pPr>
            <w:r>
              <w:rPr>
                <w:rFonts w:hint="eastAsia" w:ascii="宋体" w:hAnsi="宋体" w:cs="宋体"/>
                <w:b/>
                <w:bCs/>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16*16自由体操场地</w:t>
            </w:r>
          </w:p>
        </w:tc>
        <w:tc>
          <w:tcPr>
            <w:tcW w:w="5242" w:type="dxa"/>
            <w:vAlign w:val="center"/>
          </w:tcPr>
          <w:p>
            <w:pPr>
              <w:widowControl/>
              <w:jc w:val="left"/>
              <w:rPr>
                <w:rFonts w:ascii="宋体" w:hAnsi="宋体" w:cs="宋体"/>
                <w:kern w:val="0"/>
              </w:rPr>
            </w:pPr>
            <w:r>
              <w:rPr>
                <w:rFonts w:hint="eastAsia" w:ascii="宋体" w:hAnsi="宋体" w:cs="宋体"/>
                <w:lang w:val="zh-CN"/>
              </w:rPr>
              <w:t>艺术体操场地与自由体操场地相近似。</w:t>
            </w:r>
            <w:r>
              <w:rPr>
                <w:rFonts w:hint="eastAsia" w:ascii="宋体" w:hAnsi="宋体" w:cs="宋体"/>
              </w:rPr>
              <w:t>▲</w:t>
            </w:r>
            <w:r>
              <w:rPr>
                <w:rFonts w:hint="eastAsia" w:ascii="宋体" w:hAnsi="宋体" w:cs="宋体"/>
                <w:lang w:val="zh-CN"/>
              </w:rPr>
              <w:t>场地上铺一层地毯，地毯下面有一层弹性适中的衬垫。</w:t>
            </w:r>
            <w:r>
              <w:rPr>
                <w:rFonts w:hint="eastAsia" w:ascii="宋体" w:hAnsi="宋体" w:cs="宋体"/>
                <w:kern w:val="0"/>
                <w:shd w:val="clear" w:color="auto" w:fill="FFFFFF"/>
              </w:rPr>
              <w:t>★</w:t>
            </w:r>
            <w:r>
              <w:rPr>
                <w:rFonts w:hint="eastAsia" w:ascii="宋体" w:hAnsi="宋体" w:cs="宋体"/>
                <w:lang w:val="zh-CN"/>
              </w:rPr>
              <w:t>比赛场地1</w:t>
            </w:r>
            <w:r>
              <w:rPr>
                <w:rFonts w:hint="eastAsia" w:ascii="宋体" w:hAnsi="宋体" w:cs="宋体"/>
              </w:rPr>
              <w:t>6</w:t>
            </w:r>
            <w:r>
              <w:rPr>
                <w:rFonts w:hint="eastAsia" w:ascii="宋体" w:hAnsi="宋体" w:cs="宋体"/>
                <w:lang w:val="zh-CN"/>
              </w:rPr>
              <w:t>米×1</w:t>
            </w:r>
            <w:r>
              <w:rPr>
                <w:rFonts w:hint="eastAsia" w:ascii="宋体" w:hAnsi="宋体" w:cs="宋体"/>
              </w:rPr>
              <w:t>6</w:t>
            </w:r>
            <w:r>
              <w:rPr>
                <w:rFonts w:hint="eastAsia" w:ascii="宋体" w:hAnsi="宋体" w:cs="宋体"/>
                <w:lang w:val="zh-CN"/>
              </w:rPr>
              <w:t>米，场地四周设有安全区域。</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pStyle w:val="4"/>
              <w:shd w:val="clear" w:color="auto" w:fill="FFFFFF"/>
              <w:tabs>
                <w:tab w:val="left" w:pos="576"/>
              </w:tabs>
              <w:spacing w:line="240" w:lineRule="auto"/>
              <w:jc w:val="left"/>
              <w:rPr>
                <w:rFonts w:ascii="宋体" w:hAnsi="宋体" w:eastAsia="宋体" w:cs="宋体"/>
                <w:b w:val="0"/>
                <w:sz w:val="21"/>
                <w:szCs w:val="21"/>
                <w:lang w:val="zh-CN"/>
              </w:rPr>
            </w:pPr>
            <w:r>
              <w:rPr>
                <w:rFonts w:hint="eastAsia" w:ascii="宋体" w:hAnsi="宋体" w:eastAsia="宋体" w:cs="宋体"/>
                <w:b w:val="0"/>
                <w:sz w:val="21"/>
                <w:szCs w:val="21"/>
                <w:lang w:val="zh-CN"/>
              </w:rPr>
              <w:t>金陵、</w:t>
            </w:r>
          </w:p>
          <w:p>
            <w:pPr>
              <w:pStyle w:val="4"/>
              <w:shd w:val="clear" w:color="auto" w:fill="FFFFFF"/>
              <w:tabs>
                <w:tab w:val="left" w:pos="576"/>
              </w:tabs>
              <w:spacing w:line="240" w:lineRule="auto"/>
              <w:jc w:val="left"/>
              <w:rPr>
                <w:rFonts w:ascii="宋体" w:hAnsi="宋体" w:eastAsia="宋体" w:cs="宋体"/>
                <w:sz w:val="21"/>
                <w:szCs w:val="21"/>
                <w:lang w:val="zh-CN"/>
              </w:rPr>
            </w:pPr>
            <w:r>
              <w:rPr>
                <w:rFonts w:hint="eastAsia" w:ascii="宋体" w:hAnsi="宋体" w:eastAsia="宋体" w:cs="宋体"/>
                <w:b w:val="0"/>
                <w:sz w:val="21"/>
                <w:szCs w:val="21"/>
                <w:lang w:val="zh-CN"/>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2</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可调节双杠</w:t>
            </w:r>
          </w:p>
        </w:tc>
        <w:tc>
          <w:tcPr>
            <w:tcW w:w="5242" w:type="dxa"/>
          </w:tcPr>
          <w:p>
            <w:pPr>
              <w:rPr>
                <w:rFonts w:ascii="宋体" w:hAnsi="宋体" w:cs="宋体"/>
                <w:kern w:val="0"/>
              </w:rPr>
            </w:pPr>
            <w:r>
              <w:rPr>
                <w:rFonts w:hint="eastAsia" w:ascii="宋体" w:hAnsi="宋体" w:cs="宋体"/>
                <w:kern w:val="0"/>
              </w:rPr>
              <w:t>动式分底座 立柱 杠面三部分。</w:t>
            </w:r>
            <w:r>
              <w:rPr>
                <w:rFonts w:hint="eastAsia" w:ascii="宋体" w:hAnsi="宋体" w:cs="宋体"/>
                <w:kern w:val="0"/>
                <w:shd w:val="clear" w:color="auto" w:fill="FFFFFF"/>
              </w:rPr>
              <w:t>★</w:t>
            </w:r>
            <w:r>
              <w:rPr>
                <w:rFonts w:hint="eastAsia" w:ascii="宋体" w:hAnsi="宋体" w:cs="宋体"/>
                <w:kern w:val="0"/>
              </w:rPr>
              <w:t>全套重≥145kg，可调高度1300--1700mm，两杠面间距420mm--620mm可调。</w:t>
            </w:r>
          </w:p>
          <w:p>
            <w:pPr>
              <w:rPr>
                <w:rFonts w:ascii="宋体" w:hAnsi="宋体" w:cs="宋体"/>
                <w:kern w:val="0"/>
              </w:rPr>
            </w:pPr>
            <w:r>
              <w:rPr>
                <w:rFonts w:hint="eastAsia" w:ascii="宋体" w:hAnsi="宋体" w:cs="宋体"/>
                <w:kern w:val="0"/>
              </w:rPr>
              <w:t>底座采用50mm*100mm的U型钢焊接而成，宽1200mm，长2800mm，厚4mm。立柱由铸件 钢管 实心钢组合而成。钢管直径42mm，厚3mm。内生降杆为直径30mm冷拔钢，长600mm，镀锌。</w:t>
            </w:r>
          </w:p>
          <w:p>
            <w:pPr>
              <w:widowControl/>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杠面长3500mm，重≥35kg。内附直径25mm弹簧钢，外包高压聚乙烯塑料，断面为鸭蛋圆形。</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rPr>
                <w:rFonts w:ascii="宋体" w:hAnsi="宋体" w:cs="宋体"/>
                <w:spacing w:val="-6"/>
              </w:rPr>
            </w:pPr>
            <w:r>
              <w:rPr>
                <w:rFonts w:hint="eastAsia" w:ascii="宋体" w:hAnsi="宋体" w:cs="宋体"/>
              </w:rPr>
              <w:t>金</w:t>
            </w:r>
            <w:r>
              <w:rPr>
                <w:rFonts w:hint="eastAsia" w:ascii="宋体" w:hAnsi="宋体" w:cs="宋体"/>
                <w:spacing w:val="-6"/>
              </w:rPr>
              <w:t>陵、</w:t>
            </w:r>
          </w:p>
          <w:p>
            <w:pPr>
              <w:rPr>
                <w:rFonts w:ascii="宋体" w:hAnsi="宋体" w:cs="宋体"/>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3</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高单杠</w:t>
            </w:r>
          </w:p>
        </w:tc>
        <w:tc>
          <w:tcPr>
            <w:tcW w:w="5242" w:type="dxa"/>
            <w:vAlign w:val="center"/>
          </w:tcPr>
          <w:p>
            <w:pPr>
              <w:rPr>
                <w:rFonts w:ascii="宋体" w:hAnsi="宋体" w:cs="宋体"/>
              </w:rPr>
            </w:pPr>
            <w:r>
              <w:rPr>
                <w:rFonts w:hint="eastAsia" w:ascii="宋体" w:hAnsi="宋体" w:cs="宋体"/>
              </w:rPr>
              <w:t>调节范围2.55～2.85m</w:t>
            </w:r>
          </w:p>
          <w:p>
            <w:pPr>
              <w:rPr>
                <w:rFonts w:ascii="宋体" w:hAnsi="宋体" w:cs="宋体"/>
              </w:rPr>
            </w:pPr>
            <w:r>
              <w:rPr>
                <w:rFonts w:hint="eastAsia" w:ascii="宋体" w:hAnsi="宋体" w:cs="宋体"/>
              </w:rPr>
              <w:t>预埋件另配（万向预埋件）4只/副</w:t>
            </w:r>
          </w:p>
          <w:p>
            <w:pPr>
              <w:rPr>
                <w:rFonts w:ascii="宋体" w:hAnsi="宋体" w:cs="宋体"/>
              </w:rPr>
            </w:pPr>
            <w:r>
              <w:rPr>
                <w:rFonts w:hint="eastAsia" w:ascii="宋体" w:hAnsi="宋体" w:cs="宋体"/>
              </w:rPr>
              <w:t>1、单杠为升降式，由杠面、内外立柱、底座和固定拉线等组成。</w:t>
            </w:r>
          </w:p>
          <w:p>
            <w:pPr>
              <w:rPr>
                <w:rFonts w:ascii="宋体" w:hAnsi="宋体" w:cs="宋体"/>
                <w:spacing w:val="-6"/>
              </w:rPr>
            </w:pPr>
            <w:r>
              <w:rPr>
                <w:rFonts w:hint="eastAsia" w:ascii="宋体" w:hAnsi="宋体" w:cs="宋体"/>
              </w:rPr>
              <w:t>2、</w:t>
            </w:r>
            <w:r>
              <w:rPr>
                <w:rFonts w:hint="eastAsia" w:ascii="宋体" w:hAnsi="宋体" w:cs="宋体"/>
                <w:spacing w:val="-6"/>
              </w:rPr>
              <w:t>单杠杠面长2430mm，采用Φ28弹簧钢制作，具有一定的弹性与韧性。</w:t>
            </w:r>
          </w:p>
          <w:p>
            <w:pPr>
              <w:rPr>
                <w:rFonts w:ascii="宋体" w:hAnsi="宋体" w:cs="宋体"/>
              </w:rPr>
            </w:pPr>
            <w:r>
              <w:rPr>
                <w:rFonts w:hint="eastAsia" w:ascii="宋体" w:hAnsi="宋体" w:cs="宋体"/>
              </w:rPr>
              <w:t>▲3、单杠立柱由内外立柱组成，外立柱采用Φ51×4无缝管制作，内立柱采用Φ40×5无缝管制作，外立柱设有调节锁紧机构，内立柱每100mm设一调节档，杠面高度调节范围：1500—2600mm之间。</w:t>
            </w:r>
          </w:p>
          <w:p>
            <w:pPr>
              <w:rPr>
                <w:rFonts w:ascii="宋体" w:hAnsi="宋体" w:cs="宋体"/>
              </w:rPr>
            </w:pPr>
            <w:r>
              <w:rPr>
                <w:rFonts w:hint="eastAsia" w:ascii="宋体" w:hAnsi="宋体" w:cs="宋体"/>
              </w:rPr>
              <w:t>4、单杠底座采用镀铬件，设置有橡胶垫块，保持产品在使用过程中有良好的平衡性和抗震性。</w:t>
            </w:r>
          </w:p>
          <w:p>
            <w:pPr>
              <w:rPr>
                <w:rFonts w:ascii="宋体" w:hAnsi="宋体" w:cs="宋体"/>
              </w:rPr>
            </w:pPr>
            <w:r>
              <w:rPr>
                <w:rFonts w:hint="eastAsia" w:ascii="宋体" w:hAnsi="宋体" w:cs="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rPr>
                <w:rFonts w:ascii="宋体" w:hAnsi="宋体" w:cs="宋体"/>
                <w:spacing w:val="-6"/>
              </w:rPr>
            </w:pPr>
            <w:r>
              <w:rPr>
                <w:rFonts w:hint="eastAsia" w:ascii="宋体" w:hAnsi="宋体" w:cs="宋体"/>
                <w:spacing w:val="-6"/>
              </w:rPr>
              <w:t>金陵、</w:t>
            </w:r>
          </w:p>
          <w:p>
            <w:pPr>
              <w:rPr>
                <w:rFonts w:ascii="宋体" w:hAnsi="宋体" w:cs="宋体"/>
                <w:position w:val="6"/>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4</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低单杠</w:t>
            </w:r>
          </w:p>
        </w:tc>
        <w:tc>
          <w:tcPr>
            <w:tcW w:w="5242" w:type="dxa"/>
            <w:vAlign w:val="center"/>
          </w:tcPr>
          <w:p>
            <w:pPr>
              <w:rPr>
                <w:rFonts w:ascii="宋体" w:hAnsi="宋体"/>
              </w:rPr>
            </w:pPr>
            <w:r>
              <w:rPr>
                <w:rFonts w:hint="eastAsia" w:ascii="宋体" w:hAnsi="宋体"/>
              </w:rPr>
              <w:t>调节范围1.5～2.6m</w:t>
            </w:r>
          </w:p>
          <w:p>
            <w:pPr>
              <w:rPr>
                <w:rFonts w:ascii="宋体" w:hAnsi="宋体"/>
              </w:rPr>
            </w:pPr>
            <w:r>
              <w:rPr>
                <w:rFonts w:hint="eastAsia" w:ascii="宋体" w:hAnsi="宋体"/>
              </w:rPr>
              <w:t>预埋件另配（万向预埋件）4只/副</w:t>
            </w:r>
          </w:p>
          <w:p>
            <w:pPr>
              <w:rPr>
                <w:rFonts w:ascii="宋体" w:hAnsi="宋体"/>
              </w:rPr>
            </w:pPr>
            <w:r>
              <w:rPr>
                <w:rFonts w:hint="eastAsia" w:ascii="宋体" w:hAnsi="宋体"/>
              </w:rPr>
              <w:t>1、单杠为升降式，由杠面、内外立柱、底座和固定拉线等组成。</w:t>
            </w:r>
          </w:p>
          <w:p>
            <w:pPr>
              <w:rPr>
                <w:rFonts w:ascii="宋体" w:hAnsi="宋体"/>
                <w:spacing w:val="-6"/>
              </w:rPr>
            </w:pPr>
            <w:r>
              <w:rPr>
                <w:rFonts w:hint="eastAsia" w:ascii="宋体" w:hAnsi="宋体" w:cs="宋体"/>
                <w:kern w:val="0"/>
                <w:shd w:val="clear" w:color="auto" w:fill="FFFFFF"/>
              </w:rPr>
              <w:t>★</w:t>
            </w:r>
            <w:r>
              <w:rPr>
                <w:rFonts w:hint="eastAsia" w:ascii="宋体" w:hAnsi="宋体"/>
              </w:rPr>
              <w:t>2、</w:t>
            </w:r>
            <w:r>
              <w:rPr>
                <w:rFonts w:hint="eastAsia" w:ascii="宋体" w:hAnsi="宋体"/>
                <w:spacing w:val="-6"/>
              </w:rPr>
              <w:t>单杠杠面长2430mm，采用Φ28弹簧钢制作，具有一定的弹性与韧性。</w:t>
            </w:r>
          </w:p>
          <w:p>
            <w:pPr>
              <w:rPr>
                <w:rFonts w:ascii="宋体" w:hAnsi="宋体"/>
              </w:rPr>
            </w:pPr>
            <w:r>
              <w:rPr>
                <w:rFonts w:hint="eastAsia"/>
                <w:sz w:val="24"/>
                <w:szCs w:val="24"/>
              </w:rPr>
              <w:t>▲</w:t>
            </w:r>
            <w:r>
              <w:rPr>
                <w:rFonts w:hint="eastAsia" w:ascii="宋体" w:hAnsi="宋体"/>
              </w:rPr>
              <w:t>3、单杠立柱由内外立柱组成，外立柱采用Φ51×4无缝管制作，内立柱采用Φ40×5无缝管制作，外立柱设有调节锁紧机构，内立柱每100mm设一调节档，杠面高度调节范围：1500</w:t>
            </w:r>
            <w:r>
              <w:rPr>
                <w:rFonts w:ascii="宋体" w:hAnsi="宋体"/>
              </w:rPr>
              <w:t>—</w:t>
            </w:r>
            <w:r>
              <w:rPr>
                <w:rFonts w:hint="eastAsia" w:ascii="宋体" w:hAnsi="宋体"/>
              </w:rPr>
              <w:t>2600mm之间。</w:t>
            </w:r>
          </w:p>
          <w:p>
            <w:pPr>
              <w:rPr>
                <w:rFonts w:ascii="宋体" w:hAnsi="宋体"/>
              </w:rPr>
            </w:pPr>
            <w:r>
              <w:rPr>
                <w:rFonts w:hint="eastAsia" w:ascii="宋体" w:hAnsi="宋体"/>
              </w:rPr>
              <w:t>4、单杠底座采用镀铬件，设置有橡胶垫块，保持产品在使用过程中有良好的平衡性和抗震性。</w:t>
            </w:r>
          </w:p>
          <w:p>
            <w:pPr>
              <w:rPr>
                <w:rFonts w:ascii="宋体" w:hAnsi="宋体"/>
              </w:rPr>
            </w:pPr>
            <w:r>
              <w:rPr>
                <w:rFonts w:hint="eastAsia" w:ascii="宋体" w:hAnsi="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position w:val="6"/>
              </w:rPr>
            </w:pPr>
            <w:r>
              <w:rPr>
                <w:rFonts w:hint="eastAsia" w:ascii="宋体" w:hAnsi="宋体" w:cs="宋体"/>
                <w:position w:val="6"/>
              </w:rPr>
              <w:t>金陵、吉诺尔</w:t>
            </w:r>
          </w:p>
          <w:p>
            <w:pPr>
              <w:widowControl/>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5</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跳马（比赛款）</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1、跳马由马身、立柱和底座三部分组成，跳马整体高度可调，调节范围：1150-1500mm。</w:t>
            </w:r>
          </w:p>
          <w:p>
            <w:pPr>
              <w:autoSpaceDE w:val="0"/>
              <w:autoSpaceDN w:val="0"/>
              <w:adjustRightInd w:val="0"/>
              <w:rPr>
                <w:rFonts w:ascii="宋体" w:hAnsi="宋体" w:cs="宋体"/>
              </w:rPr>
            </w:pPr>
            <w:r>
              <w:rPr>
                <w:rFonts w:hint="eastAsia" w:ascii="宋体" w:hAnsi="宋体" w:cs="宋体"/>
                <w:kern w:val="0"/>
                <w:shd w:val="clear" w:color="auto" w:fill="FFFFFF"/>
              </w:rPr>
              <w:t>★</w:t>
            </w:r>
            <w:r>
              <w:rPr>
                <w:rFonts w:hint="eastAsia" w:ascii="宋体" w:hAnsi="宋体" w:cs="宋体"/>
              </w:rPr>
              <w:t>2、马身为弹性件，</w:t>
            </w:r>
            <w:r>
              <w:rPr>
                <w:rFonts w:hint="eastAsia" w:ascii="宋体" w:hAnsi="宋体" w:cs="宋体"/>
                <w:lang w:val="zh-CN"/>
              </w:rPr>
              <w:t>垫子厚约120mm,由玻璃钢层、EVA缓冲方块、EVA柔性层和表层皮革组成，</w:t>
            </w:r>
            <w:r>
              <w:rPr>
                <w:rFonts w:hint="eastAsia" w:ascii="宋体" w:hAnsi="宋体" w:cs="宋体"/>
              </w:rPr>
              <w:t>马身底部配有固定链子，通过花篮螺栓紧固，使跳马立于地板面不致以晃动。</w:t>
            </w:r>
          </w:p>
          <w:p>
            <w:pPr>
              <w:rPr>
                <w:rFonts w:ascii="宋体" w:hAnsi="宋体" w:cs="宋体"/>
              </w:rPr>
            </w:pPr>
            <w:r>
              <w:rPr>
                <w:rFonts w:hint="eastAsia" w:ascii="宋体" w:hAnsi="宋体" w:cs="宋体"/>
              </w:rPr>
              <w:t>3、跳马内外立柱均采用无缝管制作，设有高度调节和锁紧机构，具有调节灵活，锁紧可靠等优点。</w:t>
            </w:r>
          </w:p>
          <w:p>
            <w:pPr>
              <w:rPr>
                <w:rFonts w:ascii="宋体" w:hAnsi="宋体" w:cs="宋体"/>
              </w:rPr>
            </w:pPr>
            <w:r>
              <w:rPr>
                <w:rFonts w:hint="eastAsia" w:ascii="宋体" w:hAnsi="宋体" w:cs="宋体"/>
              </w:rPr>
              <w:t>4、跳马底座采用矩形方管制作，底部设有4个调节脚，可微调，便于因地坪不平整而影响跳马的整体稳定性。</w:t>
            </w:r>
          </w:p>
          <w:p>
            <w:pPr>
              <w:pStyle w:val="21"/>
              <w:ind w:firstLine="0" w:firstLineChars="0"/>
              <w:rPr>
                <w:rFonts w:ascii="宋体" w:hAnsi="宋体" w:eastAsia="宋体" w:cs="宋体"/>
                <w:sz w:val="21"/>
                <w:szCs w:val="21"/>
              </w:rPr>
            </w:pPr>
            <w:r>
              <w:rPr>
                <w:rFonts w:hint="eastAsia" w:ascii="宋体" w:hAnsi="宋体" w:eastAsia="宋体" w:cs="宋体"/>
                <w:sz w:val="21"/>
                <w:szCs w:val="21"/>
              </w:rPr>
              <w:t>5、外型为国际体联认定形状。</w:t>
            </w:r>
          </w:p>
        </w:tc>
        <w:tc>
          <w:tcPr>
            <w:tcW w:w="711"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p>
          <w:p>
            <w:pPr>
              <w:widowControl/>
              <w:jc w:val="left"/>
              <w:rPr>
                <w:rFonts w:ascii="宋体" w:hAnsi="宋体" w:cs="宋体"/>
                <w:position w:val="6"/>
              </w:rPr>
            </w:pPr>
            <w:r>
              <w:rPr>
                <w:rFonts w:hint="eastAsia" w:ascii="宋体" w:hAnsi="宋体" w:cs="宋体"/>
                <w:position w:val="6"/>
              </w:rPr>
              <w:t>吉诺尔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6</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跳箱</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1、跳箱外形尺寸：长x宽x高=1300x780x1250mm。</w:t>
            </w:r>
          </w:p>
          <w:p>
            <w:pPr>
              <w:rPr>
                <w:rFonts w:ascii="宋体" w:hAnsi="宋体" w:cs="宋体"/>
              </w:rPr>
            </w:pPr>
            <w:r>
              <w:rPr>
                <w:rFonts w:hint="eastAsia" w:ascii="宋体" w:hAnsi="宋体" w:cs="宋体"/>
              </w:rPr>
              <w:t>2、箱体七级，长1300mm,从上至下逐渐增大成梯形，第一级含箱盖高为350mm，第二至第七级，每级高为150mm。</w:t>
            </w:r>
          </w:p>
          <w:p>
            <w:pPr>
              <w:rPr>
                <w:rFonts w:ascii="宋体" w:hAnsi="宋体" w:cs="宋体"/>
              </w:rPr>
            </w:pPr>
            <w:r>
              <w:rPr>
                <w:rFonts w:hint="eastAsia" w:ascii="宋体" w:hAnsi="宋体" w:cs="宋体"/>
              </w:rPr>
              <w:t>3、跳箱盖平整，软硬适宜，手感舒适，用重体海绵做成弧形，表面用优质人造革包制，泡钉封口，级间用内撑木插联组合。各层结合平直、稳定牢固，接地面平稳。</w:t>
            </w:r>
          </w:p>
          <w:p>
            <w:pPr>
              <w:rPr>
                <w:rFonts w:ascii="宋体" w:hAnsi="宋体" w:cs="宋体"/>
              </w:rPr>
            </w:pPr>
            <w:r>
              <w:rPr>
                <w:rFonts w:hint="eastAsia" w:ascii="宋体" w:hAnsi="宋体" w:cs="宋体"/>
              </w:rPr>
              <w:t>4、跳箱采用木质制成，之间拼装采用燕尾槽，每级箱体组合用4根20x20的木柱插接，木柱出头高45mm，箱体每级衔接平整、紧凑。</w:t>
            </w:r>
          </w:p>
          <w:p>
            <w:pPr>
              <w:rPr>
                <w:rFonts w:ascii="宋体" w:hAnsi="宋体" w:cs="宋体"/>
              </w:rPr>
            </w:pPr>
            <w:r>
              <w:rPr>
                <w:rFonts w:hint="eastAsia" w:ascii="宋体" w:hAnsi="宋体" w:cs="宋体"/>
              </w:rPr>
              <w:t>5、箱体材料均用18-20mm厚的层压板，表面作漆层处理。</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r>
              <w:rPr>
                <w:rFonts w:hint="eastAsia" w:ascii="宋体" w:hAnsi="宋体" w:cs="宋体"/>
                <w:b/>
                <w:position w:val="6"/>
              </w:rPr>
              <w:t>吉</w:t>
            </w:r>
            <w:r>
              <w:rPr>
                <w:rFonts w:hint="eastAsia" w:ascii="宋体" w:hAnsi="宋体" w:cs="宋体"/>
                <w:position w:val="6"/>
              </w:rPr>
              <w:t>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7</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山羊</w:t>
            </w:r>
          </w:p>
        </w:tc>
        <w:tc>
          <w:tcPr>
            <w:tcW w:w="5242" w:type="dxa"/>
            <w:vAlign w:val="center"/>
          </w:tcPr>
          <w:p>
            <w:pPr>
              <w:rPr>
                <w:rFonts w:ascii="宋体" w:hAnsi="宋体" w:cs="宋体"/>
              </w:rPr>
            </w:pPr>
            <w:r>
              <w:rPr>
                <w:rFonts w:hint="eastAsia"/>
                <w:sz w:val="24"/>
                <w:szCs w:val="24"/>
              </w:rPr>
              <w:t>▲</w:t>
            </w:r>
            <w:r>
              <w:rPr>
                <w:rFonts w:hint="eastAsia" w:ascii="宋体" w:hAnsi="宋体" w:cs="宋体"/>
              </w:rPr>
              <w:t>1、山羊由箱体和四脚构成，高度可调范围：1000-1300mm。</w:t>
            </w:r>
          </w:p>
          <w:p>
            <w:pPr>
              <w:rPr>
                <w:rFonts w:ascii="宋体" w:hAnsi="宋体" w:cs="宋体"/>
              </w:rPr>
            </w:pPr>
            <w:r>
              <w:rPr>
                <w:rFonts w:hint="eastAsia"/>
                <w:sz w:val="24"/>
                <w:szCs w:val="24"/>
              </w:rPr>
              <w:t>▲</w:t>
            </w:r>
            <w:r>
              <w:rPr>
                <w:rFonts w:hint="eastAsia" w:ascii="宋体" w:hAnsi="宋体" w:cs="宋体"/>
              </w:rPr>
              <w:t>2、箱体规格：长X宽X高=550x360x330（mm），箱体表面用重体50压缩海绵填充，外包优质人造革。</w:t>
            </w:r>
          </w:p>
          <w:p>
            <w:pPr>
              <w:rPr>
                <w:rFonts w:ascii="宋体" w:hAnsi="宋体" w:cs="宋体"/>
              </w:rPr>
            </w:pPr>
            <w:r>
              <w:rPr>
                <w:rFonts w:hint="eastAsia" w:ascii="宋体" w:hAnsi="宋体" w:cs="宋体"/>
              </w:rPr>
              <w:t>3、四脚由外脚管、固定管、活动管和羊脚组成，外脚管与箱体连接焊接，焊接夹角为60度，固定管采用φ57x3优质钢管，用M8锁紧螺栓与外脚管连接,活动管采用φ48x3的优质钢管,羊脚为铸铁,活动管上钻有调节孔,固定管上设有调节机构,通过调节螺栓可调节山羊高度，调节间距：50mm。</w:t>
            </w:r>
          </w:p>
        </w:tc>
        <w:tc>
          <w:tcPr>
            <w:tcW w:w="711" w:type="dxa"/>
            <w:vAlign w:val="center"/>
          </w:tcPr>
          <w:p>
            <w:pPr>
              <w:jc w:val="center"/>
              <w:rPr>
                <w:rFonts w:ascii="宋体" w:hAnsi="宋体" w:cs="宋体"/>
                <w:position w:val="6"/>
              </w:rPr>
            </w:pPr>
            <w:r>
              <w:rPr>
                <w:rFonts w:hint="eastAsia" w:ascii="宋体" w:hAnsi="宋体" w:cs="宋体"/>
                <w:position w:val="6"/>
              </w:rPr>
              <w:t>只</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8</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体操垫子</w:t>
            </w:r>
          </w:p>
        </w:tc>
        <w:tc>
          <w:tcPr>
            <w:tcW w:w="5242" w:type="dxa"/>
            <w:vAlign w:val="center"/>
          </w:tcPr>
          <w:p>
            <w:pPr>
              <w:rPr>
                <w:rFonts w:ascii="宋体" w:hAnsi="宋体" w:cs="宋体"/>
              </w:rPr>
            </w:pPr>
            <w:r>
              <w:rPr>
                <w:rFonts w:hint="eastAsia" w:ascii="宋体" w:hAnsi="宋体" w:cs="宋体"/>
              </w:rPr>
              <w:t>1.海绵垫主体由重泡海绵组成，弹力均衡，柔软适中。</w:t>
            </w:r>
          </w:p>
          <w:p>
            <w:pPr>
              <w:rPr>
                <w:rFonts w:ascii="宋体" w:hAnsi="宋体" w:cs="宋体"/>
              </w:rPr>
            </w:pPr>
            <w:r>
              <w:rPr>
                <w:rFonts w:hint="eastAsia"/>
                <w:sz w:val="24"/>
                <w:szCs w:val="24"/>
              </w:rPr>
              <w:t>▲</w:t>
            </w:r>
            <w:r>
              <w:rPr>
                <w:rFonts w:hint="eastAsia" w:ascii="宋体" w:hAnsi="宋体" w:cs="宋体"/>
              </w:rPr>
              <w:t>2.海绵垫基本尺寸：长x宽x厚=2×1×0.1（米）。</w:t>
            </w:r>
          </w:p>
          <w:p>
            <w:pPr>
              <w:rPr>
                <w:rFonts w:ascii="宋体" w:hAnsi="宋体" w:cs="宋体"/>
              </w:rPr>
            </w:pPr>
            <w:r>
              <w:rPr>
                <w:rFonts w:hint="eastAsia" w:ascii="宋体" w:hAnsi="宋体" w:cs="宋体"/>
              </w:rPr>
              <w:t>3.海绵垫表面罩PVC套，套子侧面装有拉链及拉手攀，且四周设有排气孔。</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bCs/>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9</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助跳板</w:t>
            </w:r>
          </w:p>
        </w:tc>
        <w:tc>
          <w:tcPr>
            <w:tcW w:w="5242" w:type="dxa"/>
            <w:vAlign w:val="center"/>
          </w:tcPr>
          <w:p>
            <w:pPr>
              <w:widowControl/>
              <w:jc w:val="left"/>
              <w:rPr>
                <w:rFonts w:ascii="宋体" w:hAnsi="宋体" w:cs="宋体"/>
              </w:rPr>
            </w:pPr>
            <w:r>
              <w:rPr>
                <w:rFonts w:hint="eastAsia"/>
                <w:sz w:val="24"/>
                <w:szCs w:val="24"/>
              </w:rPr>
              <w:t>▲</w:t>
            </w:r>
            <w:r>
              <w:rPr>
                <w:rFonts w:hint="eastAsia" w:ascii="宋体" w:hAnsi="宋体" w:cs="宋体"/>
              </w:rPr>
              <w:t>规格：1.2×0.6×0.2m</w:t>
            </w:r>
          </w:p>
          <w:p>
            <w:pPr>
              <w:widowControl/>
              <w:jc w:val="left"/>
              <w:rPr>
                <w:rFonts w:ascii="宋体" w:hAnsi="宋体" w:cs="宋体"/>
                <w:kern w:val="0"/>
              </w:rPr>
            </w:pPr>
            <w:r>
              <w:rPr>
                <w:rFonts w:hint="eastAsia" w:ascii="宋体" w:hAnsi="宋体" w:cs="宋体"/>
              </w:rPr>
              <w:t>优质木材。</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rFonts w:hint="default"/>
                <w:color w:val="auto"/>
                <w:sz w:val="21"/>
                <w:szCs w:val="21"/>
              </w:rPr>
              <w:t>10</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助跑道</w:t>
            </w:r>
          </w:p>
        </w:tc>
        <w:tc>
          <w:tcPr>
            <w:tcW w:w="5242" w:type="dxa"/>
            <w:vAlign w:val="center"/>
          </w:tcPr>
          <w:p>
            <w:pPr>
              <w:rPr>
                <w:rFonts w:ascii="宋体" w:hAnsi="宋体" w:cs="宋体"/>
              </w:rPr>
            </w:pPr>
            <w:r>
              <w:rPr>
                <w:rFonts w:hint="eastAsia"/>
                <w:sz w:val="24"/>
                <w:szCs w:val="24"/>
              </w:rPr>
              <w:t>▲</w:t>
            </w:r>
            <w:r>
              <w:rPr>
                <w:rFonts w:hint="eastAsia" w:ascii="宋体" w:hAnsi="宋体" w:cs="宋体"/>
              </w:rPr>
              <w:t>1、助跑道规格：25x1m。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2、助跑道材质：EVA、地毯合成。</w:t>
            </w:r>
          </w:p>
          <w:p>
            <w:pPr>
              <w:rPr>
                <w:rFonts w:ascii="宋体" w:hAnsi="宋体" w:cs="宋体"/>
              </w:rPr>
            </w:pPr>
            <w:r>
              <w:rPr>
                <w:rFonts w:hint="eastAsia" w:ascii="宋体" w:hAnsi="宋体" w:cs="宋体"/>
              </w:rPr>
              <w:t xml:space="preserve">3、助跑道底部为EVA材质，上平面为地毯，整体平整无褶皱。 </w:t>
            </w:r>
          </w:p>
        </w:tc>
        <w:tc>
          <w:tcPr>
            <w:tcW w:w="711" w:type="dxa"/>
            <w:vAlign w:val="center"/>
          </w:tcPr>
          <w:p>
            <w:pPr>
              <w:jc w:val="center"/>
              <w:rPr>
                <w:rFonts w:ascii="宋体" w:hAnsi="宋体" w:cs="宋体"/>
                <w:position w:val="6"/>
              </w:rPr>
            </w:pPr>
            <w:r>
              <w:rPr>
                <w:rFonts w:hint="eastAsia" w:ascii="宋体" w:hAnsi="宋体" w:cs="宋体"/>
                <w:position w:val="6"/>
              </w:rPr>
              <w:t>条</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w:t>
            </w:r>
          </w:p>
          <w:p>
            <w:pPr>
              <w:shd w:val="clear" w:color="auto" w:fill="FFFFFF"/>
              <w:jc w:val="left"/>
              <w:rPr>
                <w:rFonts w:ascii="宋体" w:hAnsi="宋体" w:cs="宋体"/>
                <w:position w:val="6"/>
              </w:rPr>
            </w:pPr>
            <w:r>
              <w:rPr>
                <w:rFonts w:hint="eastAsia" w:ascii="宋体" w:hAnsi="宋体" w:cs="宋体"/>
                <w:position w:val="6"/>
              </w:rPr>
              <w:t>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rFonts w:hint="default"/>
                <w:color w:val="auto"/>
                <w:sz w:val="21"/>
                <w:szCs w:val="21"/>
              </w:rPr>
              <w:t>11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双格肋木</w:t>
            </w:r>
          </w:p>
        </w:tc>
        <w:tc>
          <w:tcPr>
            <w:tcW w:w="5242" w:type="dxa"/>
            <w:vAlign w:val="center"/>
          </w:tcPr>
          <w:p>
            <w:pPr>
              <w:rPr>
                <w:rFonts w:ascii="宋体" w:hAnsi="宋体" w:cs="宋体"/>
              </w:rPr>
            </w:pPr>
            <w:r>
              <w:rPr>
                <w:rFonts w:hint="eastAsia"/>
                <w:sz w:val="24"/>
                <w:szCs w:val="24"/>
              </w:rPr>
              <w:t>▲</w:t>
            </w:r>
            <w:r>
              <w:rPr>
                <w:rFonts w:hint="eastAsia" w:ascii="宋体" w:hAnsi="宋体" w:cs="宋体"/>
              </w:rPr>
              <w:t>1.肋木基本尺寸：长x高=2170x2750（mm）；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2.肋木由3根立柱，1根横梁和12根横杆组成，立柱和横梁采用 优质水曲柳，通过特制M10螺栓连接，横杆采用Φ38水曲柳杠面，三根立柱两根侧立柱打单边孔，一根中立柱打双边通孔，立柱采用95X42优质水曲柳，通过专用连接板膨胀螺栓与墙体连接 。</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shd w:val="clear" w:color="auto" w:fill="FFFFFF"/>
              <w:jc w:val="left"/>
              <w:rPr>
                <w:rFonts w:ascii="宋体" w:hAnsi="宋体" w:cs="宋体"/>
                <w:position w:val="6"/>
              </w:rPr>
            </w:pPr>
            <w:r>
              <w:rPr>
                <w:rFonts w:hint="eastAsia" w:ascii="宋体" w:hAnsi="宋体" w:cs="宋体"/>
                <w:position w:val="6"/>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r>
    </w:tbl>
    <w:p/>
    <w:p/>
    <w:tbl>
      <w:tblPr>
        <w:tblStyle w:val="2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6569"/>
        <w:gridCol w:w="456"/>
        <w:gridCol w:w="753"/>
        <w:gridCol w:w="243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63" w:type="dxa"/>
            <w:gridSpan w:val="7"/>
            <w:vAlign w:val="center"/>
          </w:tcPr>
          <w:p>
            <w:pPr>
              <w:jc w:val="center"/>
              <w:rPr>
                <w:rFonts w:eastAsia="黑体" w:cs="宋体"/>
                <w:position w:val="6"/>
                <w:sz w:val="28"/>
                <w:szCs w:val="28"/>
              </w:rPr>
            </w:pPr>
            <w:r>
              <w:rPr>
                <w:rFonts w:hint="eastAsia" w:ascii="楷体" w:hAnsi="楷体" w:eastAsia="楷体"/>
                <w:b/>
                <w:sz w:val="32"/>
                <w:szCs w:val="32"/>
              </w:rPr>
              <w:t>体育馆看台座椅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2258"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569"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456" w:type="dxa"/>
            <w:vAlign w:val="center"/>
          </w:tcPr>
          <w:p>
            <w:pPr>
              <w:widowControl/>
              <w:jc w:val="center"/>
              <w:textAlignment w:val="center"/>
              <w:rPr>
                <w:rFonts w:cs="宋体"/>
                <w:b/>
                <w:bCs/>
                <w:color w:val="000000"/>
              </w:rPr>
            </w:pPr>
            <w:r>
              <w:rPr>
                <w:rFonts w:hint="eastAsia" w:cs="宋体"/>
                <w:b/>
                <w:bCs/>
                <w:color w:val="000000"/>
                <w:kern w:val="0"/>
              </w:rPr>
              <w:t>单位</w:t>
            </w:r>
          </w:p>
        </w:tc>
        <w:tc>
          <w:tcPr>
            <w:tcW w:w="753" w:type="dxa"/>
            <w:vAlign w:val="center"/>
          </w:tcPr>
          <w:p>
            <w:pPr>
              <w:widowControl/>
              <w:jc w:val="center"/>
              <w:textAlignment w:val="center"/>
              <w:rPr>
                <w:rFonts w:cs="宋体"/>
                <w:b/>
                <w:bCs/>
                <w:color w:val="000000"/>
              </w:rPr>
            </w:pPr>
            <w:r>
              <w:rPr>
                <w:rFonts w:hint="eastAsia" w:cs="宋体"/>
                <w:b/>
                <w:bCs/>
                <w:color w:val="000000"/>
                <w:kern w:val="0"/>
              </w:rPr>
              <w:t>数量</w:t>
            </w:r>
          </w:p>
        </w:tc>
        <w:tc>
          <w:tcPr>
            <w:tcW w:w="2430" w:type="dxa"/>
            <w:vAlign w:val="center"/>
          </w:tcPr>
          <w:p>
            <w:pPr>
              <w:widowControl/>
              <w:jc w:val="center"/>
              <w:textAlignment w:val="center"/>
              <w:rPr>
                <w:rFonts w:cs="宋体"/>
                <w:b/>
                <w:bCs/>
                <w:color w:val="000000"/>
              </w:rPr>
            </w:pPr>
            <w:r>
              <w:rPr>
                <w:rFonts w:hint="eastAsia" w:ascii="宋体" w:hAnsi="宋体" w:cs="宋体"/>
                <w:b/>
                <w:bCs/>
                <w:color w:val="000000"/>
                <w:kern w:val="0"/>
              </w:rPr>
              <w:t>参考品牌</w:t>
            </w:r>
          </w:p>
        </w:tc>
        <w:tc>
          <w:tcPr>
            <w:tcW w:w="1153"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imes New Roman" w:hAnsi="Times New Roman"/>
                <w:color w:val="auto"/>
                <w:sz w:val="21"/>
                <w:szCs w:val="21"/>
              </w:rPr>
            </w:pPr>
            <w:r>
              <w:rPr>
                <w:rFonts w:hint="eastAsia" w:cs="宋体"/>
                <w:color w:val="000000"/>
                <w:kern w:val="0"/>
              </w:rPr>
              <w:t>1</w:t>
            </w:r>
          </w:p>
        </w:tc>
        <w:tc>
          <w:tcPr>
            <w:tcW w:w="2258" w:type="dxa"/>
            <w:vAlign w:val="center"/>
          </w:tcPr>
          <w:p>
            <w:pPr>
              <w:jc w:val="center"/>
            </w:pPr>
            <w:r>
              <w:rPr>
                <w:rFonts w:hint="eastAsia"/>
              </w:rPr>
              <w:t>低靠背中空塑料椅</w:t>
            </w:r>
          </w:p>
          <w:p>
            <w:pPr>
              <w:pStyle w:val="11"/>
            </w:pPr>
            <w:r>
              <w:drawing>
                <wp:inline distT="0" distB="0" distL="0" distR="0">
                  <wp:extent cx="920115" cy="331470"/>
                  <wp:effectExtent l="0" t="0" r="6985" b="11430"/>
                  <wp:docPr id="3" name="图片 3"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KY-8"/>
                          <pic:cNvPicPr>
                            <a:picLocks noChangeAspect="1" noChangeArrowheads="1"/>
                          </pic:cNvPicPr>
                        </pic:nvPicPr>
                        <pic:blipFill>
                          <a:blip r:embed="rId7" cstate="print">
                            <a:extLst>
                              <a:ext uri="{28A0092B-C50C-407E-A947-70E740481C1C}">
                                <a14:useLocalDpi xmlns:a14="http://schemas.microsoft.com/office/drawing/2010/main" val="0"/>
                              </a:ext>
                            </a:extLst>
                          </a:blip>
                          <a:srcRect t="25107" b="21353"/>
                          <a:stretch>
                            <a:fillRect/>
                          </a:stretch>
                        </pic:blipFill>
                        <pic:spPr>
                          <a:xfrm>
                            <a:off x="0" y="0"/>
                            <a:ext cx="920115" cy="331470"/>
                          </a:xfrm>
                          <a:prstGeom prst="rect">
                            <a:avLst/>
                          </a:prstGeom>
                          <a:noFill/>
                          <a:ln>
                            <a:noFill/>
                          </a:ln>
                        </pic:spPr>
                      </pic:pic>
                    </a:graphicData>
                  </a:graphic>
                </wp:inline>
              </w:drawing>
            </w:r>
          </w:p>
        </w:tc>
        <w:tc>
          <w:tcPr>
            <w:tcW w:w="6569" w:type="dxa"/>
            <w:vAlign w:val="center"/>
          </w:tcPr>
          <w:p>
            <w:pPr>
              <w:numPr>
                <w:ilvl w:val="0"/>
                <w:numId w:val="7"/>
              </w:numPr>
            </w:pPr>
            <w:r>
              <w:rPr>
                <w:rFonts w:hint="eastAsia" w:cs="宋体"/>
                <w:position w:val="6"/>
              </w:rPr>
              <w:t>座宽（420±5mm），座深（420±5mm），背长（180±5㎜）</w:t>
            </w:r>
          </w:p>
          <w:p>
            <w:pPr>
              <w:rPr>
                <w:rFonts w:ascii="宋体" w:hAnsi="宋体"/>
              </w:rPr>
            </w:pPr>
            <w:r>
              <w:rPr>
                <w:rFonts w:hint="eastAsia" w:cs="宋体"/>
                <w:kern w:val="0"/>
              </w:rPr>
              <w:t>2、</w:t>
            </w:r>
            <w:r>
              <w:rPr>
                <w:rFonts w:hint="eastAsia" w:ascii="宋体" w:hAnsi="宋体"/>
              </w:rPr>
              <w:t>投标人必须在投标前到采购人处看样，保证投标产品的外形、尺寸、材料、质量等与采购人提供的样品一致。</w:t>
            </w:r>
          </w:p>
          <w:p>
            <w:pPr>
              <w:rPr>
                <w:rFonts w:cs="宋体"/>
                <w:kern w:val="0"/>
              </w:rPr>
            </w:pPr>
            <w:r>
              <w:rPr>
                <w:rFonts w:hint="eastAsia" w:ascii="宋体" w:hAnsi="宋体"/>
              </w:rPr>
              <w:t>3、投标人</w:t>
            </w:r>
            <w:r>
              <w:rPr>
                <w:rFonts w:hint="eastAsia" w:ascii="宋体" w:hAnsi="宋体"/>
                <w:b/>
                <w:bCs/>
                <w:highlight w:val="yellow"/>
              </w:rPr>
              <w:t>须承诺</w:t>
            </w:r>
            <w:r>
              <w:rPr>
                <w:rFonts w:hint="eastAsia" w:ascii="宋体" w:hAnsi="宋体"/>
              </w:rPr>
              <w:t>中标后无偿提供五种颜色椅面（不含底座）50座供采购人备用。</w:t>
            </w:r>
          </w:p>
        </w:tc>
        <w:tc>
          <w:tcPr>
            <w:tcW w:w="456" w:type="dxa"/>
            <w:vAlign w:val="center"/>
          </w:tcPr>
          <w:p>
            <w:pPr>
              <w:jc w:val="center"/>
              <w:rPr>
                <w:rFonts w:cs="宋体"/>
                <w:position w:val="6"/>
              </w:rPr>
            </w:pPr>
            <w:r>
              <w:rPr>
                <w:rFonts w:hint="eastAsia" w:cs="宋体"/>
                <w:position w:val="6"/>
              </w:rPr>
              <w:t>座</w:t>
            </w:r>
          </w:p>
        </w:tc>
        <w:tc>
          <w:tcPr>
            <w:tcW w:w="753" w:type="dxa"/>
            <w:vAlign w:val="center"/>
          </w:tcPr>
          <w:p>
            <w:pPr>
              <w:widowControl/>
              <w:jc w:val="center"/>
              <w:textAlignment w:val="center"/>
              <w:rPr>
                <w:rFonts w:cs="宋体"/>
                <w:kern w:val="0"/>
                <w:position w:val="6"/>
              </w:rPr>
            </w:pPr>
            <w:r>
              <w:rPr>
                <w:rFonts w:hint="eastAsia" w:cs="宋体"/>
                <w:kern w:val="0"/>
              </w:rPr>
              <w:t>2400</w:t>
            </w:r>
          </w:p>
        </w:tc>
        <w:tc>
          <w:tcPr>
            <w:tcW w:w="2430" w:type="dxa"/>
            <w:vAlign w:val="center"/>
          </w:tcPr>
          <w:p>
            <w:pPr>
              <w:pStyle w:val="4"/>
              <w:shd w:val="clear" w:color="auto" w:fill="FFFFFF"/>
              <w:tabs>
                <w:tab w:val="left" w:pos="576"/>
              </w:tabs>
              <w:spacing w:line="240" w:lineRule="auto"/>
              <w:jc w:val="left"/>
              <w:rPr>
                <w:rFonts w:ascii="Times New Roman" w:hAnsi="Times New Roman" w:eastAsia="宋体"/>
                <w:b w:val="0"/>
                <w:position w:val="6"/>
                <w:sz w:val="21"/>
                <w:szCs w:val="21"/>
              </w:rPr>
            </w:pPr>
          </w:p>
        </w:tc>
        <w:tc>
          <w:tcPr>
            <w:tcW w:w="1153" w:type="dxa"/>
            <w:vAlign w:val="center"/>
          </w:tcPr>
          <w:p>
            <w:pPr>
              <w:jc w:val="center"/>
              <w:rPr>
                <w:rFonts w:cs="宋体"/>
                <w:position w:val="6"/>
              </w:rPr>
            </w:pPr>
          </w:p>
        </w:tc>
      </w:tr>
    </w:tbl>
    <w:p>
      <w:pPr>
        <w:pStyle w:val="56"/>
        <w:spacing w:before="161" w:after="161" w:line="360" w:lineRule="auto"/>
        <w:ind w:firstLine="0" w:firstLineChars="0"/>
        <w:jc w:val="left"/>
        <w:rPr>
          <w:rFonts w:ascii="宋体" w:hAnsi="宋体" w:eastAsia="宋体" w:cs="Times New Roman"/>
          <w:b/>
          <w:sz w:val="21"/>
          <w:szCs w:val="21"/>
        </w:rPr>
      </w:pPr>
      <w:r>
        <w:rPr>
          <w:rFonts w:hint="eastAsia" w:ascii="宋体" w:hAnsi="宋体" w:eastAsia="宋体" w:cs="Times New Roman"/>
          <w:b/>
          <w:sz w:val="21"/>
          <w:szCs w:val="21"/>
        </w:rPr>
        <w:t>低靠背中空塑料椅项目需求：</w:t>
      </w:r>
    </w:p>
    <w:p>
      <w:pPr>
        <w:spacing w:line="360" w:lineRule="auto"/>
        <w:rPr>
          <w:rFonts w:ascii="宋体" w:hAnsi="宋体"/>
          <w:b/>
        </w:rPr>
      </w:pPr>
      <w:bookmarkStart w:id="131" w:name="OLE_LINK1"/>
      <w:r>
        <w:rPr>
          <w:rFonts w:hint="eastAsia" w:ascii="宋体" w:hAnsi="宋体"/>
          <w:b/>
        </w:rPr>
        <w:t>1.产品设计标准</w:t>
      </w:r>
    </w:p>
    <w:p>
      <w:pPr>
        <w:spacing w:line="360" w:lineRule="auto"/>
        <w:rPr>
          <w:rFonts w:ascii="宋体" w:hAnsi="宋体"/>
        </w:rPr>
      </w:pPr>
      <w:r>
        <w:rPr>
          <w:rFonts w:hint="eastAsia" w:ascii="宋体" w:hAnsi="宋体"/>
        </w:rPr>
        <w:t>座椅设计符合QB/T2601-2013《体育场馆公共座椅》、JGJ57-2000/J67-2001《剧场建筑设计规范》、JGJ31-2003/J265-2003《体育建筑设计规范》等。</w:t>
      </w:r>
    </w:p>
    <w:p>
      <w:pPr>
        <w:spacing w:line="360" w:lineRule="auto"/>
        <w:jc w:val="left"/>
        <w:rPr>
          <w:rFonts w:ascii="宋体" w:hAnsi="宋体"/>
          <w:b/>
        </w:rPr>
      </w:pPr>
      <w:r>
        <w:rPr>
          <w:rFonts w:hint="eastAsia" w:ascii="宋体" w:hAnsi="宋体"/>
          <w:b/>
        </w:rPr>
        <w:t>2.产品外形尺寸</w:t>
      </w:r>
    </w:p>
    <w:p>
      <w:pPr>
        <w:spacing w:line="360" w:lineRule="auto"/>
        <w:jc w:val="left"/>
        <w:rPr>
          <w:rFonts w:ascii="宋体" w:hAnsi="宋体"/>
        </w:rPr>
      </w:pPr>
      <w:r>
        <w:rPr>
          <w:rFonts w:ascii="宋体" w:hAnsi="宋体"/>
        </w:rPr>
        <w:t>座宽（4</w:t>
      </w:r>
      <w:r>
        <w:rPr>
          <w:rFonts w:hint="eastAsia" w:ascii="宋体" w:hAnsi="宋体"/>
        </w:rPr>
        <w:t>2</w:t>
      </w:r>
      <w:r>
        <w:rPr>
          <w:rFonts w:ascii="宋体" w:hAnsi="宋体"/>
        </w:rPr>
        <w:t>0±</w:t>
      </w:r>
      <w:r>
        <w:rPr>
          <w:rFonts w:hint="eastAsia" w:ascii="宋体" w:hAnsi="宋体"/>
        </w:rPr>
        <w:t>5</w:t>
      </w:r>
      <w:r>
        <w:rPr>
          <w:rFonts w:ascii="宋体" w:hAnsi="宋体"/>
        </w:rPr>
        <w:t>mm），</w:t>
      </w:r>
      <w:r>
        <w:rPr>
          <w:rFonts w:hint="eastAsia" w:ascii="宋体" w:hAnsi="宋体"/>
        </w:rPr>
        <w:t>座</w:t>
      </w:r>
      <w:r>
        <w:rPr>
          <w:rFonts w:ascii="宋体" w:hAnsi="宋体"/>
        </w:rPr>
        <w:t>深（420±</w:t>
      </w:r>
      <w:r>
        <w:rPr>
          <w:rFonts w:hint="eastAsia" w:ascii="宋体" w:hAnsi="宋体"/>
        </w:rPr>
        <w:t>5</w:t>
      </w:r>
      <w:r>
        <w:rPr>
          <w:rFonts w:ascii="宋体" w:hAnsi="宋体"/>
        </w:rPr>
        <w:t>mm）</w:t>
      </w:r>
      <w:r>
        <w:rPr>
          <w:rFonts w:hint="eastAsia" w:ascii="宋体" w:hAnsi="宋体"/>
        </w:rPr>
        <w:t>，</w:t>
      </w:r>
      <w:r>
        <w:rPr>
          <w:rFonts w:ascii="宋体" w:hAnsi="宋体"/>
        </w:rPr>
        <w:t>背</w:t>
      </w:r>
      <w:r>
        <w:rPr>
          <w:rFonts w:hint="eastAsia" w:ascii="宋体" w:hAnsi="宋体"/>
        </w:rPr>
        <w:t>长</w:t>
      </w:r>
      <w:r>
        <w:rPr>
          <w:rFonts w:ascii="宋体" w:hAnsi="宋体"/>
        </w:rPr>
        <w:t>（</w:t>
      </w:r>
      <w:r>
        <w:rPr>
          <w:rFonts w:hint="eastAsia" w:ascii="宋体" w:hAnsi="宋体"/>
        </w:rPr>
        <w:t>1</w:t>
      </w:r>
      <w:r>
        <w:rPr>
          <w:rFonts w:ascii="宋体" w:hAnsi="宋体"/>
        </w:rPr>
        <w:t>8</w:t>
      </w:r>
      <w:r>
        <w:rPr>
          <w:rFonts w:hint="eastAsia" w:ascii="宋体" w:hAnsi="宋体"/>
        </w:rPr>
        <w:t>0</w:t>
      </w:r>
      <w:r>
        <w:rPr>
          <w:rFonts w:ascii="宋体" w:hAnsi="宋体"/>
        </w:rPr>
        <w:t>±</w:t>
      </w:r>
      <w:r>
        <w:rPr>
          <w:rFonts w:hint="eastAsia" w:ascii="宋体" w:hAnsi="宋体"/>
        </w:rPr>
        <w:t>5</w:t>
      </w:r>
      <w:r>
        <w:rPr>
          <w:rFonts w:ascii="宋体" w:hAnsi="宋体"/>
        </w:rPr>
        <w:t>㎜）</w:t>
      </w:r>
    </w:p>
    <w:p>
      <w:pPr>
        <w:spacing w:line="360" w:lineRule="auto"/>
        <w:rPr>
          <w:rFonts w:ascii="宋体" w:hAnsi="宋体"/>
          <w:b/>
        </w:rPr>
      </w:pPr>
      <w:r>
        <w:rPr>
          <w:rFonts w:hint="eastAsia" w:ascii="宋体" w:hAnsi="宋体"/>
          <w:b/>
        </w:rPr>
        <w:t>3.产品技术标准</w:t>
      </w:r>
    </w:p>
    <w:p>
      <w:pPr>
        <w:spacing w:line="360" w:lineRule="auto"/>
        <w:rPr>
          <w:rFonts w:ascii="宋体" w:hAnsi="宋体"/>
        </w:rPr>
      </w:pPr>
      <w:r>
        <w:rPr>
          <w:rFonts w:hint="eastAsia" w:ascii="宋体" w:hAnsi="宋体"/>
        </w:rPr>
        <w:t>3.1</w:t>
      </w:r>
      <w:r>
        <w:rPr>
          <w:rFonts w:ascii="宋体" w:hAnsi="宋体"/>
        </w:rPr>
        <w:t>座椅的设计、选型和安装与体育</w:t>
      </w:r>
      <w:r>
        <w:rPr>
          <w:rFonts w:hint="eastAsia" w:ascii="宋体" w:hAnsi="宋体"/>
        </w:rPr>
        <w:t>场馆</w:t>
      </w:r>
      <w:r>
        <w:rPr>
          <w:rFonts w:ascii="宋体" w:hAnsi="宋体"/>
        </w:rPr>
        <w:t>设计相配合，美观舒适、安全、耐用，便于安装维护和管理。椅面采用中空吹塑制造工艺，选用高密度聚乙烯材料（HDPE）一次加工成型</w:t>
      </w:r>
      <w:r>
        <w:rPr>
          <w:rFonts w:hint="eastAsia" w:ascii="宋体" w:hAnsi="宋体"/>
        </w:rPr>
        <w:t>，</w:t>
      </w:r>
      <w:r>
        <w:rPr>
          <w:rFonts w:ascii="宋体" w:hAnsi="宋体"/>
        </w:rPr>
        <w:t>具有座椅表面棱角圆滑、分子量较集中、汇合缝处黏结强度高，较高的刚性及韧性，良好的力学性能及较高的使用温度</w:t>
      </w:r>
      <w:r>
        <w:rPr>
          <w:rFonts w:hint="eastAsia" w:ascii="宋体" w:hAnsi="宋体"/>
        </w:rPr>
        <w:t>，</w:t>
      </w:r>
      <w:r>
        <w:rPr>
          <w:rFonts w:ascii="宋体" w:hAnsi="宋体"/>
        </w:rPr>
        <w:t>抗老化</w:t>
      </w:r>
      <w:r>
        <w:rPr>
          <w:rFonts w:hint="eastAsia" w:ascii="宋体" w:hAnsi="宋体"/>
        </w:rPr>
        <w:t>、</w:t>
      </w:r>
      <w:r>
        <w:rPr>
          <w:rFonts w:ascii="宋体" w:hAnsi="宋体"/>
        </w:rPr>
        <w:t>抗冲击性</w:t>
      </w:r>
      <w:r>
        <w:rPr>
          <w:rFonts w:hint="eastAsia" w:ascii="宋体" w:hAnsi="宋体"/>
        </w:rPr>
        <w:t>、</w:t>
      </w:r>
      <w:r>
        <w:rPr>
          <w:rFonts w:ascii="宋体" w:hAnsi="宋体"/>
        </w:rPr>
        <w:t>耐</w:t>
      </w:r>
      <w:r>
        <w:rPr>
          <w:rFonts w:hint="eastAsia" w:ascii="宋体" w:hAnsi="宋体"/>
        </w:rPr>
        <w:t>高</w:t>
      </w:r>
      <w:r>
        <w:rPr>
          <w:rFonts w:ascii="宋体" w:hAnsi="宋体"/>
        </w:rPr>
        <w:t>低温</w:t>
      </w:r>
      <w:r>
        <w:rPr>
          <w:rFonts w:hint="eastAsia" w:ascii="宋体" w:hAnsi="宋体"/>
        </w:rPr>
        <w:t>、</w:t>
      </w:r>
      <w:r>
        <w:rPr>
          <w:rFonts w:ascii="宋体" w:hAnsi="宋体"/>
        </w:rPr>
        <w:t>耐油性较好。</w:t>
      </w:r>
      <w:r>
        <w:rPr>
          <w:rFonts w:hint="eastAsia" w:ascii="宋体" w:hAnsi="宋体"/>
        </w:rPr>
        <w:t>椅面重量1.9±0.1 kg。</w:t>
      </w:r>
    </w:p>
    <w:p>
      <w:pPr>
        <w:spacing w:line="360" w:lineRule="auto"/>
        <w:rPr>
          <w:rFonts w:ascii="宋体" w:hAnsi="宋体"/>
        </w:rPr>
      </w:pPr>
      <w:r>
        <w:rPr>
          <w:rFonts w:hint="eastAsia" w:ascii="宋体" w:hAnsi="宋体"/>
        </w:rPr>
        <w:t>3.2座椅综合性能应符合国家标准及行业标准。</w:t>
      </w:r>
    </w:p>
    <w:bookmarkEnd w:id="131"/>
    <w:p>
      <w:pPr>
        <w:spacing w:line="360" w:lineRule="auto"/>
        <w:rPr>
          <w:rFonts w:ascii="宋体" w:hAnsi="宋体"/>
        </w:rPr>
      </w:pPr>
      <w:r>
        <w:rPr>
          <w:rFonts w:hint="eastAsia" w:ascii="宋体" w:hAnsi="宋体"/>
        </w:rPr>
        <w:t>3.3力学性能：</w:t>
      </w:r>
      <w:r>
        <w:rPr>
          <w:rFonts w:hint="eastAsia" w:ascii="宋体" w:hAnsi="宋体"/>
          <w:color w:val="000000"/>
          <w:kern w:val="10"/>
          <w:lang w:val="zh-CN"/>
        </w:rPr>
        <w:t>依据QB/T2601-2013《体育场馆公共座椅》，参照国际及国内体育场馆公共座椅检测标准，</w:t>
      </w:r>
      <w:r>
        <w:rPr>
          <w:rFonts w:hint="eastAsia" w:ascii="宋体" w:hAnsi="宋体"/>
        </w:rPr>
        <w:t>座椅静载荷2000N，</w:t>
      </w:r>
      <w:r>
        <w:rPr>
          <w:rFonts w:ascii="宋体" w:hAnsi="宋体"/>
        </w:rPr>
        <w:t>3</w:t>
      </w:r>
      <w:r>
        <w:rPr>
          <w:rFonts w:hint="eastAsia" w:ascii="宋体" w:hAnsi="宋体"/>
        </w:rPr>
        <w:t>0次，椅背静载荷800N，</w:t>
      </w:r>
      <w:r>
        <w:rPr>
          <w:rFonts w:ascii="宋体" w:hAnsi="宋体"/>
        </w:rPr>
        <w:t>3</w:t>
      </w:r>
      <w:r>
        <w:rPr>
          <w:rFonts w:hint="eastAsia" w:ascii="宋体" w:hAnsi="宋体"/>
        </w:rPr>
        <w:t>0次，座椅平衡载荷2000N；座椅耐久性：椅面载荷960N，</w:t>
      </w:r>
      <w:r>
        <w:rPr>
          <w:rFonts w:ascii="宋体" w:hAnsi="宋体"/>
        </w:rPr>
        <w:t>3</w:t>
      </w:r>
      <w:r>
        <w:rPr>
          <w:rFonts w:hint="eastAsia" w:ascii="宋体" w:hAnsi="宋体"/>
        </w:rPr>
        <w:t>0万次，椅背载荷3</w:t>
      </w:r>
      <w:r>
        <w:rPr>
          <w:rFonts w:ascii="宋体" w:hAnsi="宋体"/>
        </w:rPr>
        <w:t>6</w:t>
      </w:r>
      <w:r>
        <w:rPr>
          <w:rFonts w:hint="eastAsia" w:ascii="宋体" w:hAnsi="宋体"/>
        </w:rPr>
        <w:t>0N，</w:t>
      </w:r>
      <w:r>
        <w:rPr>
          <w:rFonts w:ascii="宋体" w:hAnsi="宋体"/>
        </w:rPr>
        <w:t>3</w:t>
      </w:r>
      <w:r>
        <w:rPr>
          <w:rFonts w:hint="eastAsia" w:ascii="宋体" w:hAnsi="宋体"/>
        </w:rPr>
        <w:t>0万次，椅面冲击高度360mm，</w:t>
      </w:r>
      <w:r>
        <w:rPr>
          <w:rFonts w:ascii="宋体" w:hAnsi="宋体"/>
        </w:rPr>
        <w:t>3</w:t>
      </w:r>
      <w:r>
        <w:rPr>
          <w:rFonts w:hint="eastAsia" w:ascii="宋体" w:hAnsi="宋体"/>
        </w:rPr>
        <w:t>0次，椅背冲击高度630mm，</w:t>
      </w:r>
      <w:r>
        <w:rPr>
          <w:rFonts w:ascii="宋体" w:hAnsi="宋体"/>
        </w:rPr>
        <w:t>3</w:t>
      </w:r>
      <w:r>
        <w:rPr>
          <w:rFonts w:hint="eastAsia" w:ascii="宋体" w:hAnsi="宋体"/>
        </w:rPr>
        <w:t>0次；座椅零部件无断裂或豁裂现象，加载部位无明显变形</w:t>
      </w:r>
      <w:r>
        <w:rPr>
          <w:rFonts w:ascii="宋体" w:hAnsi="宋体"/>
        </w:rPr>
        <w:t>；</w:t>
      </w:r>
    </w:p>
    <w:p>
      <w:pPr>
        <w:spacing w:line="360" w:lineRule="auto"/>
        <w:rPr>
          <w:rFonts w:ascii="宋体" w:hAnsi="宋体"/>
        </w:rPr>
      </w:pPr>
      <w:r>
        <w:rPr>
          <w:rFonts w:hint="eastAsia" w:ascii="宋体" w:hAnsi="宋体"/>
        </w:rPr>
        <w:t>3.4耐老化性能：</w:t>
      </w:r>
      <w:r>
        <w:rPr>
          <w:rFonts w:hint="eastAsia" w:ascii="宋体" w:hAnsi="宋体"/>
          <w:color w:val="000000"/>
          <w:kern w:val="10"/>
          <w:lang w:val="zh-CN"/>
        </w:rPr>
        <w:t>依据QB/T2601-2013《体育场馆公共座椅》，</w:t>
      </w:r>
      <w:r>
        <w:rPr>
          <w:rFonts w:ascii="宋体" w:hAnsi="宋体"/>
          <w:lang w:val="zh-CN"/>
        </w:rPr>
        <w:t>老化试验</w:t>
      </w:r>
      <w:r>
        <w:rPr>
          <w:rFonts w:hint="eastAsia" w:ascii="宋体" w:hAnsi="宋体"/>
        </w:rPr>
        <w:t>≥</w:t>
      </w:r>
      <w:r>
        <w:rPr>
          <w:rFonts w:hint="eastAsia" w:ascii="宋体" w:hAnsi="宋体"/>
          <w:lang w:val="zh-CN"/>
        </w:rPr>
        <w:t>35</w:t>
      </w:r>
      <w:r>
        <w:rPr>
          <w:rFonts w:ascii="宋体" w:hAnsi="宋体"/>
          <w:lang w:val="zh-CN"/>
        </w:rPr>
        <w:t>00h，</w:t>
      </w:r>
      <w:r>
        <w:rPr>
          <w:rFonts w:hint="eastAsia" w:ascii="宋体" w:hAnsi="宋体" w:cs="HiddenHorzOCR"/>
          <w:kern w:val="0"/>
        </w:rPr>
        <w:t>冲</w:t>
      </w:r>
      <w:r>
        <w:rPr>
          <w:rFonts w:hint="eastAsia" w:ascii="宋体" w:hAnsi="宋体" w:cs="宋体"/>
          <w:kern w:val="0"/>
        </w:rPr>
        <w:t>击强</w:t>
      </w:r>
      <w:r>
        <w:rPr>
          <w:rFonts w:hint="eastAsia" w:ascii="宋体" w:hAnsi="宋体" w:cs="MS Mincho"/>
          <w:kern w:val="0"/>
        </w:rPr>
        <w:t>度的保持率不</w:t>
      </w:r>
      <w:r>
        <w:rPr>
          <w:rFonts w:hint="eastAsia" w:ascii="宋体" w:hAnsi="宋体" w:cs="宋体"/>
          <w:kern w:val="0"/>
        </w:rPr>
        <w:t>应</w:t>
      </w:r>
      <w:r>
        <w:rPr>
          <w:rFonts w:hint="eastAsia" w:ascii="宋体" w:hAnsi="宋体" w:cs="MS Mincho"/>
          <w:kern w:val="0"/>
        </w:rPr>
        <w:t>小于</w:t>
      </w:r>
      <w:r>
        <w:rPr>
          <w:rFonts w:ascii="宋体" w:hAnsi="宋体" w:cs="HiddenHorzOCR"/>
          <w:kern w:val="0"/>
        </w:rPr>
        <w:t>60%</w:t>
      </w:r>
      <w:r>
        <w:rPr>
          <w:rFonts w:hint="eastAsia" w:ascii="宋体" w:hAnsi="宋体" w:cs="HiddenHorzOCR"/>
          <w:kern w:val="0"/>
        </w:rPr>
        <w:t>，</w:t>
      </w:r>
      <w:r>
        <w:rPr>
          <w:rFonts w:ascii="宋体" w:hAnsi="宋体"/>
          <w:lang w:val="zh-CN"/>
        </w:rPr>
        <w:t>外观颜色变色评级不小于3级</w:t>
      </w:r>
      <w:r>
        <w:rPr>
          <w:rFonts w:hint="eastAsia" w:ascii="宋体" w:hAnsi="宋体"/>
          <w:lang w:val="zh-CN"/>
        </w:rPr>
        <w:t>；</w:t>
      </w:r>
    </w:p>
    <w:p>
      <w:pPr>
        <w:spacing w:line="360" w:lineRule="auto"/>
        <w:rPr>
          <w:rFonts w:ascii="宋体" w:hAnsi="宋体"/>
        </w:rPr>
      </w:pPr>
      <w:r>
        <w:rPr>
          <w:rFonts w:hint="eastAsia" w:ascii="宋体" w:hAnsi="宋体"/>
        </w:rPr>
        <w:t>3.5高低温性能：在高温</w:t>
      </w:r>
      <w:r>
        <w:rPr>
          <w:rFonts w:ascii="宋体" w:hAnsi="宋体"/>
        </w:rPr>
        <w:t>＋</w:t>
      </w:r>
      <w:r>
        <w:rPr>
          <w:rFonts w:hint="eastAsia" w:ascii="宋体" w:hAnsi="宋体"/>
        </w:rPr>
        <w:t>80℃、低温</w:t>
      </w:r>
      <w:r>
        <w:rPr>
          <w:rFonts w:ascii="宋体" w:hAnsi="宋体"/>
        </w:rPr>
        <w:t>-55</w:t>
      </w:r>
      <w:r>
        <w:rPr>
          <w:rFonts w:hint="eastAsia" w:ascii="宋体" w:hAnsi="宋体"/>
        </w:rPr>
        <w:t>℃下72h，无局部</w:t>
      </w:r>
      <w:r>
        <w:rPr>
          <w:rFonts w:ascii="宋体" w:hAnsi="宋体"/>
        </w:rPr>
        <w:t>粉</w:t>
      </w:r>
      <w:r>
        <w:rPr>
          <w:rFonts w:hint="eastAsia" w:ascii="宋体" w:hAnsi="宋体"/>
        </w:rPr>
        <w:t>化、龟裂、斑点、</w:t>
      </w:r>
      <w:r>
        <w:rPr>
          <w:rFonts w:ascii="宋体" w:hAnsi="宋体"/>
        </w:rPr>
        <w:t>起</w:t>
      </w:r>
      <w:r>
        <w:rPr>
          <w:rFonts w:hint="eastAsia" w:ascii="宋体" w:hAnsi="宋体"/>
        </w:rPr>
        <w:t>泡及明显变形等外观变化。</w:t>
      </w:r>
    </w:p>
    <w:p>
      <w:pPr>
        <w:spacing w:line="360" w:lineRule="auto"/>
        <w:rPr>
          <w:rFonts w:ascii="宋体" w:hAnsi="宋体"/>
        </w:rPr>
      </w:pPr>
      <w:r>
        <w:rPr>
          <w:rFonts w:hint="eastAsia" w:ascii="宋体" w:hAnsi="宋体"/>
        </w:rPr>
        <w:t>3.6阻燃性能：座椅的整体阻燃性能符合GB20286《公共场所阻燃制品及组件燃烧性能要求和标识》表4中公共场所阻燃家具及组件的燃烧性能阻燃2级标准。</w:t>
      </w:r>
    </w:p>
    <w:p>
      <w:pPr>
        <w:spacing w:line="360" w:lineRule="auto"/>
        <w:rPr>
          <w:rFonts w:ascii="宋体" w:hAnsi="宋体"/>
        </w:rPr>
      </w:pPr>
      <w:r>
        <w:rPr>
          <w:rFonts w:hint="eastAsia" w:ascii="宋体" w:hAnsi="宋体"/>
        </w:rPr>
        <w:t>3.7环保性能：座椅</w:t>
      </w:r>
      <w:r>
        <w:rPr>
          <w:rFonts w:hint="eastAsia" w:hAnsi="宋体"/>
        </w:rPr>
        <w:t>所使用的主辅材料符合环保标准</w:t>
      </w:r>
      <w:r>
        <w:rPr>
          <w:rFonts w:hint="eastAsia" w:ascii="宋体" w:hAnsi="宋体"/>
        </w:rPr>
        <w:t>，塑料产品中有毒有害物质限量满足GB28481《塑料家具中有害物质限量》中要求。</w:t>
      </w:r>
    </w:p>
    <w:p>
      <w:pPr>
        <w:spacing w:line="360" w:lineRule="auto"/>
        <w:rPr>
          <w:rFonts w:ascii="宋体" w:hAnsi="宋体"/>
        </w:rPr>
      </w:pPr>
      <w:r>
        <w:rPr>
          <w:rFonts w:hint="eastAsia" w:ascii="宋体" w:hAnsi="宋体"/>
        </w:rPr>
        <w:t>3.8座椅</w:t>
      </w:r>
      <w:r>
        <w:rPr>
          <w:rFonts w:ascii="宋体" w:hAnsi="宋体"/>
        </w:rPr>
        <w:t>整体使用寿命</w:t>
      </w:r>
      <w:r>
        <w:rPr>
          <w:rFonts w:hint="eastAsia" w:ascii="宋体" w:hAnsi="宋体"/>
        </w:rPr>
        <w:t>：</w:t>
      </w:r>
      <w:r>
        <w:rPr>
          <w:rFonts w:hint="eastAsia" w:ascii="宋体" w:hAnsi="宋体"/>
          <w:color w:val="000000"/>
          <w:lang w:val="zh-CN"/>
        </w:rPr>
        <w:t>八年内无明显色差、变脆及非外力因素的裂纹</w:t>
      </w:r>
      <w:r>
        <w:rPr>
          <w:rFonts w:ascii="宋体" w:hAnsi="宋体"/>
        </w:rPr>
        <w:t>。</w:t>
      </w:r>
    </w:p>
    <w:p>
      <w:pPr>
        <w:spacing w:line="360" w:lineRule="auto"/>
        <w:rPr>
          <w:rFonts w:ascii="宋体" w:hAnsi="宋体"/>
        </w:rPr>
      </w:pPr>
      <w:r>
        <w:rPr>
          <w:rFonts w:hint="eastAsia" w:ascii="宋体" w:hAnsi="宋体"/>
        </w:rPr>
        <w:t>3.9座椅群的色彩：提供国际标准塑料色（PANTONE</w:t>
      </w:r>
      <w:r>
        <w:rPr>
          <w:rFonts w:ascii="宋体" w:hAnsi="宋体"/>
        </w:rPr>
        <w:t>）</w:t>
      </w:r>
      <w:r>
        <w:rPr>
          <w:rFonts w:hint="eastAsia" w:ascii="宋体" w:hAnsi="宋体"/>
        </w:rPr>
        <w:t>经业主、设计院确定。</w:t>
      </w:r>
    </w:p>
    <w:p>
      <w:pPr>
        <w:spacing w:line="360" w:lineRule="auto"/>
        <w:rPr>
          <w:rFonts w:ascii="宋体" w:hAnsi="宋体"/>
        </w:rPr>
      </w:pPr>
      <w:r>
        <w:rPr>
          <w:rFonts w:hint="eastAsia" w:ascii="宋体" w:hAnsi="宋体"/>
          <w:b/>
        </w:rPr>
        <w:t>四</w:t>
      </w:r>
      <w:r>
        <w:rPr>
          <w:rFonts w:ascii="宋体" w:hAnsi="宋体"/>
          <w:b/>
        </w:rPr>
        <w:t>、</w:t>
      </w:r>
      <w:r>
        <w:rPr>
          <w:rFonts w:hint="eastAsia" w:ascii="宋体" w:hAnsi="宋体"/>
          <w:b/>
        </w:rPr>
        <w:t>产品构</w:t>
      </w:r>
      <w:r>
        <w:rPr>
          <w:rFonts w:ascii="宋体" w:hAnsi="宋体"/>
          <w:b/>
        </w:rPr>
        <w:t>配件：</w:t>
      </w:r>
    </w:p>
    <w:p>
      <w:pPr>
        <w:spacing w:line="360" w:lineRule="auto"/>
        <w:rPr>
          <w:rFonts w:ascii="宋体" w:hAnsi="宋体"/>
        </w:rPr>
      </w:pPr>
      <w:r>
        <w:rPr>
          <w:rFonts w:hint="eastAsia" w:ascii="宋体" w:hAnsi="宋体"/>
        </w:rPr>
        <w:t>1.座椅连接件</w:t>
      </w:r>
      <w:r>
        <w:rPr>
          <w:rFonts w:ascii="宋体" w:hAnsi="宋体"/>
        </w:rPr>
        <w:t>：采用</w:t>
      </w:r>
      <w:r>
        <w:rPr>
          <w:rFonts w:hint="eastAsia" w:ascii="宋体" w:hAnsi="宋体"/>
        </w:rPr>
        <w:t>A3钢板冲压件</w:t>
      </w:r>
      <w:r>
        <w:rPr>
          <w:rFonts w:ascii="宋体" w:hAnsi="宋体"/>
        </w:rPr>
        <w:t>，</w:t>
      </w:r>
      <w:r>
        <w:rPr>
          <w:rFonts w:hint="eastAsia" w:ascii="宋体" w:hAnsi="宋体"/>
        </w:rPr>
        <w:t>位置在座椅底部，保证座椅安装的安全性。</w:t>
      </w:r>
    </w:p>
    <w:p>
      <w:pPr>
        <w:spacing w:line="360" w:lineRule="auto"/>
        <w:rPr>
          <w:rFonts w:ascii="宋体" w:hAnsi="宋体"/>
        </w:rPr>
      </w:pPr>
      <w:r>
        <w:rPr>
          <w:rFonts w:hint="eastAsia" w:ascii="宋体" w:hAnsi="宋体"/>
        </w:rPr>
        <w:t>2.钢构件：经硅烷处理后表面热镀锌,以增强其抗腐蚀性。</w:t>
      </w:r>
    </w:p>
    <w:p>
      <w:pPr>
        <w:spacing w:line="360" w:lineRule="auto"/>
        <w:rPr>
          <w:rFonts w:ascii="宋体" w:hAnsi="宋体"/>
        </w:rPr>
      </w:pPr>
      <w:r>
        <w:rPr>
          <w:rFonts w:hint="eastAsia" w:ascii="宋体" w:hAnsi="宋体"/>
        </w:rPr>
        <w:t>3.</w:t>
      </w:r>
      <w:r>
        <w:rPr>
          <w:rFonts w:ascii="宋体" w:hAnsi="宋体"/>
        </w:rPr>
        <w:t>紧固件：所有座椅紧固件均选用国内正规厂家生产的符合国家标准的标准件，表面须经防锈处理</w:t>
      </w:r>
      <w:r>
        <w:rPr>
          <w:rFonts w:hint="eastAsia" w:ascii="宋体" w:hAnsi="宋体"/>
        </w:rPr>
        <w:t>。</w:t>
      </w:r>
    </w:p>
    <w:p>
      <w:pPr>
        <w:spacing w:line="360" w:lineRule="auto"/>
        <w:rPr>
          <w:rFonts w:ascii="宋体" w:hAnsi="宋体"/>
        </w:rPr>
      </w:pPr>
      <w:r>
        <w:rPr>
          <w:rFonts w:hint="eastAsia" w:ascii="宋体" w:hAnsi="宋体"/>
        </w:rPr>
        <w:t>4.</w:t>
      </w:r>
      <w:r>
        <w:rPr>
          <w:rFonts w:ascii="宋体" w:hAnsi="宋体"/>
        </w:rPr>
        <w:t>座位号及排号：座位号</w:t>
      </w:r>
      <w:r>
        <w:rPr>
          <w:rFonts w:hint="eastAsia" w:ascii="宋体" w:hAnsi="宋体"/>
        </w:rPr>
        <w:t>、排号采用铝制模压成型，座位号、排号厚度均为δ0.5mm，</w:t>
      </w:r>
      <w:r>
        <w:rPr>
          <w:rFonts w:ascii="宋体" w:hAnsi="宋体"/>
        </w:rPr>
        <w:t>座位号</w:t>
      </w:r>
      <w:r>
        <w:rPr>
          <w:rFonts w:hint="eastAsia" w:ascii="宋体" w:hAnsi="宋体"/>
        </w:rPr>
        <w:t>采用</w:t>
      </w:r>
      <w:r>
        <w:rPr>
          <w:rFonts w:ascii="宋体" w:hAnsi="宋体"/>
        </w:rPr>
        <w:t>嵌入式</w:t>
      </w:r>
      <w:r>
        <w:rPr>
          <w:rFonts w:hint="eastAsia" w:ascii="宋体" w:hAnsi="宋体"/>
        </w:rPr>
        <w:t>安装在</w:t>
      </w:r>
      <w:r>
        <w:rPr>
          <w:rFonts w:ascii="宋体" w:hAnsi="宋体"/>
        </w:rPr>
        <w:t>靠背</w:t>
      </w:r>
      <w:r>
        <w:rPr>
          <w:rFonts w:hint="eastAsia" w:ascii="宋体" w:hAnsi="宋体"/>
        </w:rPr>
        <w:t>上端；排号直接固定在台阶立面中间。</w:t>
      </w:r>
    </w:p>
    <w:p>
      <w:pPr>
        <w:spacing w:line="360" w:lineRule="auto"/>
        <w:rPr>
          <w:rFonts w:ascii="宋体" w:hAnsi="宋体"/>
          <w:b/>
        </w:rPr>
      </w:pPr>
      <w:r>
        <w:rPr>
          <w:rFonts w:hint="eastAsia" w:ascii="宋体" w:hAnsi="宋体"/>
          <w:b/>
        </w:rPr>
        <w:t>五、产品安装方式：</w:t>
      </w:r>
    </w:p>
    <w:p>
      <w:pPr>
        <w:spacing w:line="360" w:lineRule="auto"/>
        <w:rPr>
          <w:rFonts w:ascii="宋体" w:hAnsi="宋体"/>
        </w:rPr>
      </w:pPr>
      <w:r>
        <w:rPr>
          <w:rFonts w:hint="eastAsia" w:ascii="宋体" w:hAnsi="宋体"/>
        </w:rPr>
        <w:t>1.前置式直接安装</w:t>
      </w:r>
      <w:r>
        <w:rPr>
          <w:rFonts w:ascii="宋体" w:hAnsi="宋体"/>
        </w:rPr>
        <w:t>，</w:t>
      </w:r>
      <w:r>
        <w:rPr>
          <w:rFonts w:hint="eastAsia" w:ascii="宋体" w:hAnsi="宋体"/>
        </w:rPr>
        <w:t>先</w:t>
      </w:r>
      <w:r>
        <w:rPr>
          <w:rFonts w:ascii="宋体" w:hAnsi="宋体"/>
        </w:rPr>
        <w:t>通过M8×</w:t>
      </w:r>
      <w:r>
        <w:rPr>
          <w:rFonts w:hint="eastAsia" w:ascii="宋体" w:hAnsi="宋体"/>
        </w:rPr>
        <w:t>50</w:t>
      </w:r>
      <w:r>
        <w:rPr>
          <w:rFonts w:ascii="宋体" w:hAnsi="宋体"/>
        </w:rPr>
        <w:t>的</w:t>
      </w:r>
      <w:r>
        <w:rPr>
          <w:rFonts w:hint="eastAsia" w:ascii="宋体" w:hAnsi="宋体"/>
        </w:rPr>
        <w:t>新奇</w:t>
      </w:r>
      <w:r>
        <w:rPr>
          <w:rFonts w:ascii="宋体" w:hAnsi="宋体"/>
        </w:rPr>
        <w:t>膨胀螺栓与看台混凝土台阶固定</w:t>
      </w:r>
      <w:r>
        <w:rPr>
          <w:rFonts w:hint="eastAsia" w:ascii="宋体" w:hAnsi="宋体"/>
        </w:rPr>
        <w:t>，在通过</w:t>
      </w:r>
      <w:r>
        <w:rPr>
          <w:rFonts w:ascii="宋体" w:hAnsi="宋体"/>
        </w:rPr>
        <w:t>M</w:t>
      </w:r>
      <w:r>
        <w:rPr>
          <w:rFonts w:hint="eastAsia" w:ascii="宋体" w:hAnsi="宋体"/>
        </w:rPr>
        <w:t>8</w:t>
      </w:r>
      <w:r>
        <w:rPr>
          <w:rFonts w:ascii="宋体" w:hAnsi="宋体"/>
        </w:rPr>
        <w:t>×</w:t>
      </w:r>
      <w:r>
        <w:rPr>
          <w:rFonts w:hint="eastAsia" w:ascii="宋体" w:hAnsi="宋体"/>
        </w:rPr>
        <w:t>70的新奇膨胀螺栓从椅面往下固定。座椅</w:t>
      </w:r>
      <w:r>
        <w:rPr>
          <w:rFonts w:ascii="宋体" w:hAnsi="宋体"/>
        </w:rPr>
        <w:t>安装间距</w:t>
      </w:r>
      <w:r>
        <w:rPr>
          <w:rFonts w:hint="eastAsia" w:ascii="宋体" w:hAnsi="宋体"/>
        </w:rPr>
        <w:t>通常</w:t>
      </w:r>
      <w:r>
        <w:rPr>
          <w:rFonts w:ascii="宋体" w:hAnsi="宋体"/>
        </w:rPr>
        <w:t>为480</w:t>
      </w:r>
      <w:r>
        <w:rPr>
          <w:rFonts w:hint="eastAsia" w:ascii="宋体" w:hAnsi="宋体"/>
        </w:rPr>
        <w:t>～500</w:t>
      </w:r>
      <w:r>
        <w:rPr>
          <w:rFonts w:ascii="宋体" w:hAnsi="宋体"/>
        </w:rPr>
        <w:t>mm</w:t>
      </w:r>
      <w:r>
        <w:rPr>
          <w:rFonts w:hint="eastAsia" w:ascii="宋体" w:hAnsi="宋体"/>
        </w:rPr>
        <w:t>（特殊场地除外）</w:t>
      </w:r>
      <w:r>
        <w:rPr>
          <w:rFonts w:ascii="宋体" w:hAnsi="宋体"/>
        </w:rPr>
        <w:t>，椅面距地面高度约为425mm。</w:t>
      </w:r>
    </w:p>
    <w:p>
      <w:pPr>
        <w:autoSpaceDE w:val="0"/>
        <w:autoSpaceDN w:val="0"/>
        <w:adjustRightInd w:val="0"/>
        <w:spacing w:line="360" w:lineRule="auto"/>
        <w:jc w:val="left"/>
        <w:rPr>
          <w:rFonts w:ascii="宋体" w:hAnsi="宋体" w:cs="HiddenHorzOCR"/>
          <w:kern w:val="0"/>
        </w:rPr>
      </w:pPr>
      <w:r>
        <w:rPr>
          <w:rFonts w:hint="eastAsia" w:ascii="宋体" w:hAnsi="宋体"/>
        </w:rPr>
        <w:t>2.</w:t>
      </w:r>
      <w:r>
        <w:rPr>
          <w:rFonts w:ascii="宋体" w:hAnsi="宋体"/>
        </w:rPr>
        <w:t>安装时通道</w:t>
      </w:r>
      <w:r>
        <w:rPr>
          <w:rFonts w:hint="eastAsia" w:ascii="宋体" w:hAnsi="宋体"/>
        </w:rPr>
        <w:t>侧整</w:t>
      </w:r>
      <w:r>
        <w:rPr>
          <w:rFonts w:ascii="宋体" w:hAnsi="宋体"/>
        </w:rPr>
        <w:t>齐、</w:t>
      </w:r>
      <w:r>
        <w:rPr>
          <w:rFonts w:hint="eastAsia" w:ascii="宋体" w:hAnsi="宋体"/>
        </w:rPr>
        <w:t>座椅</w:t>
      </w:r>
      <w:r>
        <w:rPr>
          <w:rFonts w:ascii="宋体" w:hAnsi="宋体"/>
        </w:rPr>
        <w:t>高度一致，</w:t>
      </w:r>
      <w:r>
        <w:rPr>
          <w:rFonts w:hint="eastAsia" w:ascii="宋体" w:hAnsi="宋体"/>
        </w:rPr>
        <w:t>上下</w:t>
      </w:r>
      <w:r>
        <w:rPr>
          <w:rFonts w:ascii="宋体" w:hAnsi="宋体"/>
        </w:rPr>
        <w:t>不产生明显落差</w:t>
      </w:r>
      <w:r>
        <w:rPr>
          <w:rFonts w:hint="eastAsia" w:ascii="宋体" w:hAnsi="宋体"/>
        </w:rPr>
        <w:t>，座椅安装符合JGJ57-2000《剧场建筑设计规范》中5.2的要求。</w:t>
      </w:r>
      <w:r>
        <w:rPr>
          <w:rFonts w:hint="eastAsia" w:ascii="宋体" w:hAnsi="宋体" w:cs="HiddenHorzOCR"/>
          <w:kern w:val="0"/>
        </w:rPr>
        <w:t>座中距不均匀</w:t>
      </w:r>
      <w:r>
        <w:rPr>
          <w:rFonts w:hint="eastAsia" w:ascii="宋体" w:hAnsi="宋体" w:cs="宋体"/>
          <w:kern w:val="0"/>
        </w:rPr>
        <w:t>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±5</w:t>
      </w:r>
      <w:r>
        <w:rPr>
          <w:rFonts w:ascii="宋体" w:hAnsi="宋体" w:cs="HiddenHorzOCR"/>
          <w:kern w:val="0"/>
        </w:rPr>
        <w:t>mm</w:t>
      </w:r>
      <w:r>
        <w:rPr>
          <w:rFonts w:hint="eastAsia" w:ascii="宋体" w:hAnsi="宋体" w:cs="HiddenHorzOCR"/>
          <w:kern w:val="0"/>
        </w:rPr>
        <w:t>，相</w:t>
      </w:r>
      <w:r>
        <w:rPr>
          <w:rFonts w:hint="eastAsia" w:ascii="宋体" w:hAnsi="宋体" w:cs="宋体"/>
          <w:kern w:val="0"/>
        </w:rPr>
        <w:t>邻</w:t>
      </w:r>
      <w:r>
        <w:rPr>
          <w:rFonts w:hint="eastAsia" w:ascii="宋体" w:hAnsi="宋体" w:cs="MS Mincho"/>
          <w:kern w:val="0"/>
        </w:rPr>
        <w:t>两位不整</w:t>
      </w:r>
      <w:r>
        <w:rPr>
          <w:rFonts w:hint="eastAsia" w:ascii="宋体" w:hAnsi="宋体" w:cs="宋体"/>
          <w:kern w:val="0"/>
        </w:rPr>
        <w:t>齐误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8</w:t>
      </w:r>
      <w:r>
        <w:rPr>
          <w:rFonts w:ascii="宋体" w:hAnsi="宋体" w:cs="HiddenHorzOCR"/>
          <w:kern w:val="0"/>
        </w:rPr>
        <w:t>mm</w:t>
      </w:r>
      <w:r>
        <w:rPr>
          <w:rFonts w:hint="eastAsia" w:ascii="宋体" w:hAnsi="宋体" w:cs="HiddenHorzOCR"/>
          <w:kern w:val="0"/>
        </w:rPr>
        <w:t>，整排</w:t>
      </w:r>
      <w:r>
        <w:rPr>
          <w:rFonts w:ascii="宋体" w:hAnsi="宋体" w:cs="HiddenHorzOCR"/>
          <w:kern w:val="0"/>
        </w:rPr>
        <w:t>(30</w:t>
      </w:r>
      <w:r>
        <w:rPr>
          <w:rFonts w:hint="eastAsia" w:ascii="宋体" w:hAnsi="宋体" w:cs="HiddenHorzOCR"/>
          <w:kern w:val="0"/>
        </w:rPr>
        <w:t>位内)的不整</w:t>
      </w:r>
      <w:r>
        <w:rPr>
          <w:rFonts w:hint="eastAsia" w:ascii="宋体" w:hAnsi="宋体" w:cs="宋体"/>
          <w:kern w:val="0"/>
        </w:rPr>
        <w:t>齐误</w:t>
      </w:r>
      <w:r>
        <w:rPr>
          <w:rFonts w:hint="eastAsia" w:ascii="宋体" w:hAnsi="宋体" w:cs="MS Mincho"/>
          <w:kern w:val="0"/>
        </w:rPr>
        <w:t>差不</w:t>
      </w:r>
      <w:r>
        <w:rPr>
          <w:rFonts w:hint="eastAsia" w:ascii="宋体" w:hAnsi="宋体" w:cs="宋体"/>
          <w:kern w:val="0"/>
        </w:rPr>
        <w:t>应</w:t>
      </w:r>
      <w:r>
        <w:rPr>
          <w:rFonts w:hint="eastAsia" w:ascii="宋体" w:hAnsi="宋体" w:cs="MS Mincho"/>
          <w:kern w:val="0"/>
        </w:rPr>
        <w:t>大于</w:t>
      </w:r>
      <w:r>
        <w:rPr>
          <w:rFonts w:hint="eastAsia" w:ascii="宋体" w:hAnsi="宋体" w:cs="HiddenHorzOCR"/>
          <w:kern w:val="0"/>
        </w:rPr>
        <w:t>25</w:t>
      </w:r>
      <w:r>
        <w:rPr>
          <w:rFonts w:ascii="宋体" w:hAnsi="宋体" w:cs="HiddenHorzOCR"/>
          <w:kern w:val="0"/>
        </w:rPr>
        <w:t>mm</w:t>
      </w:r>
      <w:r>
        <w:rPr>
          <w:rFonts w:hint="eastAsia" w:ascii="宋体" w:hAnsi="宋体" w:cs="HiddenHorzOCR"/>
          <w:kern w:val="0"/>
        </w:rPr>
        <w:t>。</w:t>
      </w:r>
    </w:p>
    <w:p>
      <w:pPr>
        <w:spacing w:line="540" w:lineRule="exact"/>
        <w:rPr>
          <w:rFonts w:ascii="宋体" w:hAnsi="宋体"/>
          <w:b/>
        </w:rPr>
      </w:pPr>
      <w:r>
        <w:rPr>
          <w:rFonts w:hint="eastAsia" w:ascii="宋体" w:hAnsi="宋体"/>
          <w:b/>
        </w:rPr>
        <w:t>六、座椅图片：</w:t>
      </w:r>
    </w:p>
    <w:p>
      <w:pPr>
        <w:pStyle w:val="2"/>
      </w:pPr>
    </w:p>
    <w:p>
      <w:pPr>
        <w:rPr>
          <w:b/>
        </w:rPr>
      </w:pPr>
      <w:r>
        <w:drawing>
          <wp:inline distT="0" distB="0" distL="0" distR="0">
            <wp:extent cx="3040380" cy="1094105"/>
            <wp:effectExtent l="0" t="0" r="7620" b="10795"/>
            <wp:docPr id="1" name="图片 1"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KY-8"/>
                    <pic:cNvPicPr>
                      <a:picLocks noChangeAspect="1" noChangeArrowheads="1"/>
                    </pic:cNvPicPr>
                  </pic:nvPicPr>
                  <pic:blipFill>
                    <a:blip r:embed="rId8" cstate="print">
                      <a:extLst>
                        <a:ext uri="{28A0092B-C50C-407E-A947-70E740481C1C}">
                          <a14:useLocalDpi xmlns:a14="http://schemas.microsoft.com/office/drawing/2010/main" val="0"/>
                        </a:ext>
                      </a:extLst>
                    </a:blip>
                    <a:srcRect t="25107" b="21353"/>
                    <a:stretch>
                      <a:fillRect/>
                    </a:stretch>
                  </pic:blipFill>
                  <pic:spPr>
                    <a:xfrm>
                      <a:off x="0" y="0"/>
                      <a:ext cx="3040380" cy="1094105"/>
                    </a:xfrm>
                    <a:prstGeom prst="rect">
                      <a:avLst/>
                    </a:prstGeom>
                    <a:noFill/>
                    <a:ln>
                      <a:noFill/>
                    </a:ln>
                  </pic:spPr>
                </pic:pic>
              </a:graphicData>
            </a:graphic>
          </wp:inline>
        </w:drawing>
      </w:r>
    </w:p>
    <w:p>
      <w:pPr>
        <w:spacing w:line="540" w:lineRule="exact"/>
        <w:rPr>
          <w:rFonts w:ascii="宋体" w:hAnsi="宋体"/>
          <w:b/>
        </w:rPr>
      </w:pPr>
      <w:r>
        <w:rPr>
          <w:rFonts w:hint="eastAsia" w:ascii="宋体" w:hAnsi="宋体"/>
          <w:b/>
        </w:rPr>
        <w:t>七、安装示意图：</w:t>
      </w:r>
    </w:p>
    <w:p>
      <w:pPr>
        <w:tabs>
          <w:tab w:val="left" w:pos="2180"/>
        </w:tabs>
        <w:spacing w:line="480" w:lineRule="auto"/>
        <w:jc w:val="center"/>
        <w:rPr>
          <w:b/>
        </w:rPr>
      </w:pPr>
      <w:r>
        <w:drawing>
          <wp:inline distT="0" distB="0" distL="0" distR="0">
            <wp:extent cx="2742565" cy="1941195"/>
            <wp:effectExtent l="0" t="0" r="635" b="1905"/>
            <wp:docPr id="2" name="图片 2" descr="ZKY-8型低靠背中空塑料座椅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KY-8型低靠背中空塑料座椅安"/>
                    <pic:cNvPicPr>
                      <a:picLocks noChangeAspect="1" noChangeArrowheads="1"/>
                    </pic:cNvPicPr>
                  </pic:nvPicPr>
                  <pic:blipFill>
                    <a:blip r:embed="rId9" cstate="print">
                      <a:extLst>
                        <a:ext uri="{28A0092B-C50C-407E-A947-70E740481C1C}">
                          <a14:useLocalDpi xmlns:a14="http://schemas.microsoft.com/office/drawing/2010/main" val="0"/>
                        </a:ext>
                      </a:extLst>
                    </a:blip>
                    <a:srcRect l="-1" t="5691" r="-105" b="5691"/>
                    <a:stretch>
                      <a:fillRect/>
                    </a:stretch>
                  </pic:blipFill>
                  <pic:spPr>
                    <a:xfrm>
                      <a:off x="0" y="0"/>
                      <a:ext cx="2746071" cy="1943647"/>
                    </a:xfrm>
                    <a:prstGeom prst="rect">
                      <a:avLst/>
                    </a:prstGeom>
                    <a:noFill/>
                    <a:ln>
                      <a:noFill/>
                    </a:ln>
                  </pic:spPr>
                </pic:pic>
              </a:graphicData>
            </a:graphic>
          </wp:inline>
        </w:drawing>
      </w:r>
    </w:p>
    <w:p>
      <w:pPr>
        <w:spacing w:line="540" w:lineRule="exact"/>
        <w:rPr>
          <w:rFonts w:ascii="宋体" w:hAnsi="宋体"/>
          <w:b/>
        </w:rPr>
      </w:pPr>
      <w:r>
        <w:rPr>
          <w:rFonts w:hint="eastAsia" w:ascii="宋体" w:hAnsi="宋体"/>
          <w:b/>
        </w:rPr>
        <w:t>八、安装详图：</w:t>
      </w:r>
    </w:p>
    <w:p>
      <w:pPr>
        <w:rPr>
          <w:b/>
        </w:rPr>
      </w:pPr>
      <w:r>
        <w:drawing>
          <wp:anchor distT="0" distB="0" distL="114300" distR="114300" simplePos="0" relativeHeight="251659264" behindDoc="0" locked="0" layoutInCell="1" allowOverlap="1">
            <wp:simplePos x="0" y="0"/>
            <wp:positionH relativeFrom="column">
              <wp:posOffset>3569970</wp:posOffset>
            </wp:positionH>
            <wp:positionV relativeFrom="paragraph">
              <wp:posOffset>775970</wp:posOffset>
            </wp:positionV>
            <wp:extent cx="886460" cy="295275"/>
            <wp:effectExtent l="0" t="0" r="2540" b="9525"/>
            <wp:wrapNone/>
            <wp:docPr id="4" name="图片 4"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捕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6460" cy="295275"/>
                    </a:xfrm>
                    <a:prstGeom prst="rect">
                      <a:avLst/>
                    </a:prstGeom>
                    <a:noFill/>
                    <a:ln>
                      <a:noFill/>
                    </a:ln>
                  </pic:spPr>
                </pic:pic>
              </a:graphicData>
            </a:graphic>
          </wp:anchor>
        </w:drawing>
      </w:r>
      <w:r>
        <w:rPr>
          <w:rFonts w:hint="eastAsia"/>
          <w:b/>
        </w:rPr>
        <w:drawing>
          <wp:inline distT="0" distB="0" distL="0" distR="0">
            <wp:extent cx="5408930" cy="1810385"/>
            <wp:effectExtent l="0" t="0" r="1270" b="5715"/>
            <wp:docPr id="5" name="图片 5" descr="座椅安装线型示意图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座椅安装线型示意图2012"/>
                    <pic:cNvPicPr>
                      <a:picLocks noChangeAspect="1" noChangeArrowheads="1"/>
                    </pic:cNvPicPr>
                  </pic:nvPicPr>
                  <pic:blipFill>
                    <a:blip r:embed="rId11" cstate="print">
                      <a:extLst>
                        <a:ext uri="{28A0092B-C50C-407E-A947-70E740481C1C}">
                          <a14:useLocalDpi xmlns:a14="http://schemas.microsoft.com/office/drawing/2010/main" val="0"/>
                        </a:ext>
                      </a:extLst>
                    </a:blip>
                    <a:srcRect t="28599" r="762" b="29896"/>
                    <a:stretch>
                      <a:fillRect/>
                    </a:stretch>
                  </pic:blipFill>
                  <pic:spPr>
                    <a:xfrm>
                      <a:off x="0" y="0"/>
                      <a:ext cx="5408573" cy="1810773"/>
                    </a:xfrm>
                    <a:prstGeom prst="rect">
                      <a:avLst/>
                    </a:prstGeom>
                    <a:noFill/>
                    <a:ln>
                      <a:noFill/>
                    </a:ln>
                  </pic:spPr>
                </pic:pic>
              </a:graphicData>
            </a:graphic>
          </wp:inline>
        </w:drawing>
      </w:r>
    </w:p>
    <w:p>
      <w:pPr>
        <w:rPr>
          <w:b/>
        </w:rPr>
      </w:pPr>
    </w:p>
    <w:p>
      <w:r>
        <w:rPr>
          <w:rFonts w:hint="eastAsia" w:ascii="宋体" w:hAnsi="宋体"/>
          <w:b/>
        </w:rPr>
        <w:t>九、座椅颜色：</w:t>
      </w:r>
    </w:p>
    <w:p>
      <w:r>
        <w:rPr>
          <w:rFonts w:hint="eastAsia"/>
        </w:rPr>
        <w:t>由采购人指定五种（与奥运五环颜色一致），每种颜色座椅数量由采购人确定。</w:t>
      </w:r>
    </w:p>
    <w:p>
      <w:pPr>
        <w:rPr>
          <w:rFonts w:ascii="宋体" w:hAnsi="宋体"/>
          <w:b/>
        </w:rPr>
      </w:pPr>
      <w:r>
        <w:rPr>
          <w:rFonts w:hint="eastAsia" w:ascii="宋体" w:hAnsi="宋体"/>
          <w:b/>
        </w:rPr>
        <w:t>十、其他：</w:t>
      </w:r>
    </w:p>
    <w:p>
      <w:pPr>
        <w:rPr>
          <w:rFonts w:ascii="宋体" w:hAnsi="宋体"/>
        </w:rPr>
      </w:pPr>
      <w:r>
        <w:rPr>
          <w:rFonts w:hint="eastAsia" w:ascii="宋体" w:hAnsi="宋体"/>
        </w:rPr>
        <w:t>1.投标人必须在投标前到采购人处看样，保证投标产品的外形、尺寸、材料、质量等与采购人提供的样品一致。</w:t>
      </w:r>
    </w:p>
    <w:p>
      <w:pPr>
        <w:rPr>
          <w:rFonts w:ascii="宋体" w:hAnsi="宋体"/>
        </w:rPr>
      </w:pPr>
      <w:r>
        <w:rPr>
          <w:rFonts w:hint="eastAsia" w:ascii="宋体" w:hAnsi="宋体"/>
        </w:rPr>
        <w:t>2.投标人须承诺中标后无偿提供五种颜色椅面（不含底座）50座供采购人备用。</w:t>
      </w:r>
    </w:p>
    <w:p>
      <w:pPr>
        <w:pStyle w:val="13"/>
        <w:spacing w:line="560" w:lineRule="exact"/>
        <w:ind w:firstLine="640" w:firstLineChars="200"/>
        <w:jc w:val="center"/>
        <w:rPr>
          <w:rFonts w:hint="eastAsia" w:ascii="Times New Roman" w:hAnsi="Times New Roman" w:eastAsia="黑体"/>
          <w:sz w:val="32"/>
          <w:szCs w:val="32"/>
        </w:rPr>
      </w:pPr>
    </w:p>
    <w:p>
      <w:pPr>
        <w:pStyle w:val="13"/>
        <w:spacing w:line="560" w:lineRule="exact"/>
        <w:ind w:firstLine="640" w:firstLineChars="200"/>
        <w:jc w:val="center"/>
        <w:rPr>
          <w:rFonts w:hint="eastAsia" w:ascii="Times New Roman" w:hAnsi="Times New Roman" w:eastAsia="黑体"/>
          <w:sz w:val="32"/>
          <w:szCs w:val="32"/>
        </w:rPr>
      </w:pPr>
    </w:p>
    <w:p>
      <w:pPr>
        <w:pStyle w:val="13"/>
        <w:spacing w:line="560" w:lineRule="exact"/>
        <w:ind w:firstLine="640" w:firstLineChars="200"/>
        <w:jc w:val="center"/>
        <w:rPr>
          <w:rFonts w:hint="eastAsia" w:ascii="Times New Roman" w:hAnsi="Times New Roman" w:eastAsia="黑体"/>
          <w:sz w:val="32"/>
          <w:szCs w:val="32"/>
        </w:rPr>
      </w:pPr>
    </w:p>
    <w:p>
      <w:pPr>
        <w:pStyle w:val="13"/>
        <w:spacing w:line="560" w:lineRule="exact"/>
        <w:ind w:firstLine="640" w:firstLineChars="200"/>
        <w:jc w:val="center"/>
        <w:rPr>
          <w:rFonts w:hint="eastAsia" w:ascii="Times New Roman" w:hAnsi="Times New Roman" w:eastAsia="黑体"/>
          <w:sz w:val="32"/>
          <w:szCs w:val="32"/>
        </w:rPr>
      </w:pPr>
    </w:p>
    <w:p>
      <w:pPr>
        <w:pStyle w:val="13"/>
        <w:spacing w:line="560" w:lineRule="exact"/>
        <w:ind w:firstLine="640" w:firstLineChars="200"/>
        <w:jc w:val="center"/>
        <w:rPr>
          <w:rFonts w:hint="eastAsia" w:ascii="Times New Roman" w:hAnsi="Times New Roman" w:eastAsia="黑体"/>
          <w:sz w:val="32"/>
          <w:szCs w:val="32"/>
        </w:rPr>
      </w:pPr>
    </w:p>
    <w:p>
      <w:pPr>
        <w:pStyle w:val="13"/>
        <w:spacing w:line="560" w:lineRule="exact"/>
        <w:ind w:firstLine="640" w:firstLineChars="200"/>
        <w:jc w:val="center"/>
      </w:pPr>
      <w:r>
        <w:rPr>
          <w:rFonts w:hint="eastAsia" w:ascii="Times New Roman" w:hAnsi="Times New Roman" w:eastAsia="黑体"/>
          <w:sz w:val="32"/>
          <w:szCs w:val="32"/>
        </w:rPr>
        <w:t>二标段产品需求清单：</w:t>
      </w:r>
    </w:p>
    <w:tbl>
      <w:tblPr>
        <w:tblStyle w:val="23"/>
        <w:tblW w:w="13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5686"/>
        <w:gridCol w:w="1134"/>
        <w:gridCol w:w="851"/>
        <w:gridCol w:w="1559"/>
        <w:gridCol w:w="130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717" w:type="dxa"/>
            <w:gridSpan w:val="8"/>
            <w:vAlign w:val="center"/>
          </w:tcPr>
          <w:p>
            <w:pPr>
              <w:widowControl/>
              <w:jc w:val="center"/>
              <w:textAlignment w:val="center"/>
              <w:rPr>
                <w:rFonts w:ascii="宋体" w:hAnsi="宋体" w:cs="宋体"/>
                <w:b/>
                <w:bCs/>
                <w:color w:val="000000"/>
                <w:kern w:val="0"/>
              </w:rPr>
            </w:pPr>
            <w:r>
              <w:rPr>
                <w:rFonts w:hint="eastAsia" w:ascii="宋体" w:hAnsi="宋体" w:cs="宋体"/>
                <w:b/>
                <w:bCs/>
                <w:kern w:val="0"/>
                <w:sz w:val="32"/>
                <w:szCs w:val="32"/>
              </w:rPr>
              <w:t>1、体测中心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9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686"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5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30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252"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391" w:type="dxa"/>
            <w:vAlign w:val="center"/>
          </w:tcPr>
          <w:p>
            <w:pPr>
              <w:widowControl/>
              <w:jc w:val="center"/>
              <w:textAlignment w:val="center"/>
            </w:pPr>
            <w:r>
              <w:rPr>
                <w:rFonts w:hint="eastAsia"/>
              </w:rPr>
              <w:t>刷卡式自动测试设备</w:t>
            </w:r>
          </w:p>
          <w:p>
            <w:pPr>
              <w:pStyle w:val="21"/>
              <w:spacing w:before="156" w:after="156"/>
              <w:ind w:firstLine="0" w:firstLineChars="0"/>
              <w:rPr>
                <w:rFonts w:ascii="Times New Roman" w:hAnsi="宋体" w:eastAsia="宋体"/>
                <w:b/>
                <w:bCs/>
                <w:kern w:val="0"/>
                <w:sz w:val="21"/>
                <w:szCs w:val="21"/>
              </w:rPr>
            </w:pPr>
            <w:r>
              <w:rPr>
                <w:rFonts w:hint="eastAsia" w:ascii="Times New Roman" w:hAnsi="宋体" w:eastAsia="宋体"/>
                <w:b/>
                <w:bCs/>
                <w:color w:val="0000FF"/>
                <w:kern w:val="0"/>
                <w:sz w:val="21"/>
                <w:szCs w:val="21"/>
              </w:rPr>
              <w:t>(核心产品）</w:t>
            </w:r>
          </w:p>
          <w:p>
            <w:pPr>
              <w:pStyle w:val="2"/>
            </w:pPr>
          </w:p>
        </w:tc>
        <w:tc>
          <w:tcPr>
            <w:tcW w:w="5686" w:type="dxa"/>
            <w:vAlign w:val="center"/>
          </w:tcPr>
          <w:p>
            <w:pPr>
              <w:widowControl/>
              <w:jc w:val="left"/>
              <w:rPr>
                <w:rFonts w:ascii="宋体" w:hAnsi="宋体" w:cs="宋体"/>
                <w:color w:val="000000"/>
                <w:kern w:val="0"/>
              </w:rPr>
            </w:pPr>
            <w:r>
              <w:rPr>
                <w:rFonts w:hint="eastAsia" w:ascii="宋体" w:hAnsi="宋体" w:cs="宋体"/>
                <w:color w:val="000000"/>
              </w:rPr>
              <w:t>中心工作站</w:t>
            </w:r>
            <w:r>
              <w:rPr>
                <w:rFonts w:hint="eastAsia" w:ascii="宋体" w:hAnsi="宋体" w:cs="宋体"/>
                <w:color w:val="000000"/>
                <w:kern w:val="0"/>
              </w:rPr>
              <w:t>技术参数：</w:t>
            </w:r>
          </w:p>
          <w:p>
            <w:pPr>
              <w:widowControl/>
              <w:ind w:firstLine="420" w:firstLineChars="200"/>
              <w:jc w:val="left"/>
              <w:rPr>
                <w:rFonts w:ascii="宋体" w:hAnsi="宋体" w:cs="宋体"/>
                <w:color w:val="000000"/>
                <w:kern w:val="0"/>
              </w:rPr>
            </w:pPr>
            <w:r>
              <w:rPr>
                <w:rFonts w:ascii="宋体" w:hAnsi="宋体" w:cs="宋体"/>
                <w:color w:val="000000"/>
                <w:kern w:val="0"/>
              </w:rPr>
              <w:t>将监测得到的各项数据进行对比运算，根据运算结果给出受试者的形态、技能、素质类状况的单项指标、综合体之的评分和评价。并根据各项指标在综合评定中权重，给出相匹配的质综合评价报告和运动处方。并具有雷达</w:t>
            </w:r>
            <w:r>
              <w:rPr>
                <w:rFonts w:hint="eastAsia" w:ascii="宋体" w:hAnsi="宋体" w:cs="宋体"/>
                <w:color w:val="000000"/>
                <w:kern w:val="0"/>
              </w:rPr>
              <w:t>图分析、风险提示和重点关注项目提示功能。</w:t>
            </w:r>
          </w:p>
          <w:p>
            <w:pPr>
              <w:widowControl/>
              <w:ind w:firstLine="420" w:firstLineChars="200"/>
              <w:jc w:val="left"/>
              <w:rPr>
                <w:rFonts w:ascii="宋体" w:hAnsi="宋体" w:cs="宋体"/>
                <w:color w:val="000000"/>
                <w:kern w:val="0"/>
              </w:rPr>
            </w:pPr>
            <w:r>
              <w:rPr>
                <w:rFonts w:hint="eastAsia" w:ascii="宋体" w:hAnsi="宋体" w:cs="宋体"/>
                <w:color w:val="000000"/>
                <w:kern w:val="0"/>
              </w:rPr>
              <w:t>软件主要功能：名单管理、数据采集与评价包括：成人、学生、体质测定、电子问卷、人体成分分析仪、超声骨密度仪、自动血压计、功率自行车测试仪和平衡能力分析仪等设备连接并具有扩展功能，并能给出运动处方。具备数据管理与分项统计、打印与到处功能、测试数据可直接上报体质健康管理系统网络平台上管理，并可以于全国总工会职工健康管理网络平台对接。</w:t>
            </w:r>
          </w:p>
          <w:p>
            <w:pPr>
              <w:jc w:val="left"/>
              <w:rPr>
                <w:rFonts w:ascii="宋体" w:hAnsi="宋体" w:cs="宋体"/>
                <w:b/>
                <w:u w:val="single"/>
              </w:rPr>
            </w:pPr>
            <w:r>
              <w:rPr>
                <w:rFonts w:hint="eastAsia" w:ascii="宋体" w:hAnsi="宋体" w:cs="宋体"/>
              </w:rPr>
              <w:t>★</w:t>
            </w:r>
            <w:r>
              <w:rPr>
                <w:rFonts w:hint="eastAsia" w:ascii="宋体" w:hAnsi="宋体" w:cs="宋体"/>
                <w:bCs/>
                <w:kern w:val="0"/>
              </w:rPr>
              <w:t>工作站快捷按钮：提供十余个快捷功能按钮，包含：测试状态展示、注册、写卡、打印、统计、单位等。</w:t>
            </w:r>
            <w:r>
              <w:rPr>
                <w:rFonts w:hint="eastAsia" w:ascii="宋体" w:hAnsi="宋体" w:cs="宋体"/>
                <w:b/>
                <w:bCs/>
                <w:kern w:val="0"/>
              </w:rPr>
              <w:t>工作站内置身份证阅读器，</w:t>
            </w:r>
            <w:r>
              <w:rPr>
                <w:rFonts w:hint="eastAsia" w:ascii="宋体" w:hAnsi="宋体" w:cs="宋体"/>
                <w:b/>
                <w:u w:val="single"/>
              </w:rPr>
              <w:t>使测试前期的录入环节大大节约时间。</w:t>
            </w:r>
          </w:p>
          <w:p>
            <w:pPr>
              <w:tabs>
                <w:tab w:val="left" w:pos="1155"/>
              </w:tabs>
              <w:rPr>
                <w:rFonts w:ascii="宋体" w:hAnsi="宋体" w:cs="宋体"/>
                <w:b/>
                <w:bCs/>
                <w:kern w:val="0"/>
              </w:rPr>
            </w:pPr>
            <w:r>
              <w:rPr>
                <w:rFonts w:hint="eastAsia" w:ascii="宋体" w:hAnsi="宋体" w:cs="宋体"/>
                <w:b/>
                <w:color w:val="000000"/>
                <w:kern w:val="0"/>
                <w:u w:val="single"/>
              </w:rPr>
              <w:t>内置测试人员测试前期的电子问卷调查系统，保证每一位受试者在身体条件允许和安全的状态下进行测试</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双屏同步操作：支持工作人员操作和自助操作。</w:t>
            </w:r>
          </w:p>
          <w:p>
            <w:pPr>
              <w:widowControl/>
              <w:adjustRightInd w:val="0"/>
              <w:snapToGrid w:val="0"/>
              <w:jc w:val="left"/>
              <w:rPr>
                <w:rFonts w:ascii="宋体" w:hAnsi="宋体" w:cs="宋体"/>
                <w:bCs/>
                <w:kern w:val="0"/>
              </w:rPr>
            </w:pPr>
            <w:r>
              <w:rPr>
                <w:rFonts w:hint="eastAsia" w:ascii="宋体" w:hAnsi="宋体" w:cs="宋体"/>
                <w:bCs/>
                <w:kern w:val="0"/>
              </w:rPr>
              <w:t>数据采集方式：支持网络、蓝牙、无线等多种数据采集方式。</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运动项目优先级自定义：可根据用户需要随时自行维护优先运动项目。</w:t>
            </w:r>
          </w:p>
          <w:p>
            <w:pPr>
              <w:widowControl/>
              <w:ind w:firstLine="420" w:firstLineChars="200"/>
              <w:jc w:val="left"/>
              <w:rPr>
                <w:rFonts w:ascii="宋体" w:hAnsi="宋体" w:cs="宋体"/>
                <w:color w:val="000000"/>
                <w:kern w:val="0"/>
              </w:rPr>
            </w:pPr>
            <w:r>
              <w:rPr>
                <w:rFonts w:hint="eastAsia" w:ascii="宋体" w:hAnsi="宋体" w:cs="宋体"/>
              </w:rPr>
              <w:t>★</w:t>
            </w:r>
            <w:r>
              <w:rPr>
                <w:rFonts w:hint="eastAsia" w:ascii="宋体" w:hAnsi="宋体" w:cs="Tahoma"/>
                <w:bCs/>
                <w:kern w:val="0"/>
              </w:rPr>
              <w:t>数据管理:具有数据统计、分析、导入、导出、数据备份(支持异地备份)、数据上传及上传云平台等管理功能。</w:t>
            </w:r>
          </w:p>
        </w:tc>
        <w:tc>
          <w:tcPr>
            <w:tcW w:w="1134" w:type="dxa"/>
            <w:vAlign w:val="center"/>
          </w:tcPr>
          <w:p>
            <w:pPr>
              <w:jc w:val="center"/>
              <w:rPr>
                <w:rFonts w:ascii="宋体" w:hAnsi="宋体" w:cs="宋体"/>
                <w:color w:val="000000"/>
                <w:kern w:val="0"/>
              </w:rPr>
            </w:pPr>
            <w:r>
              <w:rPr>
                <w:rFonts w:hint="eastAsia" w:ascii="宋体" w:hAnsi="宋体" w:cs="宋体"/>
                <w:position w:val="6"/>
              </w:rPr>
              <w:t>套</w:t>
            </w:r>
          </w:p>
        </w:tc>
        <w:tc>
          <w:tcPr>
            <w:tcW w:w="851" w:type="dxa"/>
            <w:vAlign w:val="center"/>
          </w:tcPr>
          <w:p>
            <w:pPr>
              <w:widowControl/>
              <w:ind w:firstLine="420" w:firstLineChars="200"/>
              <w:jc w:val="left"/>
              <w:rPr>
                <w:rFonts w:ascii="宋体" w:hAnsi="宋体" w:cs="宋体"/>
                <w:color w:val="000000"/>
                <w:kern w:val="0"/>
              </w:rPr>
            </w:pPr>
            <w:r>
              <w:rPr>
                <w:rFonts w:hint="eastAsia" w:ascii="宋体" w:hAnsi="宋体" w:cs="宋体"/>
                <w:color w:val="000000"/>
                <w:kern w:val="0"/>
              </w:rPr>
              <w:t>1</w:t>
            </w:r>
          </w:p>
        </w:tc>
        <w:tc>
          <w:tcPr>
            <w:tcW w:w="1559" w:type="dxa"/>
            <w:vAlign w:val="center"/>
          </w:tcPr>
          <w:p>
            <w:pPr>
              <w:widowControl/>
              <w:ind w:firstLine="420" w:firstLineChars="200"/>
              <w:jc w:val="left"/>
              <w:rPr>
                <w:rFonts w:ascii="宋体" w:hAnsi="宋体" w:cs="宋体"/>
                <w:color w:val="000000"/>
                <w:kern w:val="0"/>
              </w:rPr>
            </w:pPr>
          </w:p>
          <w:p>
            <w:pPr>
              <w:widowControl/>
              <w:ind w:firstLine="420" w:firstLineChars="200"/>
              <w:jc w:val="left"/>
              <w:rPr>
                <w:rFonts w:ascii="宋体" w:hAnsi="宋体" w:cs="宋体"/>
                <w:color w:val="000000"/>
                <w:kern w:val="0"/>
              </w:rPr>
            </w:pPr>
          </w:p>
          <w:p>
            <w:pPr>
              <w:widowControl/>
              <w:ind w:firstLine="420" w:firstLineChars="200"/>
              <w:rPr>
                <w:rFonts w:ascii="宋体" w:hAnsi="宋体" w:cs="宋体"/>
                <w:color w:val="000000"/>
                <w:kern w:val="0"/>
              </w:rPr>
            </w:pPr>
            <w:r>
              <w:rPr>
                <w:rFonts w:hint="eastAsia" w:ascii="宋体" w:hAnsi="宋体" w:cs="宋体"/>
                <w:color w:val="000000"/>
                <w:kern w:val="0"/>
              </w:rPr>
              <w:t>健民、</w:t>
            </w:r>
          </w:p>
          <w:p>
            <w:pPr>
              <w:widowControl/>
              <w:ind w:firstLine="420" w:firstLineChars="200"/>
              <w:rPr>
                <w:rFonts w:ascii="宋体" w:hAnsi="宋体" w:cs="宋体"/>
                <w:color w:val="000000"/>
                <w:kern w:val="0"/>
              </w:rPr>
            </w:pPr>
            <w:r>
              <w:rPr>
                <w:rFonts w:hint="eastAsia" w:ascii="宋体" w:hAnsi="宋体" w:cs="宋体"/>
                <w:color w:val="000000"/>
                <w:kern w:val="0"/>
              </w:rPr>
              <w:t>鑫美华</w:t>
            </w:r>
          </w:p>
          <w:p>
            <w:pPr>
              <w:widowControl/>
              <w:ind w:firstLine="420" w:firstLineChars="200"/>
              <w:rPr>
                <w:rFonts w:ascii="宋体" w:hAnsi="宋体" w:cs="宋体"/>
                <w:color w:val="000000"/>
                <w:kern w:val="0"/>
              </w:rPr>
            </w:pPr>
            <w:r>
              <w:rPr>
                <w:rFonts w:ascii="宋体" w:hAnsi="宋体" w:cs="宋体"/>
                <w:color w:val="000000"/>
                <w:kern w:val="0"/>
              </w:rPr>
              <w:t>滕顺</w:t>
            </w:r>
          </w:p>
          <w:p>
            <w:pPr>
              <w:widowControl/>
              <w:ind w:firstLine="420" w:firstLineChars="200"/>
              <w:rPr>
                <w:rFonts w:ascii="宋体" w:hAnsi="宋体" w:cs="宋体"/>
                <w:color w:val="000000"/>
                <w:kern w:val="0"/>
              </w:rPr>
            </w:pP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坐位体前屈测试仪</w:t>
            </w:r>
          </w:p>
        </w:tc>
        <w:tc>
          <w:tcPr>
            <w:tcW w:w="5686" w:type="dxa"/>
            <w:vAlign w:val="center"/>
          </w:tcPr>
          <w:p>
            <w:pPr>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量程：-20㎝～40㎝，分度值：0.1㎝，误差：±.1㎝</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spacing w:line="320" w:lineRule="exact"/>
              <w:rPr>
                <w:rFonts w:ascii="宋体" w:hAnsi="宋体"/>
              </w:rPr>
            </w:pPr>
            <w:r>
              <w:rPr>
                <w:rFonts w:hint="eastAsia" w:ascii="宋体" w:hAnsi="宋体"/>
              </w:rPr>
              <w:t>测试人体腰、髋、柔韧性的测试器材，采用测试推拉板测试，无惯性；抗疲劳试验十万次以上。</w:t>
            </w:r>
          </w:p>
          <w:p>
            <w:pPr>
              <w:spacing w:before="64" w:beforeLines="20" w:after="64"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cs="宋体"/>
              </w:rPr>
              <w:t>▲</w:t>
            </w:r>
            <w:r>
              <w:rPr>
                <w:rFonts w:hint="eastAsia" w:ascii="宋体" w:hAnsi="宋体"/>
              </w:rPr>
              <w:t>2）主机三重备份数据功能，防止数据丢失，测试数据自动存储在主机里；并能储存40000条以上学生信息和成绩。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spacing w:line="320" w:lineRule="exact"/>
              <w:rPr>
                <w:rFonts w:ascii="宋体" w:hAnsi="宋体"/>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宋体" w:hAnsi="宋体" w:cs="宋体"/>
                <w:color w:val="000000"/>
                <w:kern w:val="0"/>
              </w:rPr>
            </w:pPr>
            <w:r>
              <w:rPr>
                <w:rFonts w:hint="eastAsia" w:ascii="宋体" w:hAnsi="宋体" w:cs="宋体"/>
                <w:color w:val="000000"/>
                <w:kern w:val="0"/>
              </w:rPr>
              <w:t>健民、</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 xml:space="preserve">鑫美华 </w:t>
            </w:r>
          </w:p>
          <w:p>
            <w:r>
              <w:rPr>
                <w:rFonts w:hint="eastAsia" w:ascii="宋体" w:hAnsi="宋体" w:cs="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仰卧起坐测试仪</w:t>
            </w:r>
          </w:p>
        </w:tc>
        <w:tc>
          <w:tcPr>
            <w:tcW w:w="5686" w:type="dxa"/>
            <w:vAlign w:val="center"/>
          </w:tcPr>
          <w:p>
            <w:pPr>
              <w:spacing w:before="64" w:beforeLines="20" w:after="64" w:afterLines="20" w:line="280" w:lineRule="exac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量程：0-99次          精度值：1次            误差：</w:t>
            </w:r>
            <w:r>
              <w:rPr>
                <w:rFonts w:hint="eastAsia" w:asciiTheme="minorEastAsia" w:hAnsiTheme="minorEastAsia" w:eastAsiaTheme="minorEastAsia" w:cstheme="minorEastAsia"/>
                <w:kern w:val="0"/>
              </w:rPr>
              <w:t>±1次</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工作环境温度：-15～40℃，湿度：≤90%。</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存储环境：温度：-30～50℃，湿度：≤75%。</w:t>
            </w:r>
          </w:p>
          <w:p>
            <w:pPr>
              <w:spacing w:before="64" w:beforeLines="20" w:after="64" w:afterLines="20"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智能网络学生体质健康测试设备，其设计、生产完全符合GB/T 19851.12-2005</w:t>
            </w:r>
            <w:r>
              <w:rPr>
                <w:rFonts w:hint="eastAsia" w:asciiTheme="minorEastAsia" w:hAnsiTheme="minorEastAsia" w:eastAsiaTheme="minorEastAsia" w:cstheme="minorEastAsia"/>
                <w:kern w:val="0"/>
              </w:rPr>
              <w:t>标准</w:t>
            </w:r>
            <w:r>
              <w:rPr>
                <w:rFonts w:hint="eastAsia" w:asciiTheme="minorEastAsia" w:hAnsiTheme="minorEastAsia" w:eastAsiaTheme="minorEastAsia" w:cstheme="minorEastAsia"/>
              </w:rPr>
              <w:t>要求进行，只需输学号或者测试号就可完成测试。</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▲2）主机三重备份数据功能，防止数据丢失，测试数据自动存储在主机里；并能储存40000条以上学生信息和成绩。</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rPr>
              <w:t>具有有线和无线网络数据实时或者集中批量传输功能，测试数据可实时传输至数据上报软件中。</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4）主机材质为ABS白色塑料壳体，主机轮廓长≥32cm、宽≥27cm、高≥10cm，采用翻盖、防尘、便携设计、方便在任意地点分散测试，提高测试效率。</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5）测试部件为高强度铝合金材质，安全性高，抗腐蚀，整体提高测试传感部件的寿命。</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6）每台主机配备塑料便携工作桌，可拆卸，方便固定主机工作。</w:t>
            </w:r>
          </w:p>
          <w:p>
            <w:pPr>
              <w:spacing w:line="3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7）产品具有国家认可的检验报告及国体认证证书，且在有效期内。</w:t>
            </w:r>
          </w:p>
          <w:p>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r>
              <w:rPr>
                <w:rFonts w:hint="eastAsia" w:asciiTheme="minorEastAsia" w:hAnsiTheme="minorEastAsia" w:eastAsiaTheme="minorEastAsia" w:cstheme="minorEastAsia"/>
              </w:rPr>
              <w:t>交直流两用。且在无交流情况下主机仍可连续工作10小时以上。</w:t>
            </w:r>
          </w:p>
        </w:tc>
        <w:tc>
          <w:tcPr>
            <w:tcW w:w="1134"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position w:val="6"/>
              </w:rPr>
              <w:t>台</w:t>
            </w:r>
          </w:p>
        </w:tc>
        <w:tc>
          <w:tcPr>
            <w:tcW w:w="851"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kern w:val="0"/>
              </w:rPr>
              <w:t>20</w:t>
            </w:r>
          </w:p>
        </w:tc>
        <w:tc>
          <w:tcPr>
            <w:tcW w:w="1559" w:type="dxa"/>
            <w:vAlign w:val="center"/>
          </w:tcPr>
          <w:p>
            <w:pPr>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4</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身高体重测量仪</w:t>
            </w:r>
          </w:p>
        </w:tc>
        <w:tc>
          <w:tcPr>
            <w:tcW w:w="5686" w:type="dxa"/>
            <w:vAlign w:val="center"/>
          </w:tcPr>
          <w:p>
            <w:pPr>
              <w:widowControl/>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kern w:val="0"/>
              </w:rPr>
              <w:t>身高量程：90㎝～210㎝   分度值：0.1㎝  误差：±0.2㎝</w:t>
            </w:r>
          </w:p>
          <w:p>
            <w:pPr>
              <w:widowControl/>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kern w:val="0"/>
              </w:rPr>
              <w:t>体重量程：5～200㎏      分度值：0.1㎏    误差：±0.3%</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工作环境温度：-15～40℃，湿度：≤90%。</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存储环境：温度：-30～50℃，湿度：≤75%。</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身高：水平压板自动升降控制，</w:t>
            </w:r>
          </w:p>
          <w:p>
            <w:pPr>
              <w:rPr>
                <w:rFonts w:asciiTheme="minorEastAsia" w:hAnsiTheme="minorEastAsia" w:eastAsiaTheme="minorEastAsia" w:cstheme="minorEastAsia"/>
              </w:rPr>
            </w:pPr>
            <w:r>
              <w:rPr>
                <w:rFonts w:hint="eastAsia" w:asciiTheme="minorEastAsia" w:hAnsiTheme="minorEastAsia" w:eastAsiaTheme="minorEastAsia" w:cstheme="minorEastAsia"/>
              </w:rPr>
              <w:t>体重平台为平面设计，保证任意一点都可测出受试者的体重，并所得数值一样。</w:t>
            </w:r>
          </w:p>
          <w:p>
            <w:pPr>
              <w:spacing w:before="64" w:beforeLines="20" w:after="64" w:afterLines="20"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智能网络学生体质健康测试设备，其设计、生产完全符合GB/T 19851.12-2005</w:t>
            </w:r>
            <w:r>
              <w:rPr>
                <w:rFonts w:hint="eastAsia" w:asciiTheme="minorEastAsia" w:hAnsiTheme="minorEastAsia" w:eastAsiaTheme="minorEastAsia" w:cstheme="minorEastAsia"/>
                <w:kern w:val="0"/>
              </w:rPr>
              <w:t>标准</w:t>
            </w:r>
            <w:r>
              <w:rPr>
                <w:rFonts w:hint="eastAsia" w:asciiTheme="minorEastAsia" w:hAnsiTheme="minorEastAsia" w:eastAsiaTheme="minorEastAsia" w:cstheme="minorEastAsia"/>
              </w:rPr>
              <w:t>要求进行，只需输学号或者测试号就可完成测试。</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2）主机三重备份数据功能，防止数据丢失，测试数据自动存储在主机里；并能储存40000条以上学生信息和成绩。</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rPr>
              <w:t>具有有线和无线网络数据实时或者集中批量传输功能，测试数据可实时传输至数据上报软件中。</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4）主机材质为ABS白色塑料壳体，主机轮廓长≥32cm、宽≥27cm、高≥10cm，采用翻盖、防尘、便携设计、方便在任意地点分散测试，提高测试效率。</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5）测试部件为高强度铝合金材质，安全性高，抗腐蚀，整体提高测试传感部件的寿命。</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6）每台主机配备塑料便携工作桌，可拆卸，方便固定主机工作。</w:t>
            </w:r>
          </w:p>
          <w:p>
            <w:pPr>
              <w:spacing w:line="3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7）产品具有国家认可的检验报告及国体认证证书，且在有效期内。</w:t>
            </w:r>
          </w:p>
          <w:p>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r>
              <w:rPr>
                <w:rFonts w:hint="eastAsia" w:asciiTheme="minorEastAsia" w:hAnsiTheme="minorEastAsia" w:eastAsiaTheme="minorEastAsia" w:cstheme="minorEastAsia"/>
              </w:rPr>
              <w:t>交直流两用。且在无交流情况下主机仍可连续工作10小时以上。</w:t>
            </w:r>
          </w:p>
        </w:tc>
        <w:tc>
          <w:tcPr>
            <w:tcW w:w="1134"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position w:val="6"/>
              </w:rPr>
              <w:t>台</w:t>
            </w:r>
          </w:p>
        </w:tc>
        <w:tc>
          <w:tcPr>
            <w:tcW w:w="851"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kern w:val="0"/>
              </w:rPr>
              <w:t>6</w:t>
            </w:r>
          </w:p>
        </w:tc>
        <w:tc>
          <w:tcPr>
            <w:tcW w:w="1559" w:type="dxa"/>
            <w:vAlign w:val="center"/>
          </w:tcPr>
          <w:p>
            <w:pPr>
              <w:jc w:val="left"/>
              <w:rPr>
                <w:rFonts w:asciiTheme="minorEastAsia" w:hAnsiTheme="minorEastAsia" w:eastAsiaTheme="minorEastAsia" w:cstheme="minorEastAsia"/>
              </w:rPr>
            </w:pPr>
          </w:p>
          <w:p>
            <w:pPr>
              <w:widowControl/>
              <w:jc w:val="left"/>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5</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肺活量测试仪</w:t>
            </w:r>
          </w:p>
        </w:tc>
        <w:tc>
          <w:tcPr>
            <w:tcW w:w="5686" w:type="dxa"/>
            <w:vAlign w:val="center"/>
          </w:tcPr>
          <w:p>
            <w:pPr>
              <w:rPr>
                <w:rFonts w:ascii="宋体" w:hAnsi="宋体"/>
              </w:rPr>
            </w:pPr>
            <w:r>
              <w:rPr>
                <w:rFonts w:ascii="宋体" w:hAnsi="宋体" w:cs="Arial"/>
                <w:color w:val="000000"/>
              </w:rPr>
              <w:t>肺活量是指一次深吸气后的最大呼出的气体容积</w:t>
            </w:r>
            <w:r>
              <w:rPr>
                <w:rFonts w:hint="eastAsia" w:ascii="宋体" w:hAnsi="宋体" w:cs="Arial"/>
                <w:color w:val="000000"/>
              </w:rPr>
              <w:t>，</w:t>
            </w:r>
            <w:r>
              <w:rPr>
                <w:rFonts w:hint="eastAsia" w:ascii="宋体" w:hAnsi="宋体"/>
              </w:rPr>
              <w:t>反映了肺的容积和扩张能力</w:t>
            </w:r>
          </w:p>
          <w:p>
            <w:pPr>
              <w:tabs>
                <w:tab w:val="left" w:pos="10605"/>
              </w:tabs>
              <w:spacing w:line="240" w:lineRule="exact"/>
              <w:rPr>
                <w:rFonts w:ascii="宋体" w:hAnsi="宋体"/>
                <w:bCs/>
              </w:rPr>
            </w:pPr>
            <w:r>
              <w:rPr>
                <w:rFonts w:hint="eastAsia" w:ascii="宋体" w:hAnsi="宋体"/>
              </w:rPr>
              <w:t>显示受试者的肺活量值并自动将此数值锁定，最终选取最优成绩；并能够测出人体吹气微小的余量。</w:t>
            </w:r>
          </w:p>
          <w:p>
            <w:pPr>
              <w:rPr>
                <w:rFonts w:ascii="宋体" w:hAnsi="宋体"/>
                <w:color w:val="000000"/>
              </w:rPr>
            </w:pPr>
            <w:r>
              <w:rPr>
                <w:rFonts w:hint="eastAsia" w:ascii="宋体" w:hAnsi="宋体" w:cs="宋体"/>
                <w:kern w:val="0"/>
                <w:shd w:val="clear" w:color="auto" w:fill="FFFFFF"/>
              </w:rPr>
              <w:t>★</w:t>
            </w:r>
            <w:r>
              <w:rPr>
                <w:rFonts w:hint="eastAsia" w:ascii="宋体" w:hAnsi="宋体"/>
                <w:color w:val="000000"/>
              </w:rPr>
              <w:t>量程：1</w:t>
            </w:r>
            <w:r>
              <w:rPr>
                <w:rFonts w:ascii="宋体" w:hAnsi="宋体"/>
                <w:color w:val="000000"/>
              </w:rPr>
              <w:t>0</w:t>
            </w:r>
            <w:r>
              <w:rPr>
                <w:rFonts w:hint="eastAsia" w:ascii="宋体" w:hAnsi="宋体"/>
                <w:color w:val="000000"/>
              </w:rPr>
              <w:t>mL～9999</w:t>
            </w:r>
            <w:r>
              <w:rPr>
                <w:rFonts w:ascii="宋体" w:hAnsi="宋体"/>
                <w:color w:val="000000"/>
              </w:rPr>
              <w:t xml:space="preserve">ml </w:t>
            </w:r>
            <w:r>
              <w:rPr>
                <w:rFonts w:hint="eastAsia" w:ascii="宋体" w:hAnsi="宋体"/>
                <w:color w:val="000000"/>
              </w:rPr>
              <w:t xml:space="preserve">     分度值：1</w:t>
            </w:r>
            <w:r>
              <w:rPr>
                <w:rFonts w:ascii="宋体" w:hAnsi="宋体"/>
                <w:color w:val="000000"/>
              </w:rPr>
              <w:t>ml</w:t>
            </w:r>
            <w:r>
              <w:rPr>
                <w:rFonts w:hint="eastAsia" w:ascii="宋体" w:hAnsi="宋体"/>
                <w:color w:val="000000"/>
              </w:rPr>
              <w:t xml:space="preserve">       精度：±2.5%</w:t>
            </w:r>
          </w:p>
          <w:p>
            <w:pPr>
              <w:widowControl/>
              <w:jc w:val="left"/>
              <w:rPr>
                <w:rFonts w:ascii="宋体" w:hAnsi="宋体"/>
              </w:rPr>
            </w:pPr>
            <w:r>
              <w:rPr>
                <w:rFonts w:hint="eastAsia" w:ascii="宋体" w:hAnsi="宋体"/>
              </w:rPr>
              <w:t>工作环境温度：-15～40℃，    湿度：≤90%。</w:t>
            </w:r>
          </w:p>
          <w:p>
            <w:pPr>
              <w:spacing w:line="320" w:lineRule="exact"/>
              <w:rPr>
                <w:rFonts w:ascii="宋体" w:hAnsi="宋体"/>
              </w:rPr>
            </w:pPr>
            <w:r>
              <w:rPr>
                <w:rFonts w:hint="eastAsia" w:ascii="宋体" w:hAnsi="宋体"/>
              </w:rPr>
              <w:t>存储环境：温度：-30～50℃，  湿度：≤75%。</w:t>
            </w:r>
          </w:p>
          <w:p>
            <w:pPr>
              <w:tabs>
                <w:tab w:val="left" w:pos="10605"/>
              </w:tabs>
              <w:spacing w:line="240" w:lineRule="exact"/>
              <w:rPr>
                <w:rFonts w:ascii="宋体" w:hAnsi="宋体"/>
                <w:bCs/>
              </w:rPr>
            </w:pPr>
            <w:r>
              <w:rPr>
                <w:rFonts w:hint="eastAsia" w:ascii="宋体" w:hAnsi="宋体"/>
                <w:bCs/>
              </w:rPr>
              <w:t>显　　示：中文显示　　　　　 无线数据传输距离≥200m</w:t>
            </w:r>
          </w:p>
          <w:p>
            <w:pPr>
              <w:spacing w:before="64" w:beforeLines="20" w:after="64"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要求进行，只需输测试号或者刷非接触式射频卡就可完成测试，且测试号自动递增。可扩展扫描条形码录入，学校学生一卡通录入，指纹录入学生个人信息。</w:t>
            </w:r>
          </w:p>
          <w:p>
            <w:pPr>
              <w:spacing w:line="320" w:lineRule="exact"/>
              <w:rPr>
                <w:rFonts w:ascii="宋体" w:hAnsi="宋体"/>
              </w:rPr>
            </w:pPr>
            <w:r>
              <w:rPr>
                <w:rFonts w:hint="eastAsia" w:ascii="宋体" w:hAnsi="宋体"/>
              </w:rPr>
              <w:t>1）主机屏幕。7寸可触摸彩色液晶屏幕，背光设计，可开关，适合任何光线下使用，带有实时时钟，中文显示测试者姓名、编号和测试成绩。测试过程全程语音提示，音量可调节或关闭，成绩可查询，测试次数可自主设定；输入测试者编号的位数可任意设定，最多可达到20位。</w:t>
            </w:r>
          </w:p>
          <w:p>
            <w:pPr>
              <w:spacing w:line="320" w:lineRule="exact"/>
              <w:rPr>
                <w:rFonts w:ascii="宋体" w:hAnsi="宋体"/>
              </w:rPr>
            </w:pPr>
            <w:r>
              <w:rPr>
                <w:rFonts w:hint="eastAsia" w:ascii="宋体" w:hAnsi="宋体"/>
              </w:rPr>
              <w:t>2）主机开机自动标定，测试数据三重备份数据功能，防止数据丢失，测试数据自动存储在主机里；并能储存40000条以上学生信息和成绩。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具有有线和无线网络数据实时或者集中批量传输功能，测试数据也可实时传输至数据采集软件中。</w:t>
            </w:r>
          </w:p>
          <w:p>
            <w:pPr>
              <w:spacing w:line="320" w:lineRule="exact"/>
              <w:rPr>
                <w:rFonts w:ascii="宋体" w:hAnsi="宋体"/>
              </w:rPr>
            </w:pPr>
            <w:r>
              <w:rPr>
                <w:rFonts w:hint="eastAsia" w:ascii="宋体" w:hAnsi="宋体"/>
              </w:rPr>
              <w:t>4）主机材质为ABS白色塑料壳体，主机轮廓长≥25cm、宽≥20cm、高≥8cm，采用便携设计、方便在任意地点分散测试，提高测试效率。</w:t>
            </w:r>
          </w:p>
          <w:p>
            <w:pPr>
              <w:spacing w:line="320" w:lineRule="exact"/>
              <w:rPr>
                <w:rFonts w:ascii="宋体" w:hAnsi="宋体"/>
              </w:rPr>
            </w:pPr>
            <w:r>
              <w:rPr>
                <w:rFonts w:hint="eastAsia" w:ascii="宋体" w:hAnsi="宋体"/>
              </w:rPr>
              <w:t>5）每台主机配备塑料便携工作桌，可拆卸，方便固定主机工作安全性高，抗腐蚀，整体提高测试传感部件的寿命。</w:t>
            </w:r>
          </w:p>
          <w:p>
            <w:pPr>
              <w:spacing w:line="300" w:lineRule="exact"/>
              <w:rPr>
                <w:rFonts w:ascii="宋体" w:hAnsi="宋体"/>
              </w:rPr>
            </w:pPr>
            <w:r>
              <w:rPr>
                <w:rFonts w:hint="eastAsia" w:ascii="宋体" w:hAnsi="宋体"/>
              </w:rPr>
              <w:t>6）产品具有国家认可的检验报告及国体认证证书，且在有效期内。</w:t>
            </w:r>
          </w:p>
          <w:p>
            <w:pPr>
              <w:spacing w:line="320" w:lineRule="exact"/>
              <w:rPr>
                <w:rFonts w:ascii="宋体" w:hAnsi="宋体"/>
              </w:rPr>
            </w:pPr>
            <w:r>
              <w:rPr>
                <w:rFonts w:hint="eastAsia" w:ascii="宋体" w:hAnsi="宋体"/>
                <w:color w:val="000000"/>
              </w:rPr>
              <w:t>7）</w:t>
            </w:r>
            <w:r>
              <w:rPr>
                <w:rFonts w:hint="eastAsia" w:ascii="宋体" w:hAnsi="宋体"/>
              </w:rPr>
              <w:t>交直流两用。且在无交流情况下主机仍可连续工作10小时以上。</w:t>
            </w:r>
          </w:p>
          <w:p>
            <w:pPr>
              <w:spacing w:line="320" w:lineRule="exact"/>
              <w:rPr>
                <w:rFonts w:ascii="宋体" w:hAnsi="宋体"/>
              </w:rPr>
            </w:pPr>
            <w:r>
              <w:rPr>
                <w:rFonts w:hint="eastAsia" w:ascii="宋体" w:hAnsi="宋体"/>
              </w:rPr>
              <w:t>8）主机测试传感器采用专用的医疗导流，导气白色塑料软导管，即插即拆式设计，便于消毒，清理积液。</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bl>
    <w:p/>
    <w:tbl>
      <w:tblPr>
        <w:tblStyle w:val="23"/>
        <w:tblW w:w="14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263"/>
        <w:gridCol w:w="1034"/>
        <w:gridCol w:w="878"/>
        <w:gridCol w:w="1900"/>
        <w:gridCol w:w="117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187" w:type="dxa"/>
            <w:gridSpan w:val="8"/>
            <w:vAlign w:val="center"/>
          </w:tcPr>
          <w:p>
            <w:pPr>
              <w:widowControl/>
              <w:jc w:val="center"/>
              <w:textAlignment w:val="center"/>
              <w:rPr>
                <w:rFonts w:ascii="宋体" w:hAnsi="宋体" w:cs="宋体"/>
                <w:b/>
                <w:bCs/>
                <w:color w:val="000000"/>
                <w:kern w:val="0"/>
              </w:rPr>
            </w:pPr>
            <w:r>
              <w:rPr>
                <w:rFonts w:hint="eastAsia" w:eastAsia="黑体" w:cs="宋体"/>
                <w:kern w:val="0"/>
                <w:sz w:val="28"/>
                <w:szCs w:val="28"/>
              </w:rPr>
              <w:t>2、运动解剖实训室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1391"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263"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1034" w:type="dxa"/>
            <w:vAlign w:val="center"/>
          </w:tcPr>
          <w:p>
            <w:pPr>
              <w:widowControl/>
              <w:jc w:val="center"/>
              <w:textAlignment w:val="center"/>
              <w:rPr>
                <w:rFonts w:cs="宋体"/>
                <w:b/>
                <w:bCs/>
                <w:color w:val="000000"/>
              </w:rPr>
            </w:pPr>
            <w:r>
              <w:rPr>
                <w:rFonts w:hint="eastAsia" w:cs="宋体"/>
                <w:b/>
                <w:bCs/>
                <w:color w:val="000000"/>
                <w:kern w:val="0"/>
              </w:rPr>
              <w:t>单位</w:t>
            </w:r>
          </w:p>
        </w:tc>
        <w:tc>
          <w:tcPr>
            <w:tcW w:w="878" w:type="dxa"/>
            <w:vAlign w:val="center"/>
          </w:tcPr>
          <w:p>
            <w:pPr>
              <w:widowControl/>
              <w:jc w:val="center"/>
              <w:textAlignment w:val="center"/>
              <w:rPr>
                <w:rFonts w:cs="宋体"/>
                <w:b/>
                <w:bCs/>
                <w:color w:val="000000"/>
              </w:rPr>
            </w:pPr>
            <w:r>
              <w:rPr>
                <w:rFonts w:hint="eastAsia" w:cs="宋体"/>
                <w:b/>
                <w:bCs/>
                <w:color w:val="000000"/>
                <w:kern w:val="0"/>
              </w:rPr>
              <w:t>数量</w:t>
            </w:r>
          </w:p>
        </w:tc>
        <w:tc>
          <w:tcPr>
            <w:tcW w:w="1900" w:type="dxa"/>
            <w:vAlign w:val="center"/>
          </w:tcPr>
          <w:p>
            <w:pPr>
              <w:widowControl/>
              <w:jc w:val="center"/>
              <w:textAlignment w:val="center"/>
              <w:rPr>
                <w:rFonts w:cs="宋体"/>
                <w:b/>
                <w:bCs/>
                <w:color w:val="000000"/>
              </w:rPr>
            </w:pPr>
            <w:r>
              <w:rPr>
                <w:rFonts w:hint="eastAsia" w:cs="宋体"/>
                <w:b/>
                <w:bCs/>
                <w:color w:val="000000"/>
                <w:kern w:val="0"/>
              </w:rPr>
              <w:t>参考品牌</w:t>
            </w:r>
          </w:p>
        </w:tc>
        <w:tc>
          <w:tcPr>
            <w:tcW w:w="1177"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c>
          <w:tcPr>
            <w:tcW w:w="1000" w:type="dxa"/>
          </w:tcPr>
          <w:p>
            <w:pPr>
              <w:widowControl/>
              <w:jc w:val="center"/>
              <w:textAlignment w:val="center"/>
              <w:rPr>
                <w:rFonts w:cs="宋体"/>
                <w:b/>
                <w:bCs/>
                <w:color w:val="000000"/>
              </w:rPr>
            </w:pPr>
            <w:r>
              <w:rPr>
                <w:rFonts w:hint="eastAsia" w:ascii="宋体" w:hAnsi="宋体" w:cs="宋体"/>
                <w:b/>
                <w:bCs/>
                <w:color w:val="000000"/>
                <w:kern w:val="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center"/>
              <w:textAlignment w:val="center"/>
              <w:rPr>
                <w:rFonts w:cs="宋体"/>
                <w:color w:val="000000"/>
                <w:kern w:val="0"/>
              </w:rPr>
            </w:pPr>
            <w:r>
              <w:rPr>
                <w:rFonts w:hint="eastAsia" w:cs="宋体"/>
                <w:kern w:val="0"/>
              </w:rPr>
              <w:t>1</w:t>
            </w:r>
          </w:p>
        </w:tc>
        <w:tc>
          <w:tcPr>
            <w:tcW w:w="1391" w:type="dxa"/>
            <w:vAlign w:val="center"/>
          </w:tcPr>
          <w:p>
            <w:pPr>
              <w:widowControl/>
              <w:jc w:val="center"/>
              <w:textAlignment w:val="center"/>
              <w:rPr>
                <w:rFonts w:cs="宋体"/>
                <w:kern w:val="0"/>
              </w:rPr>
            </w:pPr>
            <w:r>
              <w:rPr>
                <w:rFonts w:hint="eastAsia" w:cs="宋体"/>
                <w:kern w:val="0"/>
              </w:rPr>
              <w:t>人体肌肉及胸腹腔脏器解剖模型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尺寸：缩小版，高不低于780mm；</w:t>
            </w:r>
          </w:p>
          <w:p>
            <w:pPr>
              <w:ind w:right="94"/>
              <w:rPr>
                <w:rFonts w:cs="宋体"/>
                <w:color w:val="000000" w:themeColor="text1"/>
                <w:kern w:val="0"/>
              </w:rPr>
            </w:pPr>
            <w:r>
              <w:rPr>
                <w:rFonts w:hint="eastAsia" w:cs="宋体"/>
                <w:color w:val="000000" w:themeColor="text1"/>
                <w:kern w:val="0"/>
              </w:rPr>
              <w:t>部件：27部件，固定在底座上；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功能：模型有全身肌肉、胸腹壁肌、上下肢肌，颅顶骨、脑以及胸腹腔内脏器官等27个部件组成，并显示头颈部、躯干部、上、下肢骨、肌肉、肌腱、韧带、胸腹腔器官、血管和脑等结构。共200多个部位标识；</w:t>
            </w:r>
          </w:p>
          <w:p>
            <w:pPr>
              <w:widowControl/>
              <w:jc w:val="left"/>
              <w:rPr>
                <w:rFonts w:cs="宋体"/>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高级颈椎附肌肉模型</w:t>
            </w:r>
          </w:p>
        </w:tc>
        <w:tc>
          <w:tcPr>
            <w:tcW w:w="6263" w:type="dxa"/>
            <w:vAlign w:val="center"/>
          </w:tcPr>
          <w:p>
            <w:pPr>
              <w:widowControl/>
              <w:jc w:val="left"/>
              <w:textAlignment w:val="center"/>
              <w:rPr>
                <w:rStyle w:val="60"/>
                <w:rFonts w:hint="default" w:ascii="Times New Roman" w:hAnsi="Times New Roman" w:eastAsia="宋体" w:cs="宋体"/>
                <w:color w:val="auto"/>
              </w:rPr>
            </w:pPr>
            <w:r>
              <w:rPr>
                <w:rFonts w:hint="eastAsia" w:cs="宋体"/>
                <w:kern w:val="0"/>
              </w:rPr>
              <w:t>成人自然大，医学教学模型，</w:t>
            </w:r>
            <w:r>
              <w:rPr>
                <w:rStyle w:val="50"/>
                <w:rFonts w:hint="default" w:ascii="Times New Roman" w:hAnsi="Times New Roman"/>
                <w:color w:val="auto"/>
              </w:rPr>
              <w:t>PVC</w:t>
            </w:r>
            <w:r>
              <w:rPr>
                <w:rStyle w:val="60"/>
                <w:rFonts w:hint="default" w:ascii="Times New Roman" w:hAnsi="Times New Roman" w:eastAsia="宋体" w:cs="宋体"/>
                <w:color w:val="auto"/>
              </w:rPr>
              <w:t>材质，有底架支撑。</w:t>
            </w:r>
          </w:p>
          <w:p>
            <w:pPr>
              <w:widowControl/>
              <w:jc w:val="left"/>
              <w:textAlignment w:val="center"/>
              <w:rPr>
                <w:rFonts w:cs="宋体"/>
                <w:color w:val="000000"/>
              </w:rPr>
            </w:pPr>
            <w:r>
              <w:rPr>
                <w:rFonts w:hint="eastAsia" w:cs="宋体"/>
                <w:color w:val="000000" w:themeColor="text1"/>
                <w:kern w:val="0"/>
              </w:rPr>
              <w:t>此模型为颈椎肌肉带脑干附神经模型。</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color w:val="000000"/>
                <w:kern w:val="0"/>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人体骨骼附肌肉起止点着色模型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尺寸：自然大，高不低于170cm；</w:t>
            </w:r>
          </w:p>
          <w:p>
            <w:pPr>
              <w:ind w:right="94"/>
              <w:rPr>
                <w:rFonts w:cs="宋体"/>
                <w:color w:val="000000" w:themeColor="text1"/>
                <w:kern w:val="0"/>
              </w:rPr>
            </w:pPr>
            <w:r>
              <w:rPr>
                <w:rFonts w:hint="eastAsia" w:cs="宋体"/>
                <w:color w:val="000000" w:themeColor="text1"/>
                <w:kern w:val="0"/>
              </w:rPr>
              <w:t>部件：由男性全身散骨串制而成一整体骨架；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功能：显示男性全身骨骼的组成和形态外观，其中四肢骨可以灵活组合，头颅骨和灵活组装，固定在支架上，带底座，可灵活移动。左半侧骨骼用不同颜色油漆标识出肌肉起止点位置；</w:t>
            </w:r>
          </w:p>
          <w:p>
            <w:pPr>
              <w:ind w:right="94"/>
              <w:rPr>
                <w:rFonts w:cs="宋体"/>
                <w:b/>
                <w:bCs/>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position w:val="6"/>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color w:val="000000"/>
                <w:kern w:val="0"/>
              </w:rPr>
              <w:t>4</w:t>
            </w:r>
          </w:p>
        </w:tc>
        <w:tc>
          <w:tcPr>
            <w:tcW w:w="1391" w:type="dxa"/>
            <w:vAlign w:val="center"/>
          </w:tcPr>
          <w:p>
            <w:pPr>
              <w:widowControl/>
              <w:jc w:val="center"/>
              <w:textAlignment w:val="center"/>
              <w:rPr>
                <w:rFonts w:cs="宋体"/>
                <w:kern w:val="0"/>
              </w:rPr>
            </w:pPr>
            <w:r>
              <w:rPr>
                <w:rFonts w:hint="eastAsia" w:cs="宋体"/>
                <w:kern w:val="0"/>
              </w:rPr>
              <w:t>人体骨杠杆分类模型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尺寸：自然大，≥600×440×130mm；</w:t>
            </w:r>
          </w:p>
          <w:p>
            <w:pPr>
              <w:ind w:right="94"/>
              <w:rPr>
                <w:rFonts w:cs="宋体"/>
                <w:color w:val="000000" w:themeColor="text1"/>
                <w:kern w:val="0"/>
              </w:rPr>
            </w:pPr>
            <w:r>
              <w:rPr>
                <w:rFonts w:hint="eastAsia" w:cs="宋体"/>
                <w:color w:val="000000" w:themeColor="text1"/>
                <w:kern w:val="0"/>
              </w:rPr>
              <w:t>部件：3部件，固定在木箱中；</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展示了三类骨杠杆的结构和形态，模型由头颅骨（含下颌骨）的矢状切，第1－5颈椎的矢状切，胫骨和腓骨下段、距骨、肱骨、前臂骨、手骨（示手舟骨、头状骨、第三掌骨和中指骨）等组成，分别贴于杠杆的支点、力点和阻力点等标签，可观察人体骨杠杆概念分类和三类骨杠杆的传递力、平衡力、省力以及增大运动幅度与速度等所起的作用；</w:t>
            </w:r>
          </w:p>
          <w:p>
            <w:pPr>
              <w:ind w:right="94"/>
              <w:rPr>
                <w:rFonts w:cs="宋体"/>
                <w:color w:val="000000"/>
              </w:rPr>
            </w:pPr>
            <w:r>
              <w:rPr>
                <w:rFonts w:hint="eastAsia" w:cs="宋体"/>
                <w:color w:val="000000" w:themeColor="text1"/>
                <w:kern w:val="0"/>
              </w:rPr>
              <w:t>材质：进口环保PVC材料，进口环保油漆</w:t>
            </w:r>
          </w:p>
        </w:tc>
        <w:tc>
          <w:tcPr>
            <w:tcW w:w="1034" w:type="dxa"/>
            <w:vAlign w:val="center"/>
          </w:tcPr>
          <w:p>
            <w:pPr>
              <w:widowControl/>
              <w:jc w:val="center"/>
              <w:textAlignment w:val="center"/>
              <w:rPr>
                <w:rFonts w:cs="宋体"/>
                <w:color w:val="000000"/>
                <w:kern w:val="0"/>
              </w:rPr>
            </w:pPr>
            <w:r>
              <w:rPr>
                <w:rFonts w:hint="eastAsia" w:cs="宋体"/>
                <w:kern w:val="0"/>
              </w:rPr>
              <w:t>套</w:t>
            </w:r>
          </w:p>
        </w:tc>
        <w:tc>
          <w:tcPr>
            <w:tcW w:w="878" w:type="dxa"/>
            <w:vAlign w:val="center"/>
          </w:tcPr>
          <w:p>
            <w:pPr>
              <w:widowControl/>
              <w:jc w:val="center"/>
              <w:textAlignment w:val="center"/>
              <w:rPr>
                <w:rFonts w:cs="宋体"/>
                <w:color w:val="000000"/>
                <w:kern w:val="0"/>
              </w:rPr>
            </w:pPr>
            <w:r>
              <w:rPr>
                <w:rFonts w:hint="eastAsia" w:cs="宋体"/>
                <w:kern w:val="0"/>
              </w:rPr>
              <w:t>6</w:t>
            </w:r>
          </w:p>
        </w:tc>
        <w:tc>
          <w:tcPr>
            <w:tcW w:w="1900" w:type="dxa"/>
            <w:vAlign w:val="center"/>
          </w:tcPr>
          <w:p>
            <w:pPr>
              <w:jc w:val="center"/>
              <w:rPr>
                <w:rFonts w:cs="宋体"/>
                <w:color w:val="000000"/>
                <w:kern w:val="0"/>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right"/>
              <w:textAlignment w:val="center"/>
              <w:rPr>
                <w:rFonts w:cs="宋体"/>
                <w:color w:val="000000"/>
                <w:kern w:val="0"/>
              </w:rPr>
            </w:pPr>
            <w:r>
              <w:rPr>
                <w:rFonts w:hint="eastAsia" w:cs="宋体"/>
                <w:color w:val="000000"/>
                <w:kern w:val="0"/>
              </w:rPr>
              <w:t>5</w:t>
            </w:r>
          </w:p>
        </w:tc>
        <w:tc>
          <w:tcPr>
            <w:tcW w:w="1391" w:type="dxa"/>
            <w:vAlign w:val="center"/>
          </w:tcPr>
          <w:p>
            <w:pPr>
              <w:widowControl/>
              <w:jc w:val="center"/>
              <w:textAlignment w:val="center"/>
              <w:rPr>
                <w:rFonts w:cs="宋体"/>
                <w:kern w:val="0"/>
              </w:rPr>
            </w:pPr>
            <w:r>
              <w:rPr>
                <w:rFonts w:hint="eastAsia" w:cs="宋体"/>
                <w:kern w:val="0"/>
              </w:rPr>
              <w:t>人体骨关节分类模型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尺寸：自然大，≥720×470×135mm；</w:t>
            </w:r>
          </w:p>
          <w:p>
            <w:pPr>
              <w:ind w:right="94"/>
              <w:rPr>
                <w:rFonts w:cs="宋体"/>
                <w:kern w:val="0"/>
              </w:rPr>
            </w:pPr>
            <w:r>
              <w:rPr>
                <w:rFonts w:hint="eastAsia" w:cs="宋体"/>
                <w:kern w:val="0"/>
              </w:rPr>
              <w:t>部件：模型由各个关节固定在木箱中；</w:t>
            </w:r>
          </w:p>
          <w:p>
            <w:pPr>
              <w:ind w:right="94"/>
              <w:rPr>
                <w:rFonts w:cs="宋体"/>
                <w:kern w:val="0"/>
              </w:rPr>
            </w:pPr>
            <w:r>
              <w:rPr>
                <w:rFonts w:hint="eastAsia" w:ascii="宋体" w:hAnsi="宋体" w:cs="宋体"/>
                <w:kern w:val="0"/>
                <w:shd w:val="clear" w:color="auto" w:fill="FFFFFF"/>
              </w:rPr>
              <w:t>★</w:t>
            </w:r>
            <w:r>
              <w:rPr>
                <w:rFonts w:hint="eastAsia" w:cs="宋体"/>
                <w:kern w:val="0"/>
              </w:rPr>
              <w:t>功能：模型展示了人体的单轴关节、双轴关节、多轴关节以及屈戌关节、车轴关节、双髁状关节、鞍状关节、椭圆关节、球窝关节、杵臼关节、和平面关节；</w:t>
            </w:r>
          </w:p>
          <w:p>
            <w:pPr>
              <w:widowControl/>
              <w:jc w:val="left"/>
              <w:textAlignment w:val="center"/>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6</w:t>
            </w:r>
          </w:p>
        </w:tc>
        <w:tc>
          <w:tcPr>
            <w:tcW w:w="1391" w:type="dxa"/>
            <w:vAlign w:val="center"/>
          </w:tcPr>
          <w:p>
            <w:pPr>
              <w:widowControl/>
              <w:jc w:val="center"/>
              <w:textAlignment w:val="center"/>
              <w:rPr>
                <w:rFonts w:cs="宋体"/>
                <w:kern w:val="0"/>
              </w:rPr>
            </w:pPr>
            <w:r>
              <w:rPr>
                <w:rFonts w:hint="eastAsia" w:cs="宋体"/>
                <w:kern w:val="0"/>
              </w:rPr>
              <w:t>肝解剖模型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尺寸：自然大，≥180×110×180mm；</w:t>
            </w:r>
          </w:p>
          <w:p>
            <w:pPr>
              <w:ind w:right="94"/>
              <w:rPr>
                <w:rFonts w:cs="宋体"/>
                <w:kern w:val="0"/>
              </w:rPr>
            </w:pPr>
            <w:r>
              <w:rPr>
                <w:rFonts w:hint="eastAsia" w:cs="宋体"/>
                <w:kern w:val="0"/>
              </w:rPr>
              <w:t>部件：2部件；</w:t>
            </w:r>
          </w:p>
          <w:p>
            <w:pPr>
              <w:ind w:right="94"/>
              <w:rPr>
                <w:rFonts w:cs="宋体"/>
                <w:kern w:val="0"/>
              </w:rPr>
            </w:pPr>
            <w:r>
              <w:rPr>
                <w:rFonts w:hint="eastAsia" w:ascii="宋体" w:hAnsi="宋体" w:cs="宋体"/>
                <w:kern w:val="0"/>
                <w:shd w:val="clear" w:color="auto" w:fill="FFFFFF"/>
              </w:rPr>
              <w:t>★</w:t>
            </w:r>
            <w:r>
              <w:rPr>
                <w:rFonts w:hint="eastAsia" w:cs="宋体"/>
                <w:kern w:val="0"/>
              </w:rPr>
              <w:t>功能：显示肝的分叶，肝的韧带，肝门结构和胆囊，胆管系统等结构；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7</w:t>
            </w:r>
          </w:p>
        </w:tc>
        <w:tc>
          <w:tcPr>
            <w:tcW w:w="1391" w:type="dxa"/>
            <w:vAlign w:val="center"/>
          </w:tcPr>
          <w:p>
            <w:pPr>
              <w:widowControl/>
              <w:jc w:val="center"/>
              <w:textAlignment w:val="center"/>
              <w:rPr>
                <w:rFonts w:cs="宋体"/>
                <w:kern w:val="0"/>
              </w:rPr>
            </w:pPr>
            <w:r>
              <w:rPr>
                <w:rFonts w:hint="eastAsia" w:cs="宋体"/>
                <w:kern w:val="0"/>
              </w:rPr>
              <w:t>胃解剖模型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尺寸：自然大，≥130×150×160mm；</w:t>
            </w:r>
          </w:p>
          <w:p>
            <w:pPr>
              <w:ind w:right="94"/>
              <w:rPr>
                <w:rFonts w:cs="宋体"/>
                <w:kern w:val="0"/>
              </w:rPr>
            </w:pPr>
            <w:r>
              <w:rPr>
                <w:rFonts w:hint="eastAsia" w:cs="宋体"/>
                <w:kern w:val="0"/>
              </w:rPr>
              <w:t>部件：2部件，固定在底座上；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功能：此模型真人大小的模型是沿着中间平面解剖的，可以打开来显示胃的内部结构；</w:t>
            </w:r>
          </w:p>
          <w:p>
            <w:pPr>
              <w:ind w:right="94"/>
              <w:rPr>
                <w:rFonts w:cs="宋体"/>
              </w:rPr>
            </w:pPr>
            <w:r>
              <w:rPr>
                <w:rFonts w:hint="eastAsia" w:cs="宋体"/>
                <w:kern w:val="0"/>
              </w:rPr>
              <w:t xml:space="preserve">材质：进口环保PVC材料，进口环保油漆； </w:t>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8</w:t>
            </w:r>
          </w:p>
        </w:tc>
        <w:tc>
          <w:tcPr>
            <w:tcW w:w="1391" w:type="dxa"/>
            <w:vAlign w:val="center"/>
          </w:tcPr>
          <w:p>
            <w:pPr>
              <w:widowControl/>
              <w:jc w:val="center"/>
              <w:textAlignment w:val="center"/>
              <w:rPr>
                <w:rFonts w:cs="宋体"/>
                <w:kern w:val="0"/>
              </w:rPr>
            </w:pPr>
            <w:r>
              <w:rPr>
                <w:rFonts w:hint="eastAsia" w:cs="宋体"/>
                <w:kern w:val="0"/>
              </w:rPr>
              <w:t>肺泡模型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尺寸：自然大，≥230×180×270mm；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功能：肺小叶放大模型显示终末细支气管、呼吸性细支气管、肺泡上皮等结构；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9</w:t>
            </w:r>
          </w:p>
        </w:tc>
        <w:tc>
          <w:tcPr>
            <w:tcW w:w="1391" w:type="dxa"/>
            <w:vAlign w:val="center"/>
          </w:tcPr>
          <w:p>
            <w:pPr>
              <w:widowControl/>
              <w:jc w:val="center"/>
              <w:textAlignment w:val="center"/>
              <w:rPr>
                <w:rFonts w:cs="宋体"/>
                <w:kern w:val="0"/>
              </w:rPr>
            </w:pPr>
            <w:r>
              <w:rPr>
                <w:rFonts w:hint="eastAsia" w:cs="宋体"/>
                <w:kern w:val="0"/>
              </w:rPr>
              <w:t>喉、器官、支气管及肺段支气管解剖模型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尺寸：自然大，≥400×260×120mm；</w:t>
            </w:r>
          </w:p>
          <w:p>
            <w:pPr>
              <w:ind w:right="94"/>
              <w:rPr>
                <w:rFonts w:cs="宋体"/>
                <w:kern w:val="0"/>
              </w:rPr>
            </w:pPr>
            <w:r>
              <w:rPr>
                <w:rFonts w:hint="eastAsia" w:cs="宋体"/>
                <w:kern w:val="0"/>
              </w:rPr>
              <w:t>部件：7部件，置于底板上；</w:t>
            </w:r>
          </w:p>
          <w:p>
            <w:pPr>
              <w:ind w:right="94"/>
              <w:rPr>
                <w:rFonts w:cs="宋体"/>
                <w:kern w:val="0"/>
              </w:rPr>
            </w:pPr>
            <w:r>
              <w:rPr>
                <w:rFonts w:hint="eastAsia" w:ascii="宋体" w:hAnsi="宋体" w:cs="宋体"/>
                <w:kern w:val="0"/>
                <w:shd w:val="clear" w:color="auto" w:fill="FFFFFF"/>
              </w:rPr>
              <w:t>★</w:t>
            </w:r>
            <w:r>
              <w:rPr>
                <w:rFonts w:hint="eastAsia" w:cs="宋体"/>
                <w:kern w:val="0"/>
              </w:rPr>
              <w:t>功能：由两部分组成的模型真实地再现了人类肺部的所有外部特征，是完整人类呼吸系统的真人大小的复制品。它由7个部分组成，包括喉（沿矢状面解剖）、肺（沿额面解剖）和2个部分的心脏；</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10</w:t>
            </w:r>
          </w:p>
        </w:tc>
        <w:tc>
          <w:tcPr>
            <w:tcW w:w="1391" w:type="dxa"/>
            <w:vAlign w:val="center"/>
          </w:tcPr>
          <w:p>
            <w:pPr>
              <w:widowControl/>
              <w:jc w:val="center"/>
              <w:textAlignment w:val="center"/>
              <w:rPr>
                <w:rFonts w:cs="宋体"/>
                <w:kern w:val="0"/>
              </w:rPr>
            </w:pPr>
            <w:r>
              <w:rPr>
                <w:rFonts w:hint="eastAsia" w:cs="宋体"/>
                <w:kern w:val="0"/>
              </w:rPr>
              <w:t>男性泌尿生殖系统模型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尺寸：自然大，≥200×110×370mm；</w:t>
            </w:r>
          </w:p>
          <w:p>
            <w:pPr>
              <w:ind w:right="94"/>
              <w:rPr>
                <w:rFonts w:cs="宋体"/>
                <w:kern w:val="0"/>
              </w:rPr>
            </w:pPr>
            <w:r>
              <w:rPr>
                <w:rFonts w:hint="eastAsia" w:cs="宋体"/>
                <w:kern w:val="0"/>
              </w:rPr>
              <w:t>部件：3部件，固定在底座上；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功能：自然大泌尿系统立体模型，显示了男性泌尿系统的基本结构器官和泌尿管路形态；</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11</w:t>
            </w:r>
          </w:p>
        </w:tc>
        <w:tc>
          <w:tcPr>
            <w:tcW w:w="1391" w:type="dxa"/>
            <w:vAlign w:val="center"/>
          </w:tcPr>
          <w:p>
            <w:pPr>
              <w:widowControl/>
              <w:jc w:val="center"/>
              <w:textAlignment w:val="center"/>
              <w:rPr>
                <w:rFonts w:cs="宋体"/>
                <w:kern w:val="0"/>
              </w:rPr>
            </w:pPr>
            <w:r>
              <w:rPr>
                <w:rFonts w:hint="eastAsia" w:cs="宋体"/>
                <w:kern w:val="0"/>
              </w:rPr>
              <w:t>肾脏模型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尺寸：放大3倍，≥270×200×80mm；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功能：模型显示右肾剖面的肾皮质、肾髓质、肾小盏、肾大盏、肾盂、输导管以及肾动脉、肾静脉等结构；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12</w:t>
            </w:r>
          </w:p>
        </w:tc>
        <w:tc>
          <w:tcPr>
            <w:tcW w:w="1391" w:type="dxa"/>
            <w:vAlign w:val="center"/>
          </w:tcPr>
          <w:p>
            <w:pPr>
              <w:widowControl/>
              <w:jc w:val="center"/>
              <w:textAlignment w:val="center"/>
              <w:rPr>
                <w:rFonts w:cs="宋体"/>
                <w:kern w:val="0"/>
              </w:rPr>
            </w:pPr>
            <w:r>
              <w:rPr>
                <w:rFonts w:hint="eastAsia" w:cs="宋体"/>
                <w:kern w:val="0"/>
              </w:rPr>
              <w:t>肾解剖附肾上腺模型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尺寸：放大3倍，≥270×200×100mm；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功能：放大3倍的肾脏，带肾上腺。显示了肾剖面的肾皮质，肾髓质，肾小盏，肾大盏，肾盂，输尿管以及肾动脉，肾静脉等结构；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13</w:t>
            </w:r>
          </w:p>
        </w:tc>
        <w:tc>
          <w:tcPr>
            <w:tcW w:w="1391" w:type="dxa"/>
            <w:vAlign w:val="center"/>
          </w:tcPr>
          <w:p>
            <w:pPr>
              <w:widowControl/>
              <w:jc w:val="center"/>
              <w:textAlignment w:val="center"/>
              <w:rPr>
                <w:rFonts w:cs="宋体"/>
                <w:kern w:val="0"/>
              </w:rPr>
            </w:pPr>
            <w:r>
              <w:rPr>
                <w:rFonts w:hint="eastAsia" w:cs="宋体"/>
                <w:kern w:val="0"/>
              </w:rPr>
              <w:t>动静脉构造模型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尺寸：放大，≥270×200×240mm；</w:t>
            </w:r>
          </w:p>
          <w:p>
            <w:pPr>
              <w:ind w:right="94"/>
              <w:rPr>
                <w:rFonts w:cs="宋体"/>
                <w:kern w:val="0"/>
              </w:rPr>
            </w:pPr>
            <w:r>
              <w:rPr>
                <w:rFonts w:hint="eastAsia" w:cs="宋体"/>
                <w:kern w:val="0"/>
              </w:rPr>
              <w:t>部件：1部件，固定在底座上；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功能：动脉与静脉比较模型，显示动脉和静脉的立体结构，左侧显示了横断面和纵断面及顶视图中，管壁结构的各个层次，右侧显示滋养静脉和两个静脉瓣，后面显示静脉瓣功能；</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14</w:t>
            </w:r>
          </w:p>
        </w:tc>
        <w:tc>
          <w:tcPr>
            <w:tcW w:w="1391" w:type="dxa"/>
            <w:vAlign w:val="center"/>
          </w:tcPr>
          <w:p>
            <w:pPr>
              <w:widowControl/>
              <w:jc w:val="center"/>
              <w:textAlignment w:val="center"/>
              <w:rPr>
                <w:rFonts w:cs="宋体"/>
                <w:kern w:val="0"/>
              </w:rPr>
            </w:pPr>
            <w:r>
              <w:rPr>
                <w:rFonts w:hint="eastAsia" w:cs="宋体"/>
                <w:kern w:val="0"/>
              </w:rPr>
              <w:t>耳（外、中、内）解剖模型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尺寸：放大3倍，≥310×210×250mm；</w:t>
            </w:r>
          </w:p>
          <w:p>
            <w:pPr>
              <w:ind w:right="94"/>
              <w:rPr>
                <w:rFonts w:cs="宋体"/>
                <w:kern w:val="0"/>
              </w:rPr>
            </w:pPr>
            <w:r>
              <w:rPr>
                <w:rFonts w:hint="eastAsia" w:cs="宋体"/>
                <w:kern w:val="0"/>
              </w:rPr>
              <w:t>部件：5部件，固定在底座上；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功能：展示了外耳、中耳、内耳、膜迷路、骨迷路以及完整的耳蜗结构；</w:t>
            </w:r>
          </w:p>
          <w:p>
            <w:pPr>
              <w:ind w:right="94"/>
              <w:rPr>
                <w:rFonts w:cs="宋体"/>
              </w:rPr>
            </w:pPr>
            <w:r>
              <w:rPr>
                <w:rFonts w:hint="eastAsia" w:cs="宋体"/>
                <w:kern w:val="0"/>
              </w:rPr>
              <w:t>材质：进口环保PVC材料，进口环保油漆。</w:t>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15</w:t>
            </w:r>
          </w:p>
        </w:tc>
        <w:tc>
          <w:tcPr>
            <w:tcW w:w="1391" w:type="dxa"/>
            <w:vAlign w:val="center"/>
          </w:tcPr>
          <w:p>
            <w:pPr>
              <w:widowControl/>
              <w:jc w:val="center"/>
              <w:textAlignment w:val="center"/>
              <w:rPr>
                <w:rFonts w:cs="宋体"/>
                <w:kern w:val="0"/>
              </w:rPr>
            </w:pPr>
            <w:r>
              <w:rPr>
                <w:rFonts w:hint="eastAsia" w:cs="宋体"/>
                <w:kern w:val="0"/>
              </w:rPr>
              <w:t>内耳解剖模型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尺寸：放大，≥330×230×200mm；</w:t>
            </w:r>
          </w:p>
          <w:p>
            <w:pPr>
              <w:ind w:right="94"/>
              <w:rPr>
                <w:rFonts w:cs="宋体"/>
                <w:kern w:val="0"/>
              </w:rPr>
            </w:pPr>
            <w:r>
              <w:rPr>
                <w:rFonts w:hint="eastAsia" w:cs="宋体"/>
                <w:kern w:val="0"/>
              </w:rPr>
              <w:t>部件：3部件；</w:t>
            </w:r>
          </w:p>
          <w:p>
            <w:pPr>
              <w:ind w:right="94"/>
              <w:rPr>
                <w:rFonts w:cs="宋体"/>
                <w:kern w:val="0"/>
              </w:rPr>
            </w:pPr>
            <w:r>
              <w:rPr>
                <w:rFonts w:hint="eastAsia" w:ascii="宋体" w:hAnsi="宋体" w:cs="宋体"/>
                <w:kern w:val="0"/>
                <w:shd w:val="clear" w:color="auto" w:fill="FFFFFF"/>
              </w:rPr>
              <w:t>★</w:t>
            </w:r>
            <w:r>
              <w:rPr>
                <w:rFonts w:hint="eastAsia" w:cs="宋体"/>
                <w:kern w:val="0"/>
              </w:rPr>
              <w:t>功能：由内耳，鼓膜听小骨和耳蜗等3个部件组成，展示了内耳迷路，鼓膜、听小骨和耳蜗，前庭蜗神经等结构；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left"/>
              <w:rPr>
                <w:rFonts w:cs="宋体"/>
              </w:rPr>
            </w:pPr>
            <w:r>
              <w:rPr>
                <w:rFonts w:hint="eastAsia" w:cs="宋体"/>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16</w:t>
            </w:r>
          </w:p>
        </w:tc>
        <w:tc>
          <w:tcPr>
            <w:tcW w:w="1391" w:type="dxa"/>
            <w:vAlign w:val="center"/>
          </w:tcPr>
          <w:p>
            <w:pPr>
              <w:widowControl/>
              <w:jc w:val="center"/>
              <w:textAlignment w:val="center"/>
              <w:rPr>
                <w:rFonts w:cs="宋体"/>
                <w:kern w:val="0"/>
              </w:rPr>
            </w:pPr>
            <w:r>
              <w:rPr>
                <w:rFonts w:hint="eastAsia" w:cs="宋体"/>
                <w:kern w:val="0"/>
              </w:rPr>
              <w:t>听小骨模型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尺寸：放大30倍，≥210×145×310mm；</w:t>
            </w:r>
          </w:p>
          <w:p>
            <w:pPr>
              <w:ind w:right="94"/>
              <w:rPr>
                <w:rFonts w:cs="宋体"/>
                <w:kern w:val="0"/>
              </w:rPr>
            </w:pPr>
            <w:r>
              <w:rPr>
                <w:rFonts w:hint="eastAsia" w:cs="宋体"/>
                <w:kern w:val="0"/>
              </w:rPr>
              <w:t>部件：1部件；</w:t>
            </w:r>
          </w:p>
          <w:p>
            <w:pPr>
              <w:ind w:right="94"/>
              <w:rPr>
                <w:rFonts w:cs="宋体"/>
                <w:kern w:val="0"/>
              </w:rPr>
            </w:pPr>
            <w:r>
              <w:rPr>
                <w:rFonts w:hint="eastAsia" w:ascii="宋体" w:hAnsi="宋体" w:cs="宋体"/>
                <w:kern w:val="0"/>
                <w:shd w:val="clear" w:color="auto" w:fill="FFFFFF"/>
              </w:rPr>
              <w:t>★</w:t>
            </w:r>
            <w:r>
              <w:rPr>
                <w:rFonts w:hint="eastAsia" w:cs="宋体"/>
                <w:kern w:val="0"/>
              </w:rPr>
              <w:t>功能：显示了锤骨，砧骨和镫骨的形态和排列方式；</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17</w:t>
            </w:r>
          </w:p>
        </w:tc>
        <w:tc>
          <w:tcPr>
            <w:tcW w:w="1391" w:type="dxa"/>
            <w:vAlign w:val="center"/>
          </w:tcPr>
          <w:p>
            <w:pPr>
              <w:widowControl/>
              <w:jc w:val="center"/>
              <w:textAlignment w:val="center"/>
              <w:rPr>
                <w:rFonts w:cs="宋体"/>
                <w:kern w:val="0"/>
              </w:rPr>
            </w:pPr>
            <w:r>
              <w:rPr>
                <w:rFonts w:hint="eastAsia" w:cs="宋体"/>
                <w:kern w:val="0"/>
              </w:rPr>
              <w:t>眼球解剖放大模型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尺寸：放大6倍，≥170×150×250mm；</w:t>
            </w:r>
          </w:p>
          <w:p>
            <w:pPr>
              <w:ind w:right="94"/>
              <w:rPr>
                <w:rFonts w:cs="宋体"/>
                <w:kern w:val="0"/>
              </w:rPr>
            </w:pPr>
            <w:r>
              <w:rPr>
                <w:rFonts w:hint="eastAsia" w:cs="宋体"/>
                <w:kern w:val="0"/>
              </w:rPr>
              <w:t>部件：6部件，置于底座上；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功能：此眼球模型是正中矢状切，出示了眼球详细的内部结构，角膜、虹膜、晶状体、玻璃体可自由拆装，其中巩膜上的肌肉附着和部分脉络膜可以观察到；</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18</w:t>
            </w:r>
          </w:p>
        </w:tc>
        <w:tc>
          <w:tcPr>
            <w:tcW w:w="1391" w:type="dxa"/>
            <w:vAlign w:val="center"/>
          </w:tcPr>
          <w:p>
            <w:pPr>
              <w:widowControl/>
              <w:jc w:val="center"/>
              <w:textAlignment w:val="center"/>
              <w:rPr>
                <w:rFonts w:cs="宋体"/>
                <w:kern w:val="0"/>
              </w:rPr>
            </w:pPr>
            <w:r>
              <w:rPr>
                <w:rFonts w:hint="eastAsia" w:cs="宋体"/>
                <w:kern w:val="0"/>
              </w:rPr>
              <w:t>脑干放大模型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尺寸：放大3倍，≥250×180×150mm；</w:t>
            </w:r>
          </w:p>
          <w:p>
            <w:pPr>
              <w:ind w:right="94"/>
              <w:rPr>
                <w:rFonts w:cs="宋体"/>
                <w:kern w:val="0"/>
              </w:rPr>
            </w:pPr>
            <w:r>
              <w:rPr>
                <w:rFonts w:hint="eastAsia" w:cs="宋体"/>
                <w:kern w:val="0"/>
              </w:rPr>
              <w:t>部件：1部件，固定在底座上；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功能：显示脑干各部位结构特征，显示了所有的神经束，现存的颅神经和周围神经的细节；</w:t>
            </w:r>
          </w:p>
          <w:p>
            <w:pPr>
              <w:ind w:right="94"/>
              <w:rPr>
                <w:rFonts w:cs="宋体"/>
              </w:rPr>
            </w:pPr>
            <w:r>
              <w:rPr>
                <w:rFonts w:hint="eastAsia" w:cs="宋体"/>
                <w:kern w:val="0"/>
              </w:rPr>
              <w:t>材质：进口环保PVC材料，进口环保油漆。</w:t>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19</w:t>
            </w:r>
          </w:p>
        </w:tc>
        <w:tc>
          <w:tcPr>
            <w:tcW w:w="1391" w:type="dxa"/>
            <w:vAlign w:val="center"/>
          </w:tcPr>
          <w:p>
            <w:pPr>
              <w:widowControl/>
              <w:jc w:val="center"/>
              <w:textAlignment w:val="center"/>
              <w:rPr>
                <w:rFonts w:cs="宋体"/>
                <w:kern w:val="0"/>
              </w:rPr>
            </w:pPr>
            <w:r>
              <w:rPr>
                <w:rFonts w:hint="eastAsia" w:cs="宋体"/>
                <w:kern w:val="0"/>
              </w:rPr>
              <w:t>人体全身肌肉解剖模型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尺寸：自然大，高不低于1700mm；</w:t>
            </w:r>
          </w:p>
          <w:p>
            <w:pPr>
              <w:ind w:right="94"/>
              <w:rPr>
                <w:rFonts w:cs="宋体"/>
                <w:kern w:val="0"/>
              </w:rPr>
            </w:pPr>
            <w:r>
              <w:rPr>
                <w:rFonts w:hint="eastAsia" w:cs="宋体"/>
                <w:kern w:val="0"/>
              </w:rPr>
              <w:t>部件：18部件，固定在底座上；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功能：模型有全身肌肉、胸腹壁肌、上下肢肌，颅顶骨等20个部件组成，并显示头颈部、躯干部、上、下肢骨、肌肉、肌腱、韧带等结构；</w:t>
            </w:r>
          </w:p>
          <w:p>
            <w:pPr>
              <w:ind w:right="94"/>
              <w:rPr>
                <w:rFonts w:cs="宋体"/>
              </w:rPr>
            </w:pPr>
            <w:r>
              <w:rPr>
                <w:rFonts w:hint="eastAsia" w:cs="宋体"/>
                <w:kern w:val="0"/>
              </w:rPr>
              <w:t>材质：进口环保PVC材料，进口环保油漆。</w:t>
            </w:r>
            <w:r>
              <w:rPr>
                <w:rFonts w:hint="eastAsia" w:cs="宋体"/>
                <w:kern w:val="0"/>
              </w:rPr>
              <w:tab/>
            </w:r>
          </w:p>
        </w:tc>
        <w:tc>
          <w:tcPr>
            <w:tcW w:w="1034" w:type="dxa"/>
            <w:vAlign w:val="center"/>
          </w:tcPr>
          <w:p>
            <w:pPr>
              <w:widowControl/>
              <w:jc w:val="center"/>
              <w:textAlignment w:val="center"/>
              <w:rPr>
                <w:rFonts w:cs="宋体"/>
                <w:kern w:val="0"/>
              </w:rPr>
            </w:pPr>
            <w:r>
              <w:rPr>
                <w:rFonts w:hint="eastAsia" w:cs="宋体"/>
                <w:kern w:val="0"/>
              </w:rPr>
              <w:t>具</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20</w:t>
            </w:r>
          </w:p>
        </w:tc>
        <w:tc>
          <w:tcPr>
            <w:tcW w:w="1391" w:type="dxa"/>
            <w:vAlign w:val="center"/>
          </w:tcPr>
          <w:p>
            <w:pPr>
              <w:widowControl/>
              <w:jc w:val="center"/>
              <w:textAlignment w:val="center"/>
              <w:rPr>
                <w:rFonts w:cs="宋体"/>
                <w:kern w:val="0"/>
              </w:rPr>
            </w:pPr>
            <w:r>
              <w:rPr>
                <w:rFonts w:hint="eastAsia" w:cs="宋体"/>
                <w:kern w:val="0"/>
              </w:rPr>
              <w:t>SYL/50013 颅腔及头颈胸局部解剖模型</w:t>
            </w:r>
          </w:p>
        </w:tc>
        <w:tc>
          <w:tcPr>
            <w:tcW w:w="6263" w:type="dxa"/>
            <w:vAlign w:val="center"/>
          </w:tcPr>
          <w:p>
            <w:pPr>
              <w:ind w:right="94"/>
              <w:rPr>
                <w:rFonts w:cs="宋体"/>
                <w:kern w:val="0"/>
              </w:rPr>
            </w:pPr>
            <w:r>
              <w:rPr>
                <w:rFonts w:hint="eastAsia" w:cs="宋体"/>
                <w:kern w:val="0"/>
              </w:rPr>
              <w:t>无毒、环保PVC材料，不变形，耐摩，耐脏，可以擦洗。</w:t>
            </w:r>
          </w:p>
          <w:p>
            <w:pPr>
              <w:ind w:right="94"/>
              <w:rPr>
                <w:rFonts w:cs="宋体"/>
              </w:rPr>
            </w:pPr>
            <w:r>
              <w:rPr>
                <w:rFonts w:hint="eastAsia" w:cs="宋体"/>
                <w:kern w:val="0"/>
              </w:rPr>
              <w:t>符合教学大纲要求。</w:t>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21</w:t>
            </w:r>
          </w:p>
        </w:tc>
        <w:tc>
          <w:tcPr>
            <w:tcW w:w="1391" w:type="dxa"/>
            <w:vAlign w:val="center"/>
          </w:tcPr>
          <w:p>
            <w:pPr>
              <w:widowControl/>
              <w:jc w:val="center"/>
              <w:textAlignment w:val="center"/>
              <w:rPr>
                <w:rFonts w:cs="宋体"/>
                <w:kern w:val="0"/>
              </w:rPr>
            </w:pPr>
            <w:r>
              <w:rPr>
                <w:rFonts w:hint="eastAsia" w:cs="宋体"/>
                <w:kern w:val="0"/>
              </w:rPr>
              <w:t>运动解剖学挂图（全身）</w:t>
            </w:r>
          </w:p>
        </w:tc>
        <w:tc>
          <w:tcPr>
            <w:tcW w:w="6263" w:type="dxa"/>
            <w:vAlign w:val="center"/>
          </w:tcPr>
          <w:p>
            <w:pPr>
              <w:widowControl/>
              <w:jc w:val="left"/>
              <w:rPr>
                <w:rFonts w:cs="宋体"/>
                <w:kern w:val="0"/>
              </w:rPr>
            </w:pPr>
            <w:r>
              <w:rPr>
                <w:rFonts w:hint="eastAsia" w:cs="宋体"/>
                <w:kern w:val="0"/>
              </w:rPr>
              <w:t>人民卫生出版社统一出版，人体解剖学各大系统挂图，油画布或带边框（一套10张），每张挂图尺寸为100*70CM。</w:t>
            </w:r>
          </w:p>
          <w:p>
            <w:pPr>
              <w:widowControl/>
              <w:jc w:val="left"/>
              <w:textAlignment w:val="center"/>
              <w:rPr>
                <w:rFonts w:cs="宋体"/>
              </w:rPr>
            </w:pP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6</w:t>
            </w:r>
          </w:p>
        </w:tc>
        <w:tc>
          <w:tcPr>
            <w:tcW w:w="1900" w:type="dxa"/>
            <w:vAlign w:val="center"/>
          </w:tcPr>
          <w:p>
            <w:pPr>
              <w:jc w:val="center"/>
              <w:rPr>
                <w:rFonts w:cs="宋体"/>
                <w:kern w:val="0"/>
              </w:rPr>
            </w:pPr>
            <w:r>
              <w:rPr>
                <w:rFonts w:hint="eastAsia" w:cs="宋体"/>
              </w:rPr>
              <w:t>人民卫生出版社统一出版</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22</w:t>
            </w:r>
          </w:p>
        </w:tc>
        <w:tc>
          <w:tcPr>
            <w:tcW w:w="1391" w:type="dxa"/>
            <w:vAlign w:val="center"/>
          </w:tcPr>
          <w:p>
            <w:pPr>
              <w:widowControl/>
              <w:jc w:val="center"/>
              <w:textAlignment w:val="center"/>
              <w:rPr>
                <w:rFonts w:cs="宋体"/>
                <w:kern w:val="0"/>
              </w:rPr>
            </w:pPr>
            <w:r>
              <w:rPr>
                <w:rFonts w:hint="eastAsia" w:cs="宋体"/>
                <w:kern w:val="0"/>
              </w:rPr>
              <w:t>模型陈列柜</w:t>
            </w:r>
          </w:p>
        </w:tc>
        <w:tc>
          <w:tcPr>
            <w:tcW w:w="6263" w:type="dxa"/>
            <w:vAlign w:val="center"/>
          </w:tcPr>
          <w:p>
            <w:pPr>
              <w:widowControl/>
              <w:jc w:val="left"/>
              <w:textAlignment w:val="center"/>
              <w:rPr>
                <w:rFonts w:cs="宋体"/>
              </w:rPr>
            </w:pPr>
            <w:r>
              <w:rPr>
                <w:rFonts w:hint="eastAsia" w:cs="宋体"/>
                <w:kern w:val="0"/>
              </w:rPr>
              <w:t>不锈钢、钢化玻璃100*55*55CM，顶部带射灯，底部带轮子，可以移动，带遥控器，顶部挂钩可360度旋转，柜子门带锁。</w:t>
            </w:r>
          </w:p>
        </w:tc>
        <w:tc>
          <w:tcPr>
            <w:tcW w:w="1034" w:type="dxa"/>
            <w:vAlign w:val="center"/>
          </w:tcPr>
          <w:p>
            <w:pPr>
              <w:widowControl/>
              <w:jc w:val="center"/>
              <w:textAlignment w:val="center"/>
              <w:rPr>
                <w:rFonts w:cs="宋体"/>
                <w:kern w:val="0"/>
              </w:rPr>
            </w:pPr>
            <w:r>
              <w:rPr>
                <w:rFonts w:hint="eastAsia" w:cs="宋体"/>
                <w:kern w:val="0"/>
              </w:rPr>
              <w:t>个</w:t>
            </w:r>
          </w:p>
        </w:tc>
        <w:tc>
          <w:tcPr>
            <w:tcW w:w="878" w:type="dxa"/>
            <w:vAlign w:val="center"/>
          </w:tcPr>
          <w:p>
            <w:pPr>
              <w:widowControl/>
              <w:jc w:val="center"/>
              <w:textAlignment w:val="center"/>
              <w:rPr>
                <w:rFonts w:cs="宋体"/>
                <w:kern w:val="0"/>
              </w:rPr>
            </w:pPr>
            <w:r>
              <w:rPr>
                <w:rFonts w:hint="eastAsia" w:cs="宋体"/>
                <w:kern w:val="0"/>
              </w:rPr>
              <w:t>10</w:t>
            </w:r>
          </w:p>
        </w:tc>
        <w:tc>
          <w:tcPr>
            <w:tcW w:w="1900" w:type="dxa"/>
            <w:vAlign w:val="center"/>
          </w:tcPr>
          <w:p>
            <w:pPr>
              <w:jc w:val="center"/>
              <w:rPr>
                <w:rFonts w:cs="宋体"/>
                <w:kern w:val="0"/>
              </w:rPr>
            </w:pPr>
            <w:r>
              <w:rPr>
                <w:rFonts w:hint="eastAsia" w:cs="宋体"/>
                <w:kern w:val="0"/>
              </w:rPr>
              <w:t>不锈钢、钢化玻璃100*55*55CM</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23</w:t>
            </w:r>
          </w:p>
        </w:tc>
        <w:tc>
          <w:tcPr>
            <w:tcW w:w="1391" w:type="dxa"/>
            <w:vAlign w:val="center"/>
          </w:tcPr>
          <w:p>
            <w:pPr>
              <w:widowControl/>
              <w:jc w:val="center"/>
              <w:textAlignment w:val="center"/>
              <w:rPr>
                <w:rFonts w:cs="宋体"/>
                <w:kern w:val="0"/>
              </w:rPr>
            </w:pPr>
            <w:r>
              <w:rPr>
                <w:rFonts w:hint="eastAsia" w:cs="宋体"/>
                <w:kern w:val="0"/>
              </w:rPr>
              <w:t>骨架柜子</w:t>
            </w:r>
          </w:p>
        </w:tc>
        <w:tc>
          <w:tcPr>
            <w:tcW w:w="6263" w:type="dxa"/>
            <w:vAlign w:val="center"/>
          </w:tcPr>
          <w:p>
            <w:pPr>
              <w:widowControl/>
              <w:jc w:val="left"/>
              <w:textAlignment w:val="center"/>
              <w:rPr>
                <w:rFonts w:cs="宋体"/>
              </w:rPr>
            </w:pPr>
            <w:r>
              <w:rPr>
                <w:rFonts w:hint="eastAsia" w:cs="宋体"/>
                <w:kern w:val="0"/>
              </w:rPr>
              <w:t>不锈钢、钢化玻璃200*55*55CM,顶部带射灯，底部带轮子，可以移动，带遥控器，顶部挂钩可360度旋转，柜子门带锁。</w:t>
            </w:r>
          </w:p>
        </w:tc>
        <w:tc>
          <w:tcPr>
            <w:tcW w:w="1034" w:type="dxa"/>
            <w:vAlign w:val="center"/>
          </w:tcPr>
          <w:p>
            <w:pPr>
              <w:widowControl/>
              <w:jc w:val="center"/>
              <w:textAlignment w:val="center"/>
              <w:rPr>
                <w:rFonts w:cs="宋体"/>
                <w:kern w:val="0"/>
              </w:rPr>
            </w:pPr>
            <w:r>
              <w:rPr>
                <w:rFonts w:hint="eastAsia" w:cs="宋体"/>
                <w:kern w:val="0"/>
              </w:rPr>
              <w:t>个</w:t>
            </w:r>
          </w:p>
        </w:tc>
        <w:tc>
          <w:tcPr>
            <w:tcW w:w="878" w:type="dxa"/>
            <w:vAlign w:val="center"/>
          </w:tcPr>
          <w:p>
            <w:pPr>
              <w:widowControl/>
              <w:jc w:val="center"/>
              <w:textAlignment w:val="center"/>
              <w:rPr>
                <w:rFonts w:cs="宋体"/>
                <w:kern w:val="0"/>
              </w:rPr>
            </w:pPr>
            <w:r>
              <w:rPr>
                <w:rFonts w:hint="eastAsia" w:cs="宋体"/>
                <w:kern w:val="0"/>
              </w:rPr>
              <w:t>2</w:t>
            </w:r>
          </w:p>
        </w:tc>
        <w:tc>
          <w:tcPr>
            <w:tcW w:w="1900" w:type="dxa"/>
            <w:vAlign w:val="center"/>
          </w:tcPr>
          <w:p>
            <w:pPr>
              <w:jc w:val="center"/>
              <w:rPr>
                <w:rFonts w:cs="宋体"/>
                <w:kern w:val="0"/>
              </w:rPr>
            </w:pPr>
            <w:r>
              <w:rPr>
                <w:rFonts w:hint="eastAsia" w:cs="宋体"/>
                <w:kern w:val="0"/>
              </w:rPr>
              <w:t>不锈钢、钢化玻璃200*55*55CM</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24</w:t>
            </w:r>
          </w:p>
        </w:tc>
        <w:tc>
          <w:tcPr>
            <w:tcW w:w="1391" w:type="dxa"/>
            <w:vAlign w:val="center"/>
          </w:tcPr>
          <w:p>
            <w:pPr>
              <w:widowControl/>
              <w:jc w:val="center"/>
              <w:textAlignment w:val="center"/>
              <w:rPr>
                <w:rFonts w:cs="宋体"/>
                <w:kern w:val="0"/>
              </w:rPr>
            </w:pPr>
            <w:r>
              <w:rPr>
                <w:rFonts w:hint="eastAsia" w:cs="宋体"/>
                <w:kern w:val="0"/>
              </w:rPr>
              <w:t>教学PVC散装骨</w:t>
            </w:r>
          </w:p>
        </w:tc>
        <w:tc>
          <w:tcPr>
            <w:tcW w:w="6263" w:type="dxa"/>
            <w:vAlign w:val="center"/>
          </w:tcPr>
          <w:p>
            <w:pPr>
              <w:ind w:right="94"/>
              <w:rPr>
                <w:rFonts w:cs="宋体"/>
                <w:kern w:val="0"/>
              </w:rPr>
            </w:pPr>
            <w:r>
              <w:rPr>
                <w:rFonts w:hint="eastAsia" w:cs="宋体"/>
                <w:kern w:val="0"/>
              </w:rPr>
              <w:t>尺寸：自然大；</w:t>
            </w:r>
          </w:p>
          <w:p>
            <w:pPr>
              <w:ind w:right="94"/>
              <w:rPr>
                <w:rFonts w:cs="宋体"/>
                <w:kern w:val="0"/>
              </w:rPr>
            </w:pPr>
            <w:r>
              <w:rPr>
                <w:rFonts w:hint="eastAsia" w:cs="宋体"/>
                <w:kern w:val="0"/>
              </w:rPr>
              <w:t>部件：206骨头；</w:t>
            </w:r>
          </w:p>
          <w:p>
            <w:pPr>
              <w:ind w:right="94"/>
              <w:rPr>
                <w:rFonts w:cs="宋体"/>
                <w:kern w:val="0"/>
              </w:rPr>
            </w:pPr>
            <w:r>
              <w:rPr>
                <w:rFonts w:hint="eastAsia" w:ascii="宋体" w:hAnsi="宋体" w:cs="宋体"/>
                <w:kern w:val="0"/>
                <w:shd w:val="clear" w:color="auto" w:fill="FFFFFF"/>
              </w:rPr>
              <w:t>★</w:t>
            </w:r>
            <w:r>
              <w:rPr>
                <w:rFonts w:hint="eastAsia" w:cs="宋体"/>
                <w:kern w:val="0"/>
              </w:rPr>
              <w:t>功能：显示未组装的人体全身散骨，不同部位的骨的名称、形态和结构，方便教学演示使用；</w:t>
            </w:r>
          </w:p>
          <w:p>
            <w:pPr>
              <w:ind w:right="94"/>
              <w:rPr>
                <w:rFonts w:cs="宋体"/>
              </w:rPr>
            </w:pPr>
            <w:r>
              <w:rPr>
                <w:rFonts w:hint="eastAsia" w:cs="宋体"/>
                <w:kern w:val="0"/>
              </w:rPr>
              <w:t>材质：进口环保PVC材料，进口环保油漆。</w:t>
            </w:r>
          </w:p>
        </w:tc>
        <w:tc>
          <w:tcPr>
            <w:tcW w:w="1034" w:type="dxa"/>
            <w:vAlign w:val="center"/>
          </w:tcPr>
          <w:p>
            <w:pPr>
              <w:widowControl/>
              <w:jc w:val="center"/>
              <w:textAlignment w:val="center"/>
              <w:rPr>
                <w:rFonts w:cs="宋体"/>
                <w:kern w:val="0"/>
              </w:rPr>
            </w:pPr>
            <w:r>
              <w:rPr>
                <w:rFonts w:hint="eastAsia" w:cs="宋体"/>
                <w:kern w:val="0"/>
              </w:rPr>
              <w:t>套</w:t>
            </w:r>
          </w:p>
        </w:tc>
        <w:tc>
          <w:tcPr>
            <w:tcW w:w="878" w:type="dxa"/>
            <w:vAlign w:val="center"/>
          </w:tcPr>
          <w:p>
            <w:pPr>
              <w:widowControl/>
              <w:jc w:val="center"/>
              <w:textAlignment w:val="center"/>
              <w:rPr>
                <w:rFonts w:cs="宋体"/>
                <w:kern w:val="0"/>
              </w:rPr>
            </w:pPr>
            <w:r>
              <w:rPr>
                <w:rFonts w:hint="eastAsia" w:cs="宋体"/>
                <w:kern w:val="0"/>
              </w:rPr>
              <w:t>4</w:t>
            </w:r>
          </w:p>
        </w:tc>
        <w:tc>
          <w:tcPr>
            <w:tcW w:w="1900" w:type="dxa"/>
            <w:vAlign w:val="center"/>
          </w:tcPr>
          <w:p>
            <w:pPr>
              <w:jc w:val="center"/>
              <w:rPr>
                <w:rFonts w:cs="宋体"/>
                <w:kern w:val="0"/>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25</w:t>
            </w:r>
          </w:p>
        </w:tc>
        <w:tc>
          <w:tcPr>
            <w:tcW w:w="1391" w:type="dxa"/>
            <w:vAlign w:val="center"/>
          </w:tcPr>
          <w:p>
            <w:pPr>
              <w:widowControl/>
              <w:jc w:val="center"/>
              <w:textAlignment w:val="center"/>
              <w:rPr>
                <w:rFonts w:cs="宋体"/>
                <w:kern w:val="0"/>
              </w:rPr>
            </w:pPr>
            <w:r>
              <w:rPr>
                <w:rFonts w:hint="eastAsia" w:cs="宋体"/>
                <w:kern w:val="0"/>
              </w:rPr>
              <w:t>教学PVC骨架</w:t>
            </w:r>
          </w:p>
        </w:tc>
        <w:tc>
          <w:tcPr>
            <w:tcW w:w="6263" w:type="dxa"/>
            <w:vAlign w:val="center"/>
          </w:tcPr>
          <w:p>
            <w:pPr>
              <w:ind w:right="94"/>
              <w:rPr>
                <w:rFonts w:cs="宋体"/>
                <w:kern w:val="0"/>
              </w:rPr>
            </w:pPr>
            <w:r>
              <w:rPr>
                <w:rFonts w:hint="eastAsia" w:cs="宋体"/>
                <w:kern w:val="0"/>
              </w:rPr>
              <w:t>尺寸：自然大，高不低于180cm；</w:t>
            </w:r>
          </w:p>
          <w:p>
            <w:pPr>
              <w:ind w:right="94"/>
              <w:rPr>
                <w:rFonts w:cs="宋体"/>
                <w:kern w:val="0"/>
              </w:rPr>
            </w:pPr>
            <w:r>
              <w:rPr>
                <w:rFonts w:hint="eastAsia" w:cs="宋体"/>
                <w:kern w:val="0"/>
              </w:rPr>
              <w:t>部件：由男性全身散骨串制而成一整体骨架；</w:t>
            </w:r>
          </w:p>
          <w:p>
            <w:pPr>
              <w:ind w:right="94"/>
              <w:rPr>
                <w:rFonts w:cs="宋体"/>
                <w:kern w:val="0"/>
              </w:rPr>
            </w:pPr>
            <w:r>
              <w:rPr>
                <w:rFonts w:hint="eastAsia" w:ascii="宋体" w:hAnsi="宋体" w:cs="宋体"/>
                <w:kern w:val="0"/>
                <w:shd w:val="clear" w:color="auto" w:fill="FFFFFF"/>
              </w:rPr>
              <w:t>★</w:t>
            </w:r>
            <w:r>
              <w:rPr>
                <w:rFonts w:hint="eastAsia" w:cs="宋体"/>
                <w:kern w:val="0"/>
              </w:rPr>
              <w:t>功能：显示男性全身骨骼的组成和形态外观，其中四肢骨可以灵活组合，头颅骨可灵活组装，固定在支架上，带底座，可灵活移动；</w:t>
            </w:r>
          </w:p>
          <w:p>
            <w:pPr>
              <w:ind w:right="94"/>
              <w:rPr>
                <w:rFonts w:cs="宋体"/>
                <w:kern w:val="0"/>
              </w:rPr>
            </w:pPr>
            <w:r>
              <w:rPr>
                <w:rFonts w:hint="eastAsia" w:cs="宋体"/>
                <w:kern w:val="0"/>
              </w:rPr>
              <w:t>材质：进口环保PVC材料，进口环保油漆</w:t>
            </w:r>
          </w:p>
          <w:p>
            <w:pPr>
              <w:ind w:right="94"/>
              <w:rPr>
                <w:rFonts w:cs="宋体"/>
                <w:kern w:val="0"/>
              </w:rPr>
            </w:pPr>
            <w:r>
              <w:rPr>
                <w:rFonts w:hint="eastAsia" w:cs="宋体"/>
                <w:kern w:val="0"/>
              </w:rPr>
              <w:t>尺寸：自然大，高不低于180cm；</w:t>
            </w:r>
          </w:p>
          <w:p>
            <w:pPr>
              <w:ind w:right="94"/>
              <w:rPr>
                <w:rFonts w:cs="宋体"/>
                <w:kern w:val="0"/>
              </w:rPr>
            </w:pPr>
            <w:r>
              <w:rPr>
                <w:rFonts w:hint="eastAsia" w:cs="宋体"/>
                <w:kern w:val="0"/>
              </w:rPr>
              <w:t>部件：由女性全身散骨串制而成一整体骨架；</w:t>
            </w:r>
          </w:p>
          <w:p>
            <w:pPr>
              <w:ind w:right="94"/>
              <w:rPr>
                <w:rFonts w:cs="宋体"/>
                <w:kern w:val="0"/>
              </w:rPr>
            </w:pPr>
            <w:r>
              <w:rPr>
                <w:rFonts w:hint="eastAsia" w:cs="宋体"/>
                <w:kern w:val="0"/>
              </w:rPr>
              <w:t>功能：显示女发性全身骨骼的组成和形态外观，其中四肢骨可以灵活组合，头颅骨可灵活组装，固定在支架上，带底座，可灵活移动；</w:t>
            </w:r>
          </w:p>
          <w:p>
            <w:pPr>
              <w:ind w:right="94"/>
              <w:rPr>
                <w:rFonts w:cs="宋体"/>
              </w:rPr>
            </w:pPr>
            <w:r>
              <w:rPr>
                <w:rFonts w:hint="eastAsia" w:cs="宋体"/>
                <w:kern w:val="0"/>
              </w:rPr>
              <w:t>材质：进口环保PVC材料，进口环保油漆。</w:t>
            </w:r>
          </w:p>
        </w:tc>
        <w:tc>
          <w:tcPr>
            <w:tcW w:w="1034" w:type="dxa"/>
            <w:vAlign w:val="center"/>
          </w:tcPr>
          <w:p>
            <w:pPr>
              <w:widowControl/>
              <w:jc w:val="center"/>
              <w:textAlignment w:val="center"/>
              <w:rPr>
                <w:rFonts w:cs="宋体"/>
                <w:kern w:val="0"/>
              </w:rPr>
            </w:pPr>
            <w:r>
              <w:rPr>
                <w:rFonts w:hint="eastAsia" w:cs="宋体"/>
                <w:kern w:val="0"/>
              </w:rPr>
              <w:t>具</w:t>
            </w:r>
          </w:p>
        </w:tc>
        <w:tc>
          <w:tcPr>
            <w:tcW w:w="878" w:type="dxa"/>
            <w:vAlign w:val="center"/>
          </w:tcPr>
          <w:p>
            <w:pPr>
              <w:widowControl/>
              <w:jc w:val="center"/>
              <w:textAlignment w:val="center"/>
              <w:rPr>
                <w:rFonts w:cs="宋体"/>
                <w:kern w:val="0"/>
              </w:rPr>
            </w:pPr>
            <w:r>
              <w:rPr>
                <w:rFonts w:hint="eastAsia" w:cs="宋体"/>
                <w:kern w:val="0"/>
              </w:rPr>
              <w:t>2</w:t>
            </w:r>
          </w:p>
        </w:tc>
        <w:tc>
          <w:tcPr>
            <w:tcW w:w="1900" w:type="dxa"/>
            <w:vAlign w:val="center"/>
          </w:tcPr>
          <w:p>
            <w:pPr>
              <w:jc w:val="center"/>
              <w:rPr>
                <w:rFonts w:cs="宋体"/>
                <w:kern w:val="0"/>
              </w:rPr>
            </w:pPr>
            <w:r>
              <w:rPr>
                <w:rFonts w:hint="eastAsia" w:cs="宋体"/>
                <w:position w:val="6"/>
              </w:rPr>
              <w:t>康人、上海荣育、圣医智教</w:t>
            </w:r>
          </w:p>
        </w:tc>
        <w:tc>
          <w:tcPr>
            <w:tcW w:w="1177" w:type="dxa"/>
            <w:vAlign w:val="center"/>
          </w:tcPr>
          <w:p>
            <w:pPr>
              <w:jc w:val="center"/>
              <w:rPr>
                <w:rFonts w:cs="宋体"/>
                <w:color w:val="000000"/>
                <w:kern w:val="0"/>
              </w:rPr>
            </w:pPr>
          </w:p>
        </w:tc>
        <w:tc>
          <w:tcPr>
            <w:tcW w:w="1000" w:type="dxa"/>
            <w:vAlign w:val="center"/>
          </w:tcPr>
          <w:p>
            <w:pPr>
              <w:jc w:val="center"/>
              <w:rPr>
                <w:rFonts w:cs="宋体"/>
                <w:color w:val="000000"/>
                <w:kern w:val="0"/>
              </w:rPr>
            </w:pPr>
          </w:p>
        </w:tc>
      </w:tr>
    </w:tbl>
    <w:p/>
    <w:p/>
    <w:p>
      <w:pPr>
        <w:pStyle w:val="2"/>
      </w:pPr>
    </w:p>
    <w:p>
      <w:pPr>
        <w:sectPr>
          <w:pgSz w:w="16838" w:h="11906" w:orient="landscape"/>
          <w:pgMar w:top="1587" w:right="1701" w:bottom="1587" w:left="1417" w:header="1134" w:footer="1304" w:gutter="0"/>
          <w:cols w:space="0" w:num="1"/>
          <w:docGrid w:type="lines" w:linePitch="323" w:charSpace="0"/>
        </w:sectPr>
      </w:pPr>
    </w:p>
    <w:p>
      <w:pPr>
        <w:rPr>
          <w:sz w:val="24"/>
          <w:szCs w:val="24"/>
        </w:rPr>
      </w:pPr>
    </w:p>
    <w:p>
      <w:pPr>
        <w:pStyle w:val="61"/>
        <w:snapToGrid w:val="0"/>
        <w:spacing w:line="360" w:lineRule="auto"/>
        <w:ind w:firstLine="482"/>
        <w:jc w:val="left"/>
        <w:rPr>
          <w:rFonts w:ascii="宋体" w:hAnsi="宋体" w:cs="宋体"/>
          <w:b/>
          <w:bCs/>
          <w:position w:val="6"/>
          <w:sz w:val="24"/>
        </w:rPr>
      </w:pPr>
      <w:bookmarkStart w:id="132" w:name="_Toc66101815"/>
      <w:r>
        <w:rPr>
          <w:rFonts w:hint="eastAsia" w:ascii="宋体" w:hAnsi="宋体" w:cs="宋体"/>
          <w:b/>
          <w:bCs/>
          <w:position w:val="6"/>
          <w:sz w:val="24"/>
        </w:rPr>
        <w:t>二、项目实施与组织要求</w:t>
      </w:r>
      <w:bookmarkEnd w:id="132"/>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1. 供应商需提供完善的一站式实施服务管理体系，从货物运输、安装、售后等提供全方位的一站式服务。</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2. 中标人对本项目不得分包、转包，否则，一经发现即被视为违约，将被中止合同，并赔偿损失。在中标公示期内，成交供应商需再次向校方进行产品信息确认，不能满足校方要求的以虚假应标处理，扣除该供应商投标保证金。</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3. 交货期：合同签订之日起30个工作日内完成设备安装并交付。</w:t>
      </w:r>
    </w:p>
    <w:p>
      <w:pPr>
        <w:pStyle w:val="56"/>
        <w:spacing w:beforeLines="0" w:afterLines="0" w:line="360" w:lineRule="auto"/>
        <w:ind w:firstLine="480"/>
        <w:jc w:val="left"/>
        <w:rPr>
          <w:rFonts w:ascii="宋体" w:hAnsi="宋体" w:eastAsia="宋体"/>
          <w:position w:val="6"/>
        </w:rPr>
      </w:pPr>
      <w:r>
        <w:rPr>
          <w:rFonts w:hint="eastAsia" w:ascii="宋体" w:hAnsi="宋体" w:eastAsia="宋体"/>
          <w:position w:val="6"/>
        </w:rPr>
        <w:t>4. 交货方式：现场安装调试。</w:t>
      </w:r>
    </w:p>
    <w:p>
      <w:pPr>
        <w:pStyle w:val="61"/>
        <w:snapToGrid w:val="0"/>
        <w:spacing w:line="360" w:lineRule="auto"/>
        <w:ind w:firstLine="482"/>
        <w:jc w:val="left"/>
        <w:rPr>
          <w:rFonts w:ascii="宋体" w:hAnsi="宋体" w:cs="宋体"/>
          <w:b/>
          <w:bCs/>
          <w:position w:val="6"/>
          <w:sz w:val="24"/>
        </w:rPr>
      </w:pPr>
      <w:r>
        <w:rPr>
          <w:rFonts w:hint="eastAsia" w:ascii="宋体" w:hAnsi="宋体" w:cs="宋体"/>
          <w:b/>
          <w:bCs/>
          <w:position w:val="6"/>
          <w:sz w:val="24"/>
        </w:rPr>
        <w:t>三、售后服务要求</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产品均提供三证（产品合格证、使用说明书、产品保修卡）质保期至少一年，终身维修。产品质量达到企业标准，并做出以下产品服务承诺：</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（2）保修：在申明的产品保修期内，对因设计、工艺、材料不良而影响产品使用功能，本公司承担修复产品所产生的各项配件和服务费用。</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jc w:val="center"/>
        <w:outlineLvl w:val="0"/>
        <w:rPr>
          <w:rFonts w:eastAsia="黑体"/>
          <w:color w:val="000000" w:themeColor="text1"/>
          <w:sz w:val="40"/>
          <w:szCs w:val="40"/>
        </w:rPr>
      </w:pPr>
      <w:bookmarkStart w:id="133" w:name="_Toc108021876"/>
      <w:bookmarkStart w:id="134" w:name="_Toc92297387"/>
      <w:r>
        <w:rPr>
          <w:rFonts w:eastAsia="黑体"/>
          <w:sz w:val="40"/>
          <w:szCs w:val="40"/>
        </w:rPr>
        <w:t>第五章 定标原则</w:t>
      </w:r>
      <w:r>
        <w:rPr>
          <w:rFonts w:eastAsia="黑体"/>
          <w:color w:val="000000" w:themeColor="text1"/>
          <w:sz w:val="40"/>
          <w:szCs w:val="40"/>
        </w:rPr>
        <w:t>与评标标准</w:t>
      </w:r>
      <w:bookmarkEnd w:id="133"/>
      <w:bookmarkEnd w:id="134"/>
    </w:p>
    <w:p>
      <w:pPr>
        <w:spacing w:line="440" w:lineRule="exact"/>
        <w:ind w:firstLine="482" w:firstLineChars="200"/>
        <w:rPr>
          <w:rFonts w:eastAsiaTheme="minorEastAsia"/>
          <w:b/>
          <w:color w:val="000000" w:themeColor="text1"/>
          <w:sz w:val="24"/>
          <w:szCs w:val="24"/>
        </w:rPr>
      </w:pP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一、定标原则</w:t>
      </w:r>
    </w:p>
    <w:p>
      <w:pPr>
        <w:spacing w:line="360" w:lineRule="auto"/>
        <w:ind w:firstLine="480"/>
        <w:rPr>
          <w:rFonts w:cs="宋体"/>
          <w:bCs/>
          <w:kern w:val="0"/>
          <w:sz w:val="24"/>
          <w:szCs w:val="24"/>
        </w:rPr>
      </w:pPr>
      <w:r>
        <w:rPr>
          <w:color w:val="000000" w:themeColor="text1"/>
          <w:sz w:val="24"/>
          <w:szCs w:val="24"/>
        </w:rPr>
        <w:t xml:space="preserve">本项目采用 </w:t>
      </w:r>
      <w:r>
        <w:rPr>
          <w:color w:val="000000" w:themeColor="text1"/>
          <w:sz w:val="24"/>
          <w:szCs w:val="24"/>
          <w:u w:val="single"/>
        </w:rPr>
        <w:t>综合评分</w:t>
      </w:r>
      <w:r>
        <w:rPr>
          <w:color w:val="000000" w:themeColor="text1"/>
          <w:sz w:val="24"/>
          <w:szCs w:val="24"/>
        </w:rPr>
        <w:t xml:space="preserve"> 法。</w:t>
      </w:r>
      <w:r>
        <w:rPr>
          <w:color w:val="000000" w:themeColor="text1"/>
          <w:kern w:val="0"/>
          <w:sz w:val="24"/>
          <w:szCs w:val="24"/>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rPr>
      </w:pPr>
      <w:r>
        <w:rPr>
          <w:color w:val="000000" w:themeColor="text1"/>
          <w:sz w:val="24"/>
          <w:szCs w:val="24"/>
        </w:rPr>
        <w:t>政府采购政策功能落实</w:t>
      </w:r>
    </w:p>
    <w:p>
      <w:pPr>
        <w:spacing w:line="440" w:lineRule="exact"/>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w:t>
      </w:r>
      <w:r>
        <w:rPr>
          <w:color w:val="000000" w:themeColor="text1"/>
          <w:sz w:val="24"/>
          <w:szCs w:val="24"/>
        </w:rPr>
        <w:t>小微型企业价格扣除</w:t>
      </w:r>
    </w:p>
    <w:p>
      <w:pPr>
        <w:spacing w:line="440" w:lineRule="exact"/>
        <w:ind w:firstLine="480" w:firstLineChars="200"/>
        <w:rPr>
          <w:color w:val="000000" w:themeColor="text1"/>
          <w:sz w:val="24"/>
          <w:szCs w:val="24"/>
        </w:rPr>
      </w:pPr>
      <w:r>
        <w:rPr>
          <w:color w:val="000000" w:themeColor="text1"/>
          <w:sz w:val="24"/>
          <w:szCs w:val="24"/>
        </w:rPr>
        <w:t>（1）本项目对小型和微型企业产品给予</w:t>
      </w:r>
      <w:r>
        <w:rPr>
          <w:rFonts w:hint="eastAsia"/>
          <w:color w:val="000000" w:themeColor="text1"/>
          <w:sz w:val="24"/>
          <w:szCs w:val="24"/>
        </w:rPr>
        <w:t>2</w:t>
      </w:r>
      <w:r>
        <w:rPr>
          <w:color w:val="000000" w:themeColor="text1"/>
          <w:sz w:val="24"/>
          <w:szCs w:val="24"/>
        </w:rPr>
        <w:t>0%的扣除价格，用扣除后的价格参与评审。</w:t>
      </w:r>
    </w:p>
    <w:p>
      <w:pPr>
        <w:spacing w:line="440" w:lineRule="exact"/>
        <w:ind w:firstLine="480" w:firstLineChars="200"/>
        <w:rPr>
          <w:color w:val="000000" w:themeColor="text1"/>
          <w:sz w:val="24"/>
          <w:szCs w:val="24"/>
        </w:rPr>
      </w:pPr>
      <w:r>
        <w:rPr>
          <w:color w:val="000000" w:themeColor="text1"/>
          <w:sz w:val="24"/>
          <w:szCs w:val="24"/>
        </w:rPr>
        <w:t>（2）供应商需按照招标文件的要求提供相应的《企业声明函》。</w:t>
      </w:r>
    </w:p>
    <w:p>
      <w:pPr>
        <w:spacing w:line="440" w:lineRule="exact"/>
        <w:ind w:firstLine="480" w:firstLineChars="200"/>
        <w:rPr>
          <w:color w:val="000000" w:themeColor="text1"/>
          <w:sz w:val="24"/>
          <w:szCs w:val="24"/>
        </w:rPr>
      </w:pPr>
      <w:r>
        <w:rPr>
          <w:color w:val="000000" w:themeColor="text1"/>
          <w:sz w:val="24"/>
          <w:szCs w:val="24"/>
        </w:rPr>
        <w:t>（3）企业标准请参照《关于印发中小企业划型标准规定的通知》（工信部联企业〔201</w:t>
      </w:r>
      <w:r>
        <w:rPr>
          <w:rFonts w:hint="eastAsia"/>
          <w:color w:val="000000" w:themeColor="text1"/>
          <w:sz w:val="24"/>
          <w:szCs w:val="24"/>
        </w:rPr>
        <w:t>1</w:t>
      </w:r>
      <w:r>
        <w:rPr>
          <w:color w:val="000000" w:themeColor="text1"/>
          <w:sz w:val="24"/>
          <w:szCs w:val="24"/>
        </w:rPr>
        <w:t>〕300号）文件规定自行填写。</w:t>
      </w:r>
    </w:p>
    <w:p>
      <w:pPr>
        <w:spacing w:line="440" w:lineRule="exact"/>
        <w:ind w:firstLine="482" w:firstLineChars="200"/>
        <w:rPr>
          <w:b/>
          <w:bCs/>
          <w:color w:val="000000" w:themeColor="text1"/>
          <w:sz w:val="24"/>
          <w:szCs w:val="24"/>
        </w:rPr>
      </w:pPr>
      <w:r>
        <w:rPr>
          <w:b/>
          <w:bCs/>
          <w:color w:val="000000" w:themeColor="text1"/>
          <w:sz w:val="24"/>
          <w:szCs w:val="24"/>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rPr>
      </w:pPr>
      <w:r>
        <w:rPr>
          <w:color w:val="000000" w:themeColor="text1"/>
          <w:sz w:val="24"/>
          <w:szCs w:val="24"/>
        </w:rPr>
        <w:t>2</w:t>
      </w:r>
      <w:r>
        <w:rPr>
          <w:rFonts w:hint="eastAsia"/>
          <w:color w:val="000000" w:themeColor="text1"/>
          <w:sz w:val="24"/>
          <w:szCs w:val="24"/>
        </w:rPr>
        <w:t>.</w:t>
      </w:r>
      <w:r>
        <w:rPr>
          <w:color w:val="000000" w:themeColor="text1"/>
          <w:sz w:val="24"/>
          <w:szCs w:val="24"/>
        </w:rPr>
        <w:t>残疾人福利单位价格扣除</w:t>
      </w:r>
    </w:p>
    <w:p>
      <w:pPr>
        <w:spacing w:line="440" w:lineRule="exact"/>
        <w:ind w:firstLine="480" w:firstLineChars="200"/>
        <w:rPr>
          <w:color w:val="000000" w:themeColor="text1"/>
          <w:sz w:val="24"/>
          <w:szCs w:val="24"/>
        </w:rPr>
      </w:pPr>
      <w:r>
        <w:rPr>
          <w:color w:val="000000" w:themeColor="text1"/>
          <w:sz w:val="24"/>
          <w:szCs w:val="24"/>
        </w:rPr>
        <w:t>（1）本项目对残疾人福利性单位视同小型、微型企业，给予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（2）残疾人福利单位需按照招标文件的要求提供《残疾人福利性单位声明函》。</w:t>
      </w:r>
    </w:p>
    <w:p>
      <w:pPr>
        <w:spacing w:line="440" w:lineRule="exact"/>
        <w:ind w:firstLine="480" w:firstLineChars="200"/>
        <w:rPr>
          <w:color w:val="000000" w:themeColor="text1"/>
          <w:sz w:val="24"/>
          <w:szCs w:val="24"/>
        </w:rPr>
      </w:pPr>
      <w:r>
        <w:rPr>
          <w:color w:val="000000" w:themeColor="text1"/>
          <w:sz w:val="24"/>
          <w:szCs w:val="24"/>
        </w:rPr>
        <w:t>（3）残疾人福利单位标准请参照《关于促进残疾人就业政府采购政策的通知》（财库〔2017〕141号）。</w:t>
      </w:r>
    </w:p>
    <w:p>
      <w:pPr>
        <w:spacing w:line="440" w:lineRule="exact"/>
        <w:ind w:firstLine="480" w:firstLineChars="200"/>
        <w:rPr>
          <w:color w:val="000000" w:themeColor="text1"/>
          <w:sz w:val="24"/>
          <w:szCs w:val="24"/>
        </w:rPr>
      </w:pPr>
      <w:r>
        <w:rPr>
          <w:color w:val="000000" w:themeColor="text1"/>
          <w:sz w:val="24"/>
          <w:szCs w:val="24"/>
        </w:rPr>
        <w:t>3</w:t>
      </w:r>
      <w:r>
        <w:rPr>
          <w:rFonts w:hint="eastAsia"/>
          <w:color w:val="000000" w:themeColor="text1"/>
          <w:sz w:val="24"/>
          <w:szCs w:val="24"/>
        </w:rPr>
        <w:t>.</w:t>
      </w:r>
      <w:r>
        <w:rPr>
          <w:color w:val="000000" w:themeColor="text1"/>
          <w:sz w:val="24"/>
          <w:szCs w:val="24"/>
        </w:rPr>
        <w:t>监狱和戒毒企业价格扣除</w:t>
      </w:r>
    </w:p>
    <w:p>
      <w:pPr>
        <w:spacing w:line="440" w:lineRule="exact"/>
        <w:ind w:firstLine="480" w:firstLineChars="200"/>
        <w:rPr>
          <w:color w:val="000000" w:themeColor="text1"/>
          <w:sz w:val="24"/>
          <w:szCs w:val="24"/>
        </w:rPr>
      </w:pPr>
      <w:r>
        <w:rPr>
          <w:color w:val="000000" w:themeColor="text1"/>
          <w:sz w:val="24"/>
          <w:szCs w:val="24"/>
        </w:rPr>
        <w:t>（1）本项目对监狱和戒毒企业（简称监狱企业）视同小型、微型企业，给予</w:t>
      </w:r>
      <w:r>
        <w:rPr>
          <w:rFonts w:hint="eastAsia"/>
          <w:color w:val="000000" w:themeColor="text1"/>
          <w:sz w:val="24"/>
          <w:szCs w:val="24"/>
        </w:rPr>
        <w:t>2</w:t>
      </w:r>
      <w:r>
        <w:rPr>
          <w:color w:val="000000" w:themeColor="text1"/>
          <w:sz w:val="24"/>
          <w:szCs w:val="24"/>
        </w:rPr>
        <w:t>0%的价格扣除，用扣除后的价格参与评审。</w:t>
      </w:r>
    </w:p>
    <w:p>
      <w:pPr>
        <w:spacing w:line="440" w:lineRule="exact"/>
        <w:ind w:firstLine="480" w:firstLineChars="200"/>
        <w:rPr>
          <w:color w:val="000000" w:themeColor="text1"/>
          <w:sz w:val="24"/>
          <w:szCs w:val="24"/>
        </w:rPr>
      </w:pPr>
      <w:r>
        <w:rPr>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rPr>
      </w:pPr>
      <w:r>
        <w:rPr>
          <w:color w:val="000000" w:themeColor="text1"/>
          <w:sz w:val="24"/>
          <w:szCs w:val="24"/>
        </w:rPr>
        <w:t>（3）监狱企业标准请参照《关于政府采购支持监狱企业发展有关问题的通知》（财库〔201</w:t>
      </w:r>
      <w:r>
        <w:rPr>
          <w:rFonts w:hint="eastAsia"/>
          <w:color w:val="000000" w:themeColor="text1"/>
          <w:sz w:val="24"/>
          <w:szCs w:val="24"/>
        </w:rPr>
        <w:t>4</w:t>
      </w:r>
      <w:r>
        <w:rPr>
          <w:color w:val="000000" w:themeColor="text1"/>
          <w:sz w:val="24"/>
          <w:szCs w:val="24"/>
        </w:rPr>
        <w:t>〕68号）。</w:t>
      </w:r>
    </w:p>
    <w:p>
      <w:pPr>
        <w:spacing w:line="440" w:lineRule="exact"/>
        <w:ind w:firstLine="480" w:firstLineChars="200"/>
        <w:rPr>
          <w:color w:val="000000" w:themeColor="text1"/>
          <w:sz w:val="24"/>
          <w:szCs w:val="24"/>
        </w:rPr>
      </w:pPr>
      <w:r>
        <w:rPr>
          <w:color w:val="000000" w:themeColor="text1"/>
          <w:sz w:val="24"/>
          <w:szCs w:val="24"/>
        </w:rPr>
        <w:t>4</w:t>
      </w:r>
      <w:r>
        <w:rPr>
          <w:rFonts w:hint="eastAsia"/>
          <w:color w:val="000000" w:themeColor="text1"/>
          <w:sz w:val="24"/>
          <w:szCs w:val="24"/>
        </w:rPr>
        <w:t>.</w:t>
      </w:r>
      <w:r>
        <w:rPr>
          <w:color w:val="000000" w:themeColor="text1"/>
          <w:sz w:val="24"/>
          <w:szCs w:val="24"/>
        </w:rPr>
        <w:t>残疾人福利单位、监狱企业属于小型、微型企业的，不重复享受政策。</w:t>
      </w:r>
    </w:p>
    <w:p>
      <w:pPr>
        <w:spacing w:line="440" w:lineRule="exact"/>
        <w:ind w:firstLine="480" w:firstLineChars="200"/>
        <w:rPr>
          <w:color w:val="000000" w:themeColor="text1"/>
          <w:sz w:val="24"/>
          <w:szCs w:val="24"/>
        </w:rPr>
      </w:pPr>
      <w:r>
        <w:rPr>
          <w:rFonts w:hint="eastAsia"/>
          <w:color w:val="000000" w:themeColor="text1"/>
          <w:sz w:val="24"/>
          <w:szCs w:val="24"/>
        </w:rPr>
        <w:t>5、符合本采购文件优先采购 “环境标志产品”或“节能产品”的；必须提供“环境标志产品”或“节能产品”证明，否则不予认可。</w:t>
      </w:r>
    </w:p>
    <w:p>
      <w:pPr>
        <w:spacing w:line="440" w:lineRule="exact"/>
        <w:ind w:firstLine="480" w:firstLineChars="200"/>
        <w:rPr>
          <w:color w:val="000000" w:themeColor="text1"/>
          <w:sz w:val="24"/>
          <w:szCs w:val="24"/>
        </w:rPr>
      </w:pPr>
      <w:r>
        <w:rPr>
          <w:rFonts w:hint="eastAsia"/>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pacing w:line="440" w:lineRule="exact"/>
        <w:ind w:firstLine="482" w:firstLineChars="200"/>
        <w:rPr>
          <w:rFonts w:eastAsiaTheme="minorEastAsia"/>
          <w:b/>
          <w:color w:val="000000" w:themeColor="text1"/>
          <w:sz w:val="24"/>
          <w:szCs w:val="24"/>
        </w:rPr>
      </w:pPr>
      <w:r>
        <w:rPr>
          <w:rFonts w:eastAsiaTheme="minorEastAsia"/>
          <w:b/>
          <w:color w:val="000000" w:themeColor="text1"/>
          <w:sz w:val="24"/>
          <w:szCs w:val="24"/>
        </w:rPr>
        <w:t>二、评标标准</w:t>
      </w:r>
    </w:p>
    <w:p>
      <w:pPr>
        <w:spacing w:line="440" w:lineRule="exact"/>
        <w:ind w:firstLine="480" w:firstLineChars="200"/>
        <w:rPr>
          <w:rFonts w:eastAsiaTheme="minorEastAsia"/>
          <w:bCs/>
          <w:color w:val="000000" w:themeColor="text1"/>
          <w:kern w:val="0"/>
          <w:sz w:val="24"/>
          <w:szCs w:val="24"/>
        </w:rPr>
      </w:pPr>
      <w:r>
        <w:rPr>
          <w:rFonts w:eastAsiaTheme="minorEastAsia"/>
          <w:bCs/>
          <w:color w:val="000000" w:themeColor="text1"/>
          <w:kern w:val="0"/>
          <w:sz w:val="24"/>
          <w:szCs w:val="24"/>
        </w:rPr>
        <w:t>本项目</w:t>
      </w:r>
      <w:r>
        <w:rPr>
          <w:rFonts w:hint="eastAsia" w:eastAsiaTheme="minorEastAsia"/>
          <w:bCs/>
          <w:color w:val="000000" w:themeColor="text1"/>
          <w:kern w:val="0"/>
          <w:sz w:val="24"/>
          <w:szCs w:val="24"/>
        </w:rPr>
        <w:t>一标段</w:t>
      </w:r>
      <w:r>
        <w:rPr>
          <w:rFonts w:eastAsiaTheme="minorEastAsia"/>
          <w:bCs/>
          <w:color w:val="000000" w:themeColor="text1"/>
          <w:kern w:val="0"/>
          <w:sz w:val="24"/>
          <w:szCs w:val="24"/>
        </w:rPr>
        <w:t>评分总分值为100分。</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rPr>
            </w:pPr>
            <w:r>
              <w:rPr>
                <w:b/>
                <w:bCs/>
                <w:color w:val="000000" w:themeColor="text1"/>
                <w:kern w:val="0"/>
                <w:sz w:val="24"/>
                <w:szCs w:val="24"/>
              </w:rPr>
              <w:t>序号</w:t>
            </w:r>
          </w:p>
        </w:tc>
        <w:tc>
          <w:tcPr>
            <w:tcW w:w="1526"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评审因素</w:t>
            </w:r>
          </w:p>
        </w:tc>
        <w:tc>
          <w:tcPr>
            <w:tcW w:w="5899"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评审细则</w:t>
            </w:r>
          </w:p>
        </w:tc>
        <w:tc>
          <w:tcPr>
            <w:tcW w:w="946" w:type="dxa"/>
            <w:vAlign w:val="center"/>
          </w:tcPr>
          <w:p>
            <w:pPr>
              <w:spacing w:line="360" w:lineRule="auto"/>
              <w:jc w:val="center"/>
              <w:rPr>
                <w:b/>
                <w:bCs/>
                <w:color w:val="000000" w:themeColor="text1"/>
                <w:kern w:val="0"/>
                <w:sz w:val="24"/>
                <w:szCs w:val="24"/>
              </w:rPr>
            </w:pPr>
            <w:r>
              <w:rPr>
                <w:b/>
                <w:bCs/>
                <w:color w:val="000000" w:themeColor="text1"/>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1</w:t>
            </w:r>
          </w:p>
        </w:tc>
        <w:tc>
          <w:tcPr>
            <w:tcW w:w="1526" w:type="dxa"/>
            <w:vAlign w:val="center"/>
          </w:tcPr>
          <w:p>
            <w:pPr>
              <w:adjustRightInd w:val="0"/>
              <w:spacing w:after="161" w:afterLines="50" w:line="360" w:lineRule="auto"/>
              <w:ind w:firstLine="228" w:firstLineChars="95"/>
              <w:rPr>
                <w:color w:val="000000" w:themeColor="text1"/>
                <w:kern w:val="0"/>
                <w:sz w:val="24"/>
                <w:szCs w:val="24"/>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2</w:t>
            </w:r>
          </w:p>
        </w:tc>
        <w:tc>
          <w:tcPr>
            <w:tcW w:w="1526" w:type="dxa"/>
            <w:vAlign w:val="center"/>
          </w:tcPr>
          <w:p>
            <w:pPr>
              <w:adjustRightInd w:val="0"/>
              <w:spacing w:after="161" w:afterLines="50" w:line="360" w:lineRule="auto"/>
              <w:rPr>
                <w:color w:val="000000" w:themeColor="text1"/>
                <w:kern w:val="0"/>
                <w:sz w:val="24"/>
                <w:szCs w:val="24"/>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1、投标人所投货物完全响应或正偏离招标文件货物技术参数要求的得40分；打▲号为重要指标，有一项负偏离扣3分；其他技术参数，有一项负偏离扣1分；扣完为止。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注：以上“技术参数”响应情况均须在投标文件《投标产品技术参数偏离表》中逐条表述清楚，如表述不清，则按不满足（负偏离）处理。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3</w:t>
            </w:r>
          </w:p>
        </w:tc>
        <w:tc>
          <w:tcPr>
            <w:tcW w:w="1526" w:type="dxa"/>
            <w:vAlign w:val="center"/>
          </w:tcPr>
          <w:p>
            <w:pPr>
              <w:spacing w:line="360" w:lineRule="auto"/>
              <w:jc w:val="center"/>
              <w:rPr>
                <w:color w:val="000000" w:themeColor="text1"/>
                <w:kern w:val="0"/>
                <w:sz w:val="24"/>
                <w:szCs w:val="24"/>
              </w:rPr>
            </w:pPr>
            <w:r>
              <w:rPr>
                <w:rFonts w:hint="eastAsia" w:ascii="宋体" w:hAnsi="宋体" w:cs="微软雅黑"/>
                <w:position w:val="6"/>
                <w:sz w:val="24"/>
                <w:szCs w:val="24"/>
                <w:lang w:val="zh-CN"/>
              </w:rPr>
              <w:t>投标人业绩</w:t>
            </w:r>
          </w:p>
        </w:tc>
        <w:tc>
          <w:tcPr>
            <w:tcW w:w="5899" w:type="dxa"/>
            <w:vAlign w:val="center"/>
          </w:tcPr>
          <w:p>
            <w:pPr>
              <w:spacing w:line="360" w:lineRule="auto"/>
              <w:ind w:firstLine="480" w:firstLineChars="200"/>
              <w:rPr>
                <w:sz w:val="24"/>
                <w:szCs w:val="24"/>
              </w:rPr>
            </w:pPr>
            <w:r>
              <w:rPr>
                <w:rFonts w:hint="eastAsia"/>
                <w:sz w:val="24"/>
                <w:szCs w:val="24"/>
              </w:rPr>
              <w:t>投标人自2019年1月1日以来（以合同签订时间为准），投标人承接过类似项目业绩的，有一个得2分，</w:t>
            </w:r>
          </w:p>
          <w:p>
            <w:pPr>
              <w:spacing w:line="360" w:lineRule="auto"/>
              <w:rPr>
                <w:sz w:val="24"/>
                <w:szCs w:val="24"/>
              </w:rPr>
            </w:pPr>
            <w:r>
              <w:rPr>
                <w:rFonts w:hint="eastAsia"/>
                <w:sz w:val="24"/>
                <w:szCs w:val="24"/>
              </w:rPr>
              <w:t>最多得10分（以合同原件为准，否则不得分）</w:t>
            </w:r>
            <w:r>
              <w:rPr>
                <w:rFonts w:hint="eastAsia" w:ascii="宋体" w:hAnsi="宋体" w:cs="微软雅黑"/>
                <w:position w:val="6"/>
                <w:sz w:val="24"/>
                <w:szCs w:val="24"/>
              </w:rPr>
              <w:t>。</w:t>
            </w:r>
          </w:p>
        </w:tc>
        <w:tc>
          <w:tcPr>
            <w:tcW w:w="946" w:type="dxa"/>
            <w:vAlign w:val="center"/>
          </w:tcPr>
          <w:p>
            <w:pPr>
              <w:widowControl/>
              <w:adjustRightInd w:val="0"/>
              <w:snapToGrid w:val="0"/>
              <w:spacing w:after="161" w:afterLines="50" w:line="360" w:lineRule="auto"/>
              <w:jc w:val="left"/>
              <w:textAlignment w:val="baseline"/>
              <w:rPr>
                <w:sz w:val="24"/>
                <w:szCs w:val="24"/>
              </w:rPr>
            </w:pPr>
            <w:r>
              <w:rPr>
                <w:rFonts w:hint="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4</w:t>
            </w:r>
          </w:p>
        </w:tc>
        <w:tc>
          <w:tcPr>
            <w:tcW w:w="1526" w:type="dxa"/>
            <w:vAlign w:val="center"/>
          </w:tcPr>
          <w:p>
            <w:pPr>
              <w:adjustRightInd w:val="0"/>
              <w:spacing w:after="161" w:afterLines="50" w:line="360" w:lineRule="auto"/>
              <w:rPr>
                <w:color w:val="000000" w:themeColor="text1"/>
                <w:kern w:val="0"/>
                <w:sz w:val="24"/>
                <w:szCs w:val="24"/>
              </w:rPr>
            </w:pPr>
            <w:r>
              <w:rPr>
                <w:rFonts w:hint="eastAsia" w:ascii="宋体" w:hAnsi="宋体" w:cs="宋体"/>
                <w:color w:val="000000"/>
                <w:sz w:val="24"/>
                <w:szCs w:val="24"/>
              </w:rPr>
              <w:t>安装实施组织方案及售后服务</w:t>
            </w:r>
          </w:p>
        </w:tc>
        <w:tc>
          <w:tcPr>
            <w:tcW w:w="5899" w:type="dxa"/>
            <w:vAlign w:val="center"/>
          </w:tcPr>
          <w:p>
            <w:pPr>
              <w:numPr>
                <w:ilvl w:val="0"/>
                <w:numId w:val="8"/>
              </w:numPr>
              <w:spacing w:line="360" w:lineRule="auto"/>
              <w:ind w:left="420"/>
              <w:rPr>
                <w:rFonts w:cs="宋体"/>
                <w:sz w:val="24"/>
                <w:szCs w:val="24"/>
              </w:rPr>
            </w:pPr>
            <w:r>
              <w:rPr>
                <w:rFonts w:hint="eastAsia" w:cs="宋体"/>
                <w:sz w:val="24"/>
                <w:szCs w:val="24"/>
              </w:rPr>
              <w:t>投标人提供符合采购需求的供货安装方案，包</w:t>
            </w:r>
          </w:p>
          <w:p>
            <w:pPr>
              <w:spacing w:line="360" w:lineRule="auto"/>
              <w:rPr>
                <w:rFonts w:cs="宋体"/>
                <w:sz w:val="24"/>
                <w:szCs w:val="24"/>
              </w:rPr>
            </w:pPr>
            <w:r>
              <w:rPr>
                <w:rFonts w:hint="eastAsia" w:cs="宋体"/>
                <w:sz w:val="24"/>
                <w:szCs w:val="24"/>
              </w:rPr>
              <w:t>含但不限于以下内容：①管理制度、②进度计划表、③供货及安装人员保障、④疫情下常态化管理等内容。每提供一个符合采购需求内容的得1分，不能符合采购需求的得0分。最多得4分。</w:t>
            </w:r>
          </w:p>
          <w:p>
            <w:pPr>
              <w:numPr>
                <w:ilvl w:val="0"/>
                <w:numId w:val="8"/>
              </w:numPr>
              <w:spacing w:line="360" w:lineRule="auto"/>
              <w:ind w:left="420"/>
              <w:rPr>
                <w:rFonts w:cs="宋体"/>
                <w:sz w:val="24"/>
                <w:szCs w:val="24"/>
              </w:rPr>
            </w:pPr>
            <w:r>
              <w:rPr>
                <w:rFonts w:hint="eastAsia" w:cs="宋体"/>
                <w:sz w:val="24"/>
                <w:szCs w:val="24"/>
              </w:rPr>
              <w:t>投标人提供符合采购需求的售后服务方案，包</w:t>
            </w:r>
          </w:p>
          <w:p>
            <w:pPr>
              <w:spacing w:line="360" w:lineRule="auto"/>
              <w:rPr>
                <w:rFonts w:cs="宋体"/>
                <w:sz w:val="24"/>
                <w:szCs w:val="24"/>
              </w:rPr>
            </w:pPr>
            <w:r>
              <w:rPr>
                <w:rFonts w:hint="eastAsia" w:cs="宋体"/>
                <w:sz w:val="24"/>
                <w:szCs w:val="24"/>
              </w:rPr>
              <w:t>含但不限于以下内容：①售后服务</w:t>
            </w:r>
            <w:r>
              <w:rPr>
                <w:rFonts w:hint="eastAsia"/>
                <w:sz w:val="24"/>
                <w:szCs w:val="24"/>
              </w:rPr>
              <w:t>人员安排、</w:t>
            </w:r>
            <w:r>
              <w:rPr>
                <w:rFonts w:hint="eastAsia" w:cs="宋体"/>
                <w:sz w:val="24"/>
                <w:szCs w:val="24"/>
              </w:rPr>
              <w:t>②</w:t>
            </w:r>
            <w:r>
              <w:rPr>
                <w:rFonts w:hint="eastAsia"/>
                <w:sz w:val="24"/>
                <w:szCs w:val="24"/>
              </w:rPr>
              <w:t>人员培训、</w:t>
            </w:r>
            <w:r>
              <w:rPr>
                <w:rFonts w:hint="eastAsia" w:cs="宋体"/>
                <w:sz w:val="24"/>
                <w:szCs w:val="24"/>
              </w:rPr>
              <w:t>③</w:t>
            </w:r>
            <w:r>
              <w:rPr>
                <w:rFonts w:hint="eastAsia"/>
                <w:sz w:val="24"/>
                <w:szCs w:val="24"/>
              </w:rPr>
              <w:t>紧急故障处理预案、</w:t>
            </w:r>
            <w:r>
              <w:rPr>
                <w:rFonts w:hint="eastAsia" w:cs="宋体"/>
                <w:sz w:val="24"/>
                <w:szCs w:val="24"/>
              </w:rPr>
              <w:t>④</w:t>
            </w:r>
            <w:r>
              <w:rPr>
                <w:rFonts w:hint="eastAsia"/>
                <w:sz w:val="24"/>
                <w:szCs w:val="24"/>
              </w:rPr>
              <w:t>维护期内外的后续技术支持和维护</w:t>
            </w:r>
            <w:r>
              <w:rPr>
                <w:rFonts w:hint="eastAsia" w:cs="宋体"/>
                <w:sz w:val="24"/>
                <w:szCs w:val="24"/>
              </w:rPr>
              <w:t>。每提供一个符合采购需求内容的得1分，不能采购符合需求的得0分。最多得4分。</w:t>
            </w:r>
          </w:p>
          <w:p>
            <w:pPr>
              <w:pStyle w:val="21"/>
              <w:ind w:firstLine="480"/>
              <w:rPr>
                <w:sz w:val="24"/>
                <w:szCs w:val="24"/>
              </w:rPr>
            </w:pPr>
            <w:r>
              <w:rPr>
                <w:rFonts w:hint="eastAsia" w:ascii="Times New Roman" w:eastAsia="宋体"/>
                <w:sz w:val="24"/>
                <w:szCs w:val="24"/>
              </w:rPr>
              <w:t>3、投标人所投产品的质保期不少于1年，质保期多1年的加1分，最多加2分。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spacing w:line="440" w:lineRule="exact"/>
        <w:rPr>
          <w:rFonts w:eastAsiaTheme="minorEastAsia"/>
          <w:bCs/>
          <w:color w:val="000000" w:themeColor="text1"/>
          <w:kern w:val="0"/>
          <w:sz w:val="24"/>
          <w:szCs w:val="24"/>
        </w:rPr>
      </w:pPr>
    </w:p>
    <w:p>
      <w:pPr>
        <w:spacing w:line="440" w:lineRule="exact"/>
        <w:rPr>
          <w:rFonts w:eastAsiaTheme="minorEastAsia"/>
          <w:bCs/>
          <w:color w:val="000000" w:themeColor="text1"/>
          <w:kern w:val="0"/>
          <w:sz w:val="24"/>
          <w:szCs w:val="24"/>
        </w:rPr>
      </w:pPr>
    </w:p>
    <w:p>
      <w:pPr>
        <w:spacing w:line="440" w:lineRule="exact"/>
        <w:rPr>
          <w:rFonts w:eastAsiaTheme="minorEastAsia"/>
          <w:bCs/>
          <w:color w:val="000000" w:themeColor="text1"/>
          <w:kern w:val="0"/>
          <w:sz w:val="24"/>
          <w:szCs w:val="24"/>
        </w:rPr>
      </w:pPr>
      <w:r>
        <w:rPr>
          <w:rFonts w:eastAsiaTheme="minorEastAsia"/>
          <w:bCs/>
          <w:color w:val="000000" w:themeColor="text1"/>
          <w:kern w:val="0"/>
          <w:sz w:val="24"/>
          <w:szCs w:val="24"/>
        </w:rPr>
        <w:t>本项目</w:t>
      </w:r>
      <w:r>
        <w:rPr>
          <w:rFonts w:hint="eastAsia" w:eastAsiaTheme="minorEastAsia"/>
          <w:bCs/>
          <w:color w:val="000000" w:themeColor="text1"/>
          <w:kern w:val="0"/>
          <w:sz w:val="24"/>
          <w:szCs w:val="24"/>
        </w:rPr>
        <w:t>二标段</w:t>
      </w:r>
      <w:r>
        <w:rPr>
          <w:rFonts w:eastAsiaTheme="minorEastAsia"/>
          <w:bCs/>
          <w:color w:val="000000" w:themeColor="text1"/>
          <w:kern w:val="0"/>
          <w:sz w:val="24"/>
          <w:szCs w:val="24"/>
        </w:rPr>
        <w:t>评分总分值为100分。</w:t>
      </w:r>
    </w:p>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2" w:type="dxa"/>
            <w:vAlign w:val="center"/>
          </w:tcPr>
          <w:p>
            <w:pPr>
              <w:spacing w:line="360" w:lineRule="auto"/>
              <w:jc w:val="center"/>
              <w:rPr>
                <w:b/>
                <w:bCs/>
                <w:color w:val="000000" w:themeColor="text1"/>
                <w:kern w:val="0"/>
                <w:sz w:val="24"/>
                <w:szCs w:val="24"/>
              </w:rPr>
            </w:pPr>
            <w:r>
              <w:rPr>
                <w:b/>
                <w:bCs/>
                <w:color w:val="000000" w:themeColor="text1"/>
                <w:kern w:val="0"/>
                <w:sz w:val="24"/>
                <w:szCs w:val="24"/>
              </w:rPr>
              <w:t>序号</w:t>
            </w:r>
          </w:p>
        </w:tc>
        <w:tc>
          <w:tcPr>
            <w:tcW w:w="1526"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评审因素</w:t>
            </w:r>
          </w:p>
        </w:tc>
        <w:tc>
          <w:tcPr>
            <w:tcW w:w="5899" w:type="dxa"/>
            <w:vAlign w:val="center"/>
          </w:tcPr>
          <w:p>
            <w:pPr>
              <w:spacing w:line="360" w:lineRule="auto"/>
              <w:jc w:val="center"/>
              <w:rPr>
                <w:b/>
                <w:bCs/>
                <w:color w:val="000000" w:themeColor="text1"/>
                <w:kern w:val="0"/>
                <w:sz w:val="24"/>
                <w:szCs w:val="24"/>
              </w:rPr>
            </w:pPr>
            <w:r>
              <w:rPr>
                <w:b/>
                <w:bCs/>
                <w:color w:val="000000" w:themeColor="text1"/>
                <w:kern w:val="0"/>
                <w:sz w:val="24"/>
                <w:szCs w:val="24"/>
              </w:rPr>
              <w:t>评审细则</w:t>
            </w:r>
          </w:p>
        </w:tc>
        <w:tc>
          <w:tcPr>
            <w:tcW w:w="946" w:type="dxa"/>
            <w:vAlign w:val="center"/>
          </w:tcPr>
          <w:p>
            <w:pPr>
              <w:spacing w:line="360" w:lineRule="auto"/>
              <w:jc w:val="center"/>
              <w:rPr>
                <w:b/>
                <w:bCs/>
                <w:color w:val="000000" w:themeColor="text1"/>
                <w:kern w:val="0"/>
                <w:sz w:val="24"/>
                <w:szCs w:val="24"/>
              </w:rPr>
            </w:pPr>
            <w:r>
              <w:rPr>
                <w:b/>
                <w:bCs/>
                <w:color w:val="000000" w:themeColor="text1"/>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1</w:t>
            </w:r>
          </w:p>
        </w:tc>
        <w:tc>
          <w:tcPr>
            <w:tcW w:w="1526" w:type="dxa"/>
            <w:vAlign w:val="center"/>
          </w:tcPr>
          <w:p>
            <w:pPr>
              <w:adjustRightInd w:val="0"/>
              <w:spacing w:after="161" w:afterLines="50" w:line="360" w:lineRule="auto"/>
              <w:ind w:firstLine="228" w:firstLineChars="95"/>
              <w:rPr>
                <w:color w:val="000000" w:themeColor="text1"/>
                <w:kern w:val="0"/>
                <w:sz w:val="24"/>
                <w:szCs w:val="24"/>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2</w:t>
            </w:r>
          </w:p>
        </w:tc>
        <w:tc>
          <w:tcPr>
            <w:tcW w:w="1526" w:type="dxa"/>
            <w:vAlign w:val="center"/>
          </w:tcPr>
          <w:p>
            <w:pPr>
              <w:adjustRightInd w:val="0"/>
              <w:spacing w:after="161" w:afterLines="50" w:line="360" w:lineRule="auto"/>
              <w:rPr>
                <w:color w:val="000000" w:themeColor="text1"/>
                <w:kern w:val="0"/>
                <w:sz w:val="24"/>
                <w:szCs w:val="24"/>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1、投标人所投货物完全响应或正偏离招标文件货物技术参数要求的得40分；打▲号为重要指标，有一项负偏离扣3分；其他技术参数，有一项负偏离扣1分；扣完为止。</w:t>
            </w:r>
          </w:p>
          <w:p>
            <w:pPr>
              <w:spacing w:line="360" w:lineRule="auto"/>
              <w:ind w:firstLine="480" w:firstLineChars="200"/>
              <w:rPr>
                <w:rFonts w:eastAsia="黑体"/>
              </w:rPr>
            </w:pPr>
            <w:r>
              <w:rPr>
                <w:rFonts w:hint="eastAsia"/>
                <w:sz w:val="24"/>
                <w:szCs w:val="24"/>
              </w:rPr>
              <w:t>注：以上“技术参数”响应情况均须在投标文件《投标产品技术参数偏离表》中逐条表述清楚，如表述不清，则按不满足（负偏离）处理。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3</w:t>
            </w:r>
          </w:p>
        </w:tc>
        <w:tc>
          <w:tcPr>
            <w:tcW w:w="1526" w:type="dxa"/>
            <w:vAlign w:val="center"/>
          </w:tcPr>
          <w:p>
            <w:pPr>
              <w:spacing w:line="360" w:lineRule="auto"/>
              <w:jc w:val="center"/>
              <w:rPr>
                <w:color w:val="000000" w:themeColor="text1"/>
                <w:kern w:val="0"/>
                <w:sz w:val="24"/>
                <w:szCs w:val="24"/>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投标人自2019年1月1日以来（以合同签订时间为准），投标人承接过类似项目业绩的，有一个得2分，最多得10分（以合同原件为准，否则不得分）。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82" w:type="dxa"/>
            <w:vAlign w:val="center"/>
          </w:tcPr>
          <w:p>
            <w:pPr>
              <w:spacing w:line="360" w:lineRule="auto"/>
              <w:jc w:val="center"/>
              <w:rPr>
                <w:color w:val="000000" w:themeColor="text1"/>
                <w:kern w:val="0"/>
                <w:sz w:val="24"/>
                <w:szCs w:val="24"/>
              </w:rPr>
            </w:pPr>
            <w:r>
              <w:rPr>
                <w:color w:val="000000" w:themeColor="text1"/>
                <w:kern w:val="0"/>
                <w:sz w:val="24"/>
                <w:szCs w:val="24"/>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numPr>
                <w:ilvl w:val="0"/>
                <w:numId w:val="9"/>
              </w:numPr>
              <w:spacing w:line="360" w:lineRule="auto"/>
              <w:ind w:left="420"/>
              <w:rPr>
                <w:rFonts w:cs="宋体"/>
                <w:sz w:val="24"/>
                <w:szCs w:val="24"/>
              </w:rPr>
            </w:pPr>
            <w:r>
              <w:rPr>
                <w:rFonts w:hint="eastAsia" w:cs="宋体"/>
                <w:sz w:val="24"/>
                <w:szCs w:val="24"/>
              </w:rPr>
              <w:t>投标人提供符合采购需求的供货安装方案，包</w:t>
            </w:r>
          </w:p>
          <w:p>
            <w:pPr>
              <w:spacing w:line="360" w:lineRule="auto"/>
              <w:rPr>
                <w:rFonts w:cs="宋体"/>
                <w:sz w:val="24"/>
                <w:szCs w:val="24"/>
              </w:rPr>
            </w:pPr>
            <w:r>
              <w:rPr>
                <w:rFonts w:hint="eastAsia" w:cs="宋体"/>
                <w:sz w:val="24"/>
                <w:szCs w:val="24"/>
              </w:rPr>
              <w:t>含但不限于以下内容：管理制度、进度计划表、供货及安装人员保障、疫情下常态化管理等内容。每提供一个符合采购需求内容的得1分，不能符合采购需求的得0分。最多得4分。</w:t>
            </w:r>
          </w:p>
          <w:p>
            <w:pPr>
              <w:numPr>
                <w:ilvl w:val="0"/>
                <w:numId w:val="9"/>
              </w:numPr>
              <w:spacing w:line="360" w:lineRule="auto"/>
              <w:ind w:left="420"/>
              <w:rPr>
                <w:rFonts w:cs="宋体"/>
                <w:sz w:val="24"/>
                <w:szCs w:val="24"/>
              </w:rPr>
            </w:pPr>
            <w:r>
              <w:rPr>
                <w:rFonts w:hint="eastAsia" w:cs="宋体"/>
                <w:sz w:val="24"/>
                <w:szCs w:val="24"/>
              </w:rPr>
              <w:t>投标人提供符合采购需求的售后服务方案，包</w:t>
            </w:r>
          </w:p>
          <w:p>
            <w:pPr>
              <w:spacing w:line="360" w:lineRule="auto"/>
              <w:rPr>
                <w:rFonts w:cs="宋体"/>
                <w:sz w:val="24"/>
                <w:szCs w:val="24"/>
              </w:rPr>
            </w:pPr>
            <w:r>
              <w:rPr>
                <w:rFonts w:hint="eastAsia" w:cs="宋体"/>
                <w:sz w:val="24"/>
                <w:szCs w:val="24"/>
              </w:rPr>
              <w:t>含但不限于以下内容：售后服务</w:t>
            </w:r>
            <w:r>
              <w:rPr>
                <w:rFonts w:hint="eastAsia"/>
                <w:sz w:val="24"/>
                <w:szCs w:val="24"/>
              </w:rPr>
              <w:t>人员安排、人员培训、紧急故障处理预案、维护期内外的后续技术支持和维护</w:t>
            </w:r>
            <w:r>
              <w:rPr>
                <w:rFonts w:hint="eastAsia" w:cs="宋体"/>
                <w:sz w:val="24"/>
                <w:szCs w:val="24"/>
              </w:rPr>
              <w:t>。每提供一个符合采购需求内容的得1分，不能采购符合需求的得0分。最多得4分。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3、投标人所投产品的质保期不少于1年，质保期多1年的加1分，最多加2分。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rPr>
          <w:color w:val="000000" w:themeColor="text1"/>
        </w:rPr>
      </w:pPr>
    </w:p>
    <w:p>
      <w:pPr>
        <w:pStyle w:val="53"/>
        <w:spacing w:line="360" w:lineRule="auto"/>
        <w:ind w:left="917" w:leftChars="208" w:hanging="480" w:hangingChars="200"/>
        <w:rPr>
          <w:rFonts w:hAnsi="宋体" w:cs="宋体"/>
          <w:kern w:val="2"/>
          <w:sz w:val="24"/>
          <w:szCs w:val="24"/>
        </w:rPr>
      </w:pPr>
      <w:r>
        <w:rPr>
          <w:rFonts w:hint="eastAsia" w:hAnsi="宋体" w:cs="宋体"/>
          <w:kern w:val="2"/>
          <w:sz w:val="24"/>
          <w:szCs w:val="24"/>
        </w:rPr>
        <w:t>注：评审中招标文件要求提供原件的必须按所投标段单独封装并与投标文件一起</w:t>
      </w:r>
    </w:p>
    <w:p>
      <w:pPr>
        <w:pStyle w:val="53"/>
        <w:spacing w:line="360" w:lineRule="auto"/>
        <w:rPr>
          <w:rFonts w:hAnsi="宋体" w:cs="宋体"/>
          <w:kern w:val="2"/>
          <w:sz w:val="24"/>
          <w:szCs w:val="24"/>
        </w:rPr>
      </w:pPr>
      <w:r>
        <w:rPr>
          <w:rFonts w:hint="eastAsia" w:hAnsi="宋体" w:cs="宋体"/>
          <w:kern w:val="2"/>
          <w:sz w:val="24"/>
          <w:szCs w:val="24"/>
        </w:rPr>
        <w:t>递交，评标结束后原件退回；未要求提供原件的提供复印件，原件自带备查。</w:t>
      </w:r>
    </w:p>
    <w:p>
      <w:pPr>
        <w:ind w:right="884" w:firstLine="1316" w:firstLineChars="298"/>
        <w:rPr>
          <w:rFonts w:eastAsia="黑体"/>
          <w:color w:val="000000" w:themeColor="text1"/>
          <w:sz w:val="40"/>
          <w:szCs w:val="40"/>
        </w:rPr>
      </w:pPr>
      <w:r>
        <w:rPr>
          <w:b/>
          <w:bCs/>
          <w:color w:val="000000" w:themeColor="text1"/>
          <w:sz w:val="44"/>
          <w:szCs w:val="44"/>
        </w:rPr>
        <w:br w:type="page"/>
      </w:r>
      <w:bookmarkStart w:id="135" w:name="_Toc108021877"/>
      <w:r>
        <w:rPr>
          <w:rFonts w:eastAsia="黑体"/>
          <w:color w:val="000000" w:themeColor="text1"/>
          <w:sz w:val="40"/>
          <w:szCs w:val="40"/>
        </w:rPr>
        <w:t>第六章  投标文件的组成和格式</w:t>
      </w:r>
      <w:bookmarkEnd w:id="135"/>
    </w:p>
    <w:p>
      <w:pPr>
        <w:jc w:val="center"/>
        <w:rPr>
          <w:b/>
          <w:bCs/>
          <w:color w:val="000000" w:themeColor="text1"/>
          <w:sz w:val="72"/>
          <w:szCs w:val="72"/>
        </w:rPr>
      </w:pPr>
    </w:p>
    <w:p>
      <w:pPr>
        <w:jc w:val="center"/>
        <w:rPr>
          <w:b/>
          <w:bCs/>
          <w:color w:val="000000" w:themeColor="text1"/>
          <w:sz w:val="72"/>
          <w:szCs w:val="72"/>
        </w:rPr>
      </w:pPr>
      <w:r>
        <w:rPr>
          <w:b/>
          <w:bCs/>
          <w:color w:val="000000" w:themeColor="text1"/>
          <w:sz w:val="72"/>
          <w:szCs w:val="72"/>
        </w:rPr>
        <w:t>投标文件</w:t>
      </w:r>
    </w:p>
    <w:p>
      <w:pPr>
        <w:adjustRightInd w:val="0"/>
        <w:spacing w:before="120" w:after="120" w:line="360" w:lineRule="auto"/>
        <w:jc w:val="center"/>
        <w:textAlignment w:val="baseline"/>
        <w:rPr>
          <w:b/>
          <w:bCs/>
          <w:color w:val="000000" w:themeColor="text1"/>
          <w:kern w:val="0"/>
          <w:sz w:val="32"/>
          <w:szCs w:val="32"/>
        </w:rPr>
      </w:pPr>
    </w:p>
    <w:p>
      <w:pPr>
        <w:jc w:val="center"/>
        <w:rPr>
          <w:b/>
          <w:bCs/>
          <w:color w:val="000000" w:themeColor="text1"/>
          <w:sz w:val="36"/>
          <w:szCs w:val="36"/>
        </w:rPr>
      </w:pPr>
      <w:r>
        <w:rPr>
          <w:b/>
          <w:bCs/>
          <w:color w:val="000000" w:themeColor="text1"/>
          <w:sz w:val="36"/>
          <w:szCs w:val="36"/>
        </w:rPr>
        <w:t>（正或副本）</w:t>
      </w:r>
    </w:p>
    <w:p>
      <w:pPr>
        <w:ind w:firstLine="1084"/>
        <w:rPr>
          <w:b/>
          <w:bCs/>
          <w:color w:val="000000" w:themeColor="text1"/>
          <w:sz w:val="36"/>
          <w:szCs w:val="36"/>
        </w:rPr>
      </w:pPr>
    </w:p>
    <w:p>
      <w:pPr>
        <w:ind w:firstLine="1084"/>
        <w:rPr>
          <w:b/>
          <w:bCs/>
          <w:color w:val="000000" w:themeColor="text1"/>
          <w:sz w:val="36"/>
          <w:szCs w:val="36"/>
        </w:rPr>
      </w:pPr>
    </w:p>
    <w:p>
      <w:pPr>
        <w:spacing w:before="323" w:beforeLines="100" w:after="323" w:afterLines="100"/>
        <w:ind w:firstLine="1083"/>
        <w:rPr>
          <w:b/>
          <w:bCs/>
          <w:color w:val="000000" w:themeColor="text1"/>
          <w:sz w:val="36"/>
          <w:szCs w:val="36"/>
        </w:rPr>
      </w:pPr>
      <w:r>
        <w:rPr>
          <w:b/>
          <w:bCs/>
          <w:color w:val="000000" w:themeColor="text1"/>
          <w:sz w:val="36"/>
          <w:szCs w:val="36"/>
        </w:rPr>
        <w:t>项 目 名 称：</w:t>
      </w:r>
    </w:p>
    <w:p>
      <w:pPr>
        <w:spacing w:before="323" w:beforeLines="100" w:after="323" w:afterLines="100"/>
        <w:ind w:firstLine="1083"/>
        <w:rPr>
          <w:b/>
          <w:bCs/>
          <w:color w:val="000000" w:themeColor="text1"/>
          <w:sz w:val="36"/>
          <w:szCs w:val="36"/>
          <w:u w:val="single"/>
        </w:rPr>
      </w:pPr>
      <w:r>
        <w:rPr>
          <w:b/>
          <w:bCs/>
          <w:color w:val="000000" w:themeColor="text1"/>
          <w:sz w:val="36"/>
          <w:szCs w:val="36"/>
        </w:rPr>
        <w:t>项 目 编 号：</w:t>
      </w:r>
    </w:p>
    <w:p>
      <w:pPr>
        <w:spacing w:before="323" w:beforeLines="100" w:after="323" w:afterLines="100"/>
        <w:ind w:firstLine="1083"/>
        <w:rPr>
          <w:b/>
          <w:bCs/>
          <w:color w:val="000000" w:themeColor="text1"/>
          <w:sz w:val="36"/>
          <w:szCs w:val="36"/>
        </w:rPr>
      </w:pPr>
      <w:r>
        <w:rPr>
          <w:b/>
          <w:bCs/>
          <w:color w:val="000000" w:themeColor="text1"/>
          <w:sz w:val="36"/>
          <w:szCs w:val="36"/>
        </w:rPr>
        <w:t>投标供应商名称：</w:t>
      </w:r>
    </w:p>
    <w:p>
      <w:pPr>
        <w:spacing w:before="323" w:beforeLines="100" w:after="323" w:afterLines="100"/>
        <w:ind w:firstLine="1083"/>
        <w:rPr>
          <w:b/>
          <w:bCs/>
          <w:color w:val="000000" w:themeColor="text1"/>
          <w:sz w:val="36"/>
          <w:szCs w:val="36"/>
        </w:rPr>
      </w:pPr>
      <w:r>
        <w:rPr>
          <w:b/>
          <w:bCs/>
          <w:color w:val="000000" w:themeColor="text1"/>
          <w:sz w:val="36"/>
          <w:szCs w:val="36"/>
        </w:rPr>
        <w:t>日       期：</w:t>
      </w:r>
    </w:p>
    <w:p>
      <w:pPr>
        <w:spacing w:line="440" w:lineRule="exact"/>
        <w:jc w:val="center"/>
        <w:rPr>
          <w:b/>
          <w:bCs/>
          <w:color w:val="000000" w:themeColor="text1"/>
          <w:sz w:val="28"/>
          <w:szCs w:val="28"/>
        </w:rPr>
      </w:pPr>
    </w:p>
    <w:p>
      <w:pPr>
        <w:spacing w:line="440" w:lineRule="exact"/>
        <w:jc w:val="center"/>
        <w:rPr>
          <w:b/>
          <w:bCs/>
          <w:color w:val="000000" w:themeColor="text1"/>
          <w:sz w:val="28"/>
          <w:szCs w:val="28"/>
        </w:rPr>
      </w:pPr>
    </w:p>
    <w:p>
      <w:pPr>
        <w:pStyle w:val="27"/>
        <w:rPr>
          <w:b/>
          <w:bCs/>
          <w:color w:val="000000" w:themeColor="text1"/>
          <w:sz w:val="28"/>
          <w:szCs w:val="28"/>
        </w:rPr>
      </w:pPr>
    </w:p>
    <w:p>
      <w:pPr>
        <w:pStyle w:val="27"/>
        <w:rPr>
          <w:b/>
          <w:bCs/>
          <w:color w:val="000000" w:themeColor="text1"/>
          <w:sz w:val="28"/>
          <w:szCs w:val="28"/>
        </w:rPr>
      </w:pPr>
    </w:p>
    <w:p>
      <w:pPr>
        <w:pStyle w:val="27"/>
        <w:rPr>
          <w:b/>
          <w:bCs/>
          <w:color w:val="000000" w:themeColor="text1"/>
          <w:sz w:val="28"/>
          <w:szCs w:val="28"/>
        </w:rPr>
      </w:pPr>
    </w:p>
    <w:p>
      <w:pPr>
        <w:widowControl/>
        <w:jc w:val="left"/>
        <w:rPr>
          <w:b/>
          <w:bCs/>
          <w:color w:val="000000" w:themeColor="text1"/>
          <w:sz w:val="28"/>
          <w:szCs w:val="28"/>
        </w:rPr>
      </w:pPr>
      <w:r>
        <w:rPr>
          <w:b/>
          <w:bCs/>
          <w:color w:val="000000" w:themeColor="text1"/>
          <w:sz w:val="28"/>
          <w:szCs w:val="28"/>
        </w:rPr>
        <w:br w:type="page"/>
      </w:r>
    </w:p>
    <w:p>
      <w:pPr>
        <w:spacing w:line="480" w:lineRule="exact"/>
        <w:jc w:val="center"/>
        <w:rPr>
          <w:b/>
          <w:bCs/>
          <w:color w:val="000000" w:themeColor="text1"/>
          <w:sz w:val="32"/>
          <w:szCs w:val="32"/>
        </w:rPr>
      </w:pPr>
      <w:r>
        <w:rPr>
          <w:b/>
          <w:bCs/>
          <w:color w:val="000000" w:themeColor="text1"/>
          <w:sz w:val="32"/>
          <w:szCs w:val="32"/>
        </w:rPr>
        <w:t>投标文件主要目录</w:t>
      </w:r>
    </w:p>
    <w:p>
      <w:pPr>
        <w:spacing w:line="360" w:lineRule="auto"/>
        <w:ind w:firstLine="480" w:firstLineChars="200"/>
        <w:rPr>
          <w:color w:val="000000" w:themeColor="text1"/>
          <w:sz w:val="24"/>
          <w:szCs w:val="24"/>
        </w:rPr>
      </w:pPr>
    </w:p>
    <w:p>
      <w:pPr>
        <w:spacing w:line="360" w:lineRule="auto"/>
        <w:ind w:firstLine="480" w:firstLineChars="200"/>
        <w:rPr>
          <w:color w:val="000000" w:themeColor="text1"/>
          <w:sz w:val="24"/>
          <w:szCs w:val="24"/>
        </w:rPr>
      </w:pPr>
      <w:r>
        <w:rPr>
          <w:color w:val="000000" w:themeColor="text1"/>
          <w:sz w:val="24"/>
          <w:szCs w:val="24"/>
        </w:rPr>
        <w:t>一、资信证明文件要求</w:t>
      </w:r>
    </w:p>
    <w:p>
      <w:pPr>
        <w:spacing w:line="360" w:lineRule="auto"/>
        <w:ind w:firstLine="480" w:firstLineChars="200"/>
        <w:rPr>
          <w:color w:val="000000" w:themeColor="text1"/>
          <w:sz w:val="24"/>
          <w:szCs w:val="24"/>
        </w:rPr>
      </w:pPr>
      <w:r>
        <w:rPr>
          <w:color w:val="000000" w:themeColor="text1"/>
          <w:sz w:val="24"/>
          <w:szCs w:val="24"/>
        </w:rPr>
        <w:t>二、资格性审查响应对照表</w:t>
      </w:r>
    </w:p>
    <w:p>
      <w:pPr>
        <w:spacing w:line="360" w:lineRule="auto"/>
        <w:ind w:firstLine="480" w:firstLineChars="200"/>
        <w:rPr>
          <w:color w:val="000000" w:themeColor="text1"/>
          <w:sz w:val="24"/>
          <w:szCs w:val="24"/>
        </w:rPr>
      </w:pPr>
      <w:r>
        <w:rPr>
          <w:color w:val="000000" w:themeColor="text1"/>
          <w:sz w:val="24"/>
          <w:szCs w:val="24"/>
        </w:rPr>
        <w:t>三、符合性检查响应对照表</w:t>
      </w:r>
    </w:p>
    <w:p>
      <w:pPr>
        <w:spacing w:line="360" w:lineRule="auto"/>
        <w:ind w:firstLine="480" w:firstLineChars="200"/>
        <w:rPr>
          <w:color w:val="000000" w:themeColor="text1"/>
          <w:sz w:val="24"/>
          <w:szCs w:val="24"/>
        </w:rPr>
      </w:pPr>
      <w:r>
        <w:rPr>
          <w:color w:val="000000" w:themeColor="text1"/>
          <w:sz w:val="24"/>
          <w:szCs w:val="24"/>
        </w:rPr>
        <w:t>四、投标函</w:t>
      </w:r>
    </w:p>
    <w:p>
      <w:pPr>
        <w:spacing w:line="360" w:lineRule="auto"/>
        <w:ind w:firstLine="480" w:firstLineChars="200"/>
        <w:rPr>
          <w:color w:val="000000" w:themeColor="text1"/>
          <w:sz w:val="24"/>
          <w:szCs w:val="24"/>
        </w:rPr>
      </w:pPr>
      <w:r>
        <w:rPr>
          <w:color w:val="000000" w:themeColor="text1"/>
          <w:sz w:val="24"/>
          <w:szCs w:val="24"/>
        </w:rPr>
        <w:t>五、开标一览表</w:t>
      </w:r>
    </w:p>
    <w:p>
      <w:pPr>
        <w:spacing w:line="360" w:lineRule="auto"/>
        <w:ind w:firstLine="480" w:firstLineChars="200"/>
        <w:rPr>
          <w:color w:val="000000" w:themeColor="text1"/>
          <w:sz w:val="24"/>
          <w:szCs w:val="24"/>
        </w:rPr>
      </w:pPr>
      <w:r>
        <w:rPr>
          <w:rFonts w:hint="eastAsia"/>
          <w:color w:val="000000" w:themeColor="text1"/>
          <w:sz w:val="24"/>
          <w:szCs w:val="24"/>
        </w:rPr>
        <w:t>六、报价清单</w:t>
      </w:r>
    </w:p>
    <w:p>
      <w:pPr>
        <w:spacing w:line="360" w:lineRule="auto"/>
        <w:ind w:firstLine="480" w:firstLineChars="200"/>
        <w:rPr>
          <w:color w:val="000000" w:themeColor="text1"/>
          <w:sz w:val="24"/>
          <w:szCs w:val="24"/>
        </w:rPr>
      </w:pPr>
      <w:r>
        <w:rPr>
          <w:rFonts w:hint="eastAsia"/>
          <w:color w:val="000000" w:themeColor="text1"/>
          <w:sz w:val="24"/>
          <w:szCs w:val="24"/>
        </w:rPr>
        <w:t>七</w:t>
      </w:r>
      <w:r>
        <w:rPr>
          <w:color w:val="000000" w:themeColor="text1"/>
          <w:sz w:val="24"/>
          <w:szCs w:val="24"/>
        </w:rPr>
        <w:t>、技术参数响应及偏离表</w:t>
      </w:r>
    </w:p>
    <w:p>
      <w:pPr>
        <w:spacing w:line="360" w:lineRule="auto"/>
        <w:ind w:firstLine="480" w:firstLineChars="200"/>
        <w:rPr>
          <w:color w:val="000000" w:themeColor="text1"/>
          <w:sz w:val="24"/>
          <w:szCs w:val="24"/>
        </w:rPr>
      </w:pPr>
      <w:r>
        <w:rPr>
          <w:rFonts w:hint="eastAsia"/>
          <w:color w:val="000000" w:themeColor="text1"/>
          <w:sz w:val="24"/>
          <w:szCs w:val="24"/>
        </w:rPr>
        <w:t>八</w:t>
      </w:r>
      <w:r>
        <w:rPr>
          <w:color w:val="000000" w:themeColor="text1"/>
          <w:sz w:val="24"/>
          <w:szCs w:val="24"/>
        </w:rPr>
        <w:t>、商务条款响应及偏离表</w:t>
      </w:r>
    </w:p>
    <w:p>
      <w:pPr>
        <w:spacing w:line="360" w:lineRule="auto"/>
        <w:ind w:firstLine="480" w:firstLineChars="200"/>
        <w:rPr>
          <w:color w:val="000000" w:themeColor="text1"/>
          <w:sz w:val="24"/>
          <w:szCs w:val="24"/>
        </w:rPr>
      </w:pPr>
      <w:r>
        <w:rPr>
          <w:rFonts w:hint="eastAsia"/>
          <w:color w:val="000000" w:themeColor="text1"/>
          <w:sz w:val="24"/>
          <w:szCs w:val="24"/>
        </w:rPr>
        <w:t>九</w:t>
      </w:r>
      <w:r>
        <w:rPr>
          <w:color w:val="000000" w:themeColor="text1"/>
          <w:sz w:val="24"/>
          <w:szCs w:val="24"/>
        </w:rPr>
        <w:t>、盐城市政府采购事前信用承诺书</w:t>
      </w:r>
    </w:p>
    <w:p>
      <w:pPr>
        <w:spacing w:line="360" w:lineRule="auto"/>
        <w:ind w:firstLine="480" w:firstLineChars="200"/>
        <w:rPr>
          <w:color w:val="000000" w:themeColor="text1"/>
          <w:sz w:val="24"/>
          <w:szCs w:val="24"/>
        </w:rPr>
      </w:pPr>
      <w:r>
        <w:rPr>
          <w:rFonts w:hint="eastAsia"/>
          <w:color w:val="000000" w:themeColor="text1"/>
          <w:sz w:val="24"/>
          <w:szCs w:val="24"/>
        </w:rPr>
        <w:t>十、</w:t>
      </w:r>
      <w:r>
        <w:rPr>
          <w:color w:val="000000" w:themeColor="text1"/>
          <w:sz w:val="24"/>
          <w:szCs w:val="24"/>
        </w:rPr>
        <w:t>投标文件中规定要求提供的材料或投标供应商认为需要提供的其他材料</w:t>
      </w:r>
    </w:p>
    <w:p>
      <w:pPr>
        <w:pStyle w:val="11"/>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pacing w:line="440" w:lineRule="exact"/>
        <w:ind w:firstLine="480" w:firstLineChars="200"/>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napToGrid w:val="0"/>
        <w:spacing w:before="50" w:after="50"/>
        <w:jc w:val="center"/>
        <w:rPr>
          <w:color w:val="000000" w:themeColor="text1"/>
          <w:sz w:val="24"/>
          <w:szCs w:val="24"/>
        </w:rPr>
      </w:pPr>
    </w:p>
    <w:p>
      <w:pPr>
        <w:spacing w:line="500" w:lineRule="exact"/>
        <w:jc w:val="center"/>
        <w:rPr>
          <w:rFonts w:ascii="宋体"/>
          <w:b/>
          <w:sz w:val="24"/>
          <w:szCs w:val="24"/>
        </w:rPr>
      </w:pPr>
      <w:r>
        <w:rPr>
          <w:rFonts w:hint="eastAsia" w:ascii="宋体" w:hAnsi="宋体"/>
          <w:b/>
          <w:sz w:val="24"/>
          <w:szCs w:val="24"/>
        </w:rPr>
        <w:t>评分索引表</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jc w:val="center"/>
              <w:rPr>
                <w:rFonts w:ascii="宋体"/>
                <w:b/>
                <w:bCs/>
                <w:szCs w:val="24"/>
                <w:lang w:eastAsia="zh-CN"/>
              </w:rPr>
            </w:pPr>
            <w:r>
              <w:rPr>
                <w:rFonts w:hint="eastAsia" w:ascii="宋体" w:hAnsi="宋体"/>
                <w:b/>
                <w:szCs w:val="24"/>
              </w:rPr>
              <w:t>评分项目</w:t>
            </w:r>
          </w:p>
        </w:tc>
        <w:tc>
          <w:tcPr>
            <w:tcW w:w="3570" w:type="dxa"/>
          </w:tcPr>
          <w:p>
            <w:pPr>
              <w:spacing w:line="500" w:lineRule="exact"/>
              <w:jc w:val="center"/>
              <w:rPr>
                <w:rFonts w:ascii="宋体"/>
                <w:b/>
                <w:sz w:val="24"/>
                <w:szCs w:val="24"/>
              </w:rPr>
            </w:pPr>
            <w:r>
              <w:rPr>
                <w:rFonts w:hint="eastAsia" w:ascii="宋体" w:hAnsi="宋体"/>
                <w:b/>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57"/>
              <w:shd w:val="clear" w:color="auto" w:fill="FFFFFF"/>
              <w:spacing w:line="500" w:lineRule="exact"/>
              <w:ind w:left="420"/>
              <w:jc w:val="both"/>
              <w:rPr>
                <w:rFonts w:ascii="宋体"/>
                <w:b/>
                <w:szCs w:val="24"/>
                <w:lang w:eastAsia="zh-CN"/>
              </w:rPr>
            </w:pPr>
          </w:p>
        </w:tc>
        <w:tc>
          <w:tcPr>
            <w:tcW w:w="3570" w:type="dxa"/>
          </w:tcPr>
          <w:p>
            <w:pPr>
              <w:spacing w:line="500" w:lineRule="exact"/>
              <w:rPr>
                <w:rFonts w:ascii="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bl>
    <w:p>
      <w:pPr>
        <w:spacing w:line="500" w:lineRule="exact"/>
        <w:rPr>
          <w:rFonts w:ascii="宋体"/>
          <w:sz w:val="24"/>
          <w:szCs w:val="24"/>
        </w:rPr>
      </w:pPr>
    </w:p>
    <w:p>
      <w:pPr>
        <w:widowControl/>
        <w:jc w:val="left"/>
        <w:rPr>
          <w:rFonts w:ascii="宋体"/>
          <w:sz w:val="24"/>
          <w:szCs w:val="24"/>
        </w:rPr>
      </w:pPr>
      <w:r>
        <w:rPr>
          <w:rFonts w:ascii="宋体"/>
          <w:sz w:val="24"/>
          <w:szCs w:val="24"/>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一、资信证明文件要求</w:t>
      </w:r>
    </w:p>
    <w:p>
      <w:pPr>
        <w:snapToGrid w:val="0"/>
        <w:spacing w:before="50" w:after="50" w:line="360" w:lineRule="auto"/>
        <w:rPr>
          <w:b/>
          <w:bCs/>
          <w:color w:val="000000" w:themeColor="text1"/>
          <w:sz w:val="24"/>
          <w:szCs w:val="24"/>
        </w:rPr>
      </w:pPr>
    </w:p>
    <w:p>
      <w:pPr>
        <w:snapToGrid w:val="0"/>
        <w:spacing w:line="440" w:lineRule="exact"/>
        <w:ind w:firstLine="482" w:firstLineChars="200"/>
        <w:rPr>
          <w:color w:val="000000" w:themeColor="text1"/>
          <w:sz w:val="24"/>
          <w:szCs w:val="24"/>
        </w:rPr>
      </w:pPr>
      <w:r>
        <w:rPr>
          <w:b/>
          <w:bCs/>
          <w:color w:val="000000" w:themeColor="text1"/>
          <w:sz w:val="24"/>
          <w:szCs w:val="24"/>
        </w:rPr>
        <w:t>1、实质性资格证明文件目录</w:t>
      </w:r>
    </w:p>
    <w:p>
      <w:pPr>
        <w:snapToGrid w:val="0"/>
        <w:spacing w:line="440" w:lineRule="exact"/>
        <w:ind w:firstLine="480" w:firstLineChars="200"/>
        <w:rPr>
          <w:color w:val="000000" w:themeColor="text1"/>
          <w:sz w:val="24"/>
          <w:szCs w:val="24"/>
        </w:rPr>
      </w:pPr>
      <w:r>
        <w:rPr>
          <w:color w:val="000000" w:themeColor="text1"/>
          <w:sz w:val="24"/>
          <w:szCs w:val="24"/>
        </w:rPr>
        <w:t>文件1  法人或者其他组织的营业执照等证明文件，自然人的身份证明（复印件）</w:t>
      </w:r>
    </w:p>
    <w:p>
      <w:pPr>
        <w:snapToGrid w:val="0"/>
        <w:spacing w:line="440" w:lineRule="exact"/>
        <w:ind w:firstLine="480" w:firstLineChars="200"/>
        <w:rPr>
          <w:color w:val="000000" w:themeColor="text1"/>
          <w:sz w:val="24"/>
          <w:szCs w:val="24"/>
        </w:rPr>
      </w:pPr>
      <w:r>
        <w:rPr>
          <w:color w:val="000000" w:themeColor="text1"/>
          <w:sz w:val="24"/>
          <w:szCs w:val="24"/>
        </w:rPr>
        <w:t>文件2  上一年度财务状况报表（复印件，成立不满一年不需提供）</w:t>
      </w:r>
    </w:p>
    <w:p>
      <w:pPr>
        <w:snapToGrid w:val="0"/>
        <w:spacing w:line="440" w:lineRule="exact"/>
        <w:ind w:firstLine="480" w:firstLineChars="200"/>
        <w:rPr>
          <w:color w:val="000000" w:themeColor="text1"/>
          <w:sz w:val="24"/>
          <w:szCs w:val="24"/>
        </w:rPr>
      </w:pPr>
      <w:r>
        <w:rPr>
          <w:color w:val="000000" w:themeColor="text1"/>
          <w:sz w:val="24"/>
          <w:szCs w:val="24"/>
        </w:rPr>
        <w:t>文件3  依法缴纳税收和社会保障资金的相关材料（复印件）</w:t>
      </w:r>
    </w:p>
    <w:p>
      <w:pPr>
        <w:snapToGrid w:val="0"/>
        <w:spacing w:line="440" w:lineRule="exact"/>
        <w:ind w:firstLine="480" w:firstLineChars="200"/>
        <w:rPr>
          <w:color w:val="000000" w:themeColor="text1"/>
          <w:sz w:val="24"/>
          <w:szCs w:val="24"/>
        </w:rPr>
      </w:pPr>
      <w:r>
        <w:rPr>
          <w:color w:val="000000" w:themeColor="text1"/>
          <w:sz w:val="24"/>
          <w:szCs w:val="24"/>
        </w:rPr>
        <w:t>文件4  具备履行合同所必需的设备和专业技术能力证明材料</w:t>
      </w:r>
    </w:p>
    <w:p>
      <w:pPr>
        <w:snapToGrid w:val="0"/>
        <w:spacing w:line="440" w:lineRule="exact"/>
        <w:ind w:firstLine="480" w:firstLineChars="200"/>
        <w:rPr>
          <w:color w:val="000000" w:themeColor="text1"/>
          <w:sz w:val="24"/>
          <w:szCs w:val="24"/>
        </w:rPr>
      </w:pPr>
      <w:r>
        <w:rPr>
          <w:color w:val="000000" w:themeColor="text1"/>
          <w:sz w:val="24"/>
          <w:szCs w:val="24"/>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rPr>
      </w:pPr>
      <w:r>
        <w:rPr>
          <w:color w:val="000000" w:themeColor="text1"/>
          <w:sz w:val="24"/>
          <w:szCs w:val="24"/>
        </w:rPr>
        <w:t>文件6 法人授权书</w:t>
      </w:r>
    </w:p>
    <w:p>
      <w:pPr>
        <w:snapToGrid w:val="0"/>
        <w:spacing w:line="440" w:lineRule="exact"/>
        <w:ind w:firstLine="480" w:firstLineChars="200"/>
        <w:rPr>
          <w:color w:val="000000" w:themeColor="text1"/>
          <w:sz w:val="24"/>
          <w:szCs w:val="24"/>
        </w:rPr>
      </w:pPr>
      <w:r>
        <w:rPr>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rPr>
      </w:pPr>
    </w:p>
    <w:p>
      <w:pPr>
        <w:snapToGrid w:val="0"/>
        <w:spacing w:line="440" w:lineRule="exact"/>
        <w:ind w:firstLine="482" w:firstLineChars="200"/>
        <w:rPr>
          <w:b/>
          <w:bCs/>
          <w:color w:val="000000" w:themeColor="text1"/>
          <w:sz w:val="24"/>
          <w:szCs w:val="24"/>
        </w:rPr>
      </w:pPr>
      <w:r>
        <w:rPr>
          <w:b/>
          <w:bCs/>
          <w:color w:val="000000" w:themeColor="text1"/>
          <w:sz w:val="24"/>
          <w:szCs w:val="24"/>
        </w:rPr>
        <w:t>2、非实质性资信证明文件目录</w:t>
      </w:r>
    </w:p>
    <w:p>
      <w:pPr>
        <w:pStyle w:val="7"/>
        <w:spacing w:line="440" w:lineRule="exact"/>
        <w:ind w:firstLine="480" w:firstLineChars="200"/>
        <w:rPr>
          <w:color w:val="000000" w:themeColor="text1"/>
          <w:sz w:val="24"/>
          <w:szCs w:val="24"/>
        </w:rPr>
      </w:pPr>
      <w:r>
        <w:rPr>
          <w:color w:val="000000" w:themeColor="text1"/>
          <w:sz w:val="24"/>
          <w:szCs w:val="24"/>
        </w:rPr>
        <w:t>格式1  《企业申明函》</w:t>
      </w:r>
    </w:p>
    <w:p>
      <w:pPr>
        <w:pStyle w:val="7"/>
        <w:spacing w:line="0" w:lineRule="atLeast"/>
        <w:rPr>
          <w:color w:val="000000" w:themeColor="text1"/>
          <w:sz w:val="24"/>
          <w:szCs w:val="24"/>
        </w:rPr>
      </w:pPr>
    </w:p>
    <w:p>
      <w:pPr>
        <w:pStyle w:val="7"/>
        <w:spacing w:line="0" w:lineRule="atLeast"/>
        <w:rPr>
          <w:color w:val="000000" w:themeColor="text1"/>
          <w:sz w:val="24"/>
          <w:szCs w:val="24"/>
        </w:rPr>
      </w:pPr>
    </w:p>
    <w:p>
      <w:pPr>
        <w:spacing w:line="480" w:lineRule="exact"/>
        <w:jc w:val="center"/>
        <w:rPr>
          <w:b/>
          <w:bCs/>
          <w:color w:val="000000" w:themeColor="text1"/>
          <w:sz w:val="32"/>
          <w:szCs w:val="32"/>
        </w:rPr>
      </w:pPr>
      <w:r>
        <w:rPr>
          <w:color w:val="000000" w:themeColor="text1"/>
          <w:sz w:val="24"/>
          <w:szCs w:val="24"/>
        </w:rPr>
        <w:br w:type="page"/>
      </w:r>
      <w:r>
        <w:rPr>
          <w:b/>
          <w:bCs/>
          <w:color w:val="000000" w:themeColor="text1"/>
          <w:sz w:val="32"/>
          <w:szCs w:val="32"/>
        </w:rPr>
        <w:t>具备履行合同所必需的设备和专业技术能力的书面声明</w:t>
      </w:r>
    </w:p>
    <w:p>
      <w:pPr>
        <w:spacing w:line="460" w:lineRule="exact"/>
        <w:ind w:firstLine="492"/>
        <w:rPr>
          <w:color w:val="000000" w:themeColor="text1"/>
          <w:sz w:val="24"/>
          <w:szCs w:val="24"/>
        </w:rPr>
      </w:pPr>
    </w:p>
    <w:p>
      <w:pPr>
        <w:spacing w:line="460" w:lineRule="exact"/>
        <w:ind w:firstLine="480" w:firstLineChars="200"/>
        <w:rPr>
          <w:color w:val="000000" w:themeColor="text1"/>
          <w:sz w:val="24"/>
          <w:szCs w:val="24"/>
        </w:rPr>
      </w:pPr>
      <w:r>
        <w:rPr>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rPr>
      </w:pPr>
      <w:r>
        <w:rPr>
          <w:color w:val="000000" w:themeColor="text1"/>
          <w:sz w:val="24"/>
          <w:szCs w:val="24"/>
        </w:rPr>
        <w:t>主要设备有：。</w:t>
      </w:r>
    </w:p>
    <w:p>
      <w:pPr>
        <w:spacing w:line="460" w:lineRule="exact"/>
        <w:ind w:firstLine="492"/>
        <w:rPr>
          <w:color w:val="000000" w:themeColor="text1"/>
          <w:sz w:val="24"/>
          <w:szCs w:val="24"/>
        </w:rPr>
      </w:pPr>
      <w:r>
        <w:rPr>
          <w:color w:val="000000" w:themeColor="text1"/>
          <w:sz w:val="24"/>
          <w:szCs w:val="24"/>
        </w:rPr>
        <w:t>主要专业技术能力有：。</w:t>
      </w: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ind w:firstLine="492"/>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pStyle w:val="7"/>
        <w:ind w:firstLine="0"/>
        <w:rPr>
          <w:color w:val="000000" w:themeColor="text1"/>
        </w:rPr>
      </w:pPr>
      <w:r>
        <w:rPr>
          <w:color w:val="000000" w:themeColor="text1"/>
        </w:rPr>
        <w:br w:type="page"/>
      </w:r>
    </w:p>
    <w:p>
      <w:pPr>
        <w:spacing w:line="480" w:lineRule="exact"/>
        <w:jc w:val="center"/>
        <w:rPr>
          <w:b/>
          <w:bCs/>
          <w:color w:val="000000" w:themeColor="text1"/>
          <w:sz w:val="32"/>
          <w:szCs w:val="32"/>
        </w:rPr>
      </w:pPr>
      <w:r>
        <w:rPr>
          <w:b/>
          <w:bCs/>
          <w:color w:val="000000" w:themeColor="text1"/>
          <w:sz w:val="32"/>
          <w:szCs w:val="32"/>
        </w:rPr>
        <w:t>参加政府采购活动前3年内在经营活动中没有重大违法记录的书面声明</w:t>
      </w:r>
    </w:p>
    <w:p>
      <w:pPr>
        <w:spacing w:line="460" w:lineRule="exact"/>
        <w:rPr>
          <w:b/>
          <w:bCs/>
          <w:color w:val="000000" w:themeColor="text1"/>
          <w:sz w:val="44"/>
          <w:szCs w:val="44"/>
        </w:rPr>
      </w:pPr>
    </w:p>
    <w:p>
      <w:pPr>
        <w:spacing w:line="460" w:lineRule="exact"/>
        <w:jc w:val="center"/>
        <w:rPr>
          <w:b/>
          <w:bCs/>
          <w:color w:val="000000" w:themeColor="text1"/>
          <w:sz w:val="44"/>
          <w:szCs w:val="44"/>
        </w:rPr>
      </w:pPr>
      <w:r>
        <w:rPr>
          <w:b/>
          <w:bCs/>
          <w:color w:val="000000" w:themeColor="text1"/>
          <w:sz w:val="44"/>
          <w:szCs w:val="44"/>
        </w:rPr>
        <w:t>声  明</w:t>
      </w:r>
    </w:p>
    <w:p>
      <w:pPr>
        <w:spacing w:line="460" w:lineRule="exact"/>
        <w:ind w:firstLine="480" w:firstLineChars="200"/>
        <w:rPr>
          <w:color w:val="000000" w:themeColor="text1"/>
          <w:sz w:val="24"/>
          <w:szCs w:val="24"/>
        </w:rPr>
      </w:pPr>
      <w:r>
        <w:rPr>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pStyle w:val="27"/>
      </w:pPr>
    </w:p>
    <w:p>
      <w:pPr>
        <w:pStyle w:val="27"/>
      </w:pPr>
    </w:p>
    <w:p>
      <w:pPr>
        <w:spacing w:line="460" w:lineRule="exact"/>
        <w:rPr>
          <w:color w:val="000000" w:themeColor="text1"/>
          <w:sz w:val="24"/>
          <w:szCs w:val="24"/>
        </w:rPr>
      </w:pPr>
      <w:r>
        <w:rPr>
          <w:color w:val="000000" w:themeColor="text1"/>
          <w:sz w:val="24"/>
          <w:szCs w:val="24"/>
        </w:rPr>
        <w:t xml:space="preserve">                                      供应商名称（公章）：</w:t>
      </w:r>
    </w:p>
    <w:p>
      <w:pPr>
        <w:spacing w:line="460" w:lineRule="exact"/>
        <w:rPr>
          <w:color w:val="000000" w:themeColor="text1"/>
          <w:sz w:val="24"/>
          <w:szCs w:val="24"/>
        </w:rPr>
      </w:pPr>
      <w:r>
        <w:rPr>
          <w:color w:val="000000" w:themeColor="text1"/>
          <w:sz w:val="24"/>
          <w:szCs w:val="24"/>
        </w:rPr>
        <w:t xml:space="preserve">                                      授权代表签字：</w:t>
      </w:r>
      <w:r>
        <w:rPr>
          <w:color w:val="000000" w:themeColor="text1"/>
          <w:sz w:val="24"/>
          <w:szCs w:val="24"/>
          <w:u w:val="single"/>
        </w:rPr>
        <w:t>_________________</w:t>
      </w:r>
    </w:p>
    <w:p>
      <w:pPr>
        <w:spacing w:line="460" w:lineRule="exact"/>
        <w:rPr>
          <w:color w:val="000000" w:themeColor="text1"/>
          <w:sz w:val="24"/>
          <w:szCs w:val="24"/>
        </w:rPr>
      </w:pPr>
      <w:r>
        <w:rPr>
          <w:color w:val="000000" w:themeColor="text1"/>
          <w:sz w:val="24"/>
          <w:szCs w:val="24"/>
        </w:rPr>
        <w:t xml:space="preserve">                                      日期：</w:t>
      </w:r>
      <w:r>
        <w:rPr>
          <w:color w:val="000000" w:themeColor="text1"/>
          <w:sz w:val="24"/>
          <w:szCs w:val="24"/>
          <w:u w:val="single"/>
        </w:rPr>
        <w:t>______</w:t>
      </w:r>
      <w:r>
        <w:rPr>
          <w:color w:val="000000" w:themeColor="text1"/>
          <w:sz w:val="24"/>
          <w:szCs w:val="24"/>
        </w:rPr>
        <w:t>年月日</w:t>
      </w:r>
    </w:p>
    <w:p>
      <w:pPr>
        <w:spacing w:line="460" w:lineRule="exact"/>
        <w:rPr>
          <w:color w:val="000000" w:themeColor="text1"/>
          <w:sz w:val="24"/>
          <w:szCs w:val="24"/>
        </w:rPr>
      </w:pPr>
    </w:p>
    <w:p>
      <w:pPr>
        <w:spacing w:line="460" w:lineRule="exact"/>
        <w:rPr>
          <w:color w:val="000000" w:themeColor="text1"/>
          <w:sz w:val="24"/>
          <w:szCs w:val="24"/>
        </w:rPr>
      </w:pPr>
    </w:p>
    <w:p>
      <w:pPr>
        <w:pStyle w:val="27"/>
      </w:pPr>
      <w:r>
        <w:br w:type="page"/>
      </w:r>
    </w:p>
    <w:p>
      <w:pPr>
        <w:spacing w:line="480" w:lineRule="exact"/>
        <w:jc w:val="center"/>
        <w:rPr>
          <w:b/>
          <w:bCs/>
          <w:color w:val="000000" w:themeColor="text1"/>
          <w:sz w:val="32"/>
          <w:szCs w:val="32"/>
        </w:rPr>
      </w:pPr>
      <w:r>
        <w:rPr>
          <w:b/>
          <w:bCs/>
          <w:color w:val="000000" w:themeColor="text1"/>
          <w:sz w:val="32"/>
          <w:szCs w:val="32"/>
        </w:rPr>
        <w:t>法人授权书</w:t>
      </w:r>
    </w:p>
    <w:p>
      <w:pPr>
        <w:pStyle w:val="47"/>
        <w:spacing w:line="600" w:lineRule="auto"/>
        <w:ind w:firstLine="480"/>
        <w:rPr>
          <w:color w:val="000000" w:themeColor="text1"/>
          <w:sz w:val="24"/>
          <w:szCs w:val="24"/>
        </w:rPr>
      </w:pPr>
    </w:p>
    <w:p>
      <w:pPr>
        <w:pStyle w:val="47"/>
        <w:spacing w:line="600" w:lineRule="auto"/>
        <w:ind w:firstLine="480"/>
        <w:rPr>
          <w:color w:val="000000" w:themeColor="text1"/>
          <w:sz w:val="24"/>
          <w:szCs w:val="24"/>
        </w:rPr>
      </w:pPr>
      <w:r>
        <w:rPr>
          <w:color w:val="000000" w:themeColor="text1"/>
          <w:sz w:val="24"/>
          <w:szCs w:val="24"/>
        </w:rPr>
        <w:t>本授权书声明：____________（供应商名称）授权________________（被授权人的姓名）为我方就</w:t>
      </w:r>
      <w:r>
        <w:rPr>
          <w:rFonts w:hint="eastAsia"/>
          <w:color w:val="000000" w:themeColor="text1"/>
          <w:sz w:val="24"/>
          <w:szCs w:val="24"/>
          <w:u w:val="single"/>
        </w:rPr>
        <w:t>YCYZ2022HW006</w:t>
      </w:r>
      <w:r>
        <w:rPr>
          <w:color w:val="000000" w:themeColor="text1"/>
          <w:sz w:val="24"/>
          <w:szCs w:val="24"/>
        </w:rPr>
        <w:t>号</w:t>
      </w:r>
      <w:r>
        <w:rPr>
          <w:color w:val="000000" w:themeColor="text1"/>
          <w:sz w:val="24"/>
          <w:szCs w:val="24"/>
          <w:u w:val="single"/>
        </w:rPr>
        <w:t>盐城幼儿师范高等专科学校</w:t>
      </w:r>
      <w:r>
        <w:rPr>
          <w:rFonts w:hint="eastAsia"/>
          <w:color w:val="000000" w:themeColor="text1"/>
          <w:sz w:val="24"/>
          <w:szCs w:val="24"/>
          <w:u w:val="single"/>
        </w:rPr>
        <w:t>体育中心教学设备采购项目</w:t>
      </w:r>
      <w:r>
        <w:rPr>
          <w:color w:val="000000" w:themeColor="text1"/>
          <w:sz w:val="24"/>
          <w:szCs w:val="24"/>
        </w:rPr>
        <w:t>采购活动的合法代理人，以本公司名义全权处理一切与该项目采购有关的事务。</w:t>
      </w:r>
    </w:p>
    <w:p>
      <w:pPr>
        <w:pStyle w:val="47"/>
        <w:spacing w:line="600" w:lineRule="auto"/>
        <w:ind w:firstLine="480"/>
        <w:rPr>
          <w:color w:val="000000" w:themeColor="text1"/>
          <w:sz w:val="24"/>
          <w:szCs w:val="24"/>
        </w:rPr>
      </w:pPr>
      <w:r>
        <w:rPr>
          <w:color w:val="000000" w:themeColor="text1"/>
          <w:sz w:val="24"/>
          <w:szCs w:val="24"/>
        </w:rPr>
        <w:t>本授权书于______年____月____日起生效，特此声明。</w:t>
      </w:r>
    </w:p>
    <w:p>
      <w:pPr>
        <w:pStyle w:val="47"/>
        <w:spacing w:line="600" w:lineRule="auto"/>
        <w:ind w:firstLine="0" w:firstLineChars="0"/>
        <w:rPr>
          <w:color w:val="000000" w:themeColor="text1"/>
          <w:sz w:val="24"/>
          <w:szCs w:val="24"/>
        </w:rPr>
      </w:pPr>
      <w:r>
        <w:rPr>
          <w:color w:val="000000" w:themeColor="text1"/>
          <w:sz w:val="24"/>
          <w:szCs w:val="24"/>
        </w:rPr>
        <w:t xml:space="preserve">          代理人（被授权人）：_______________________</w:t>
      </w:r>
    </w:p>
    <w:p>
      <w:pPr>
        <w:pStyle w:val="47"/>
        <w:spacing w:line="600" w:lineRule="auto"/>
        <w:ind w:firstLine="0" w:firstLineChars="0"/>
        <w:rPr>
          <w:color w:val="000000" w:themeColor="text1"/>
          <w:sz w:val="24"/>
          <w:szCs w:val="24"/>
        </w:rPr>
      </w:pPr>
      <w:r>
        <w:rPr>
          <w:color w:val="000000" w:themeColor="text1"/>
          <w:sz w:val="24"/>
          <w:szCs w:val="24"/>
        </w:rPr>
        <w:t xml:space="preserve">          单位名称：_____________________________________</w:t>
      </w:r>
    </w:p>
    <w:p>
      <w:pPr>
        <w:pStyle w:val="47"/>
        <w:spacing w:line="600" w:lineRule="auto"/>
        <w:ind w:firstLine="0" w:firstLineChars="0"/>
        <w:rPr>
          <w:color w:val="000000" w:themeColor="text1"/>
          <w:sz w:val="24"/>
          <w:szCs w:val="24"/>
        </w:rPr>
      </w:pPr>
      <w:r>
        <w:rPr>
          <w:color w:val="000000" w:themeColor="text1"/>
          <w:sz w:val="24"/>
          <w:szCs w:val="24"/>
        </w:rPr>
        <w:t xml:space="preserve">          授权单位盖章：_________________________________</w:t>
      </w:r>
    </w:p>
    <w:p>
      <w:pPr>
        <w:pStyle w:val="47"/>
        <w:spacing w:line="600" w:lineRule="auto"/>
        <w:ind w:firstLine="480"/>
        <w:rPr>
          <w:color w:val="000000" w:themeColor="text1"/>
          <w:sz w:val="24"/>
          <w:szCs w:val="24"/>
        </w:rPr>
      </w:pPr>
      <w:r>
        <w:rPr>
          <w:color w:val="000000" w:themeColor="text1"/>
          <w:sz w:val="24"/>
          <w:szCs w:val="24"/>
        </w:rPr>
        <w:t xml:space="preserve">      单位名称：_____________________________________</w:t>
      </w:r>
    </w:p>
    <w:p>
      <w:pPr>
        <w:pStyle w:val="47"/>
        <w:spacing w:line="600" w:lineRule="auto"/>
        <w:ind w:firstLine="480"/>
        <w:rPr>
          <w:color w:val="000000" w:themeColor="text1"/>
          <w:sz w:val="24"/>
          <w:szCs w:val="24"/>
          <w:u w:val="single"/>
        </w:rPr>
      </w:pPr>
      <w:r>
        <w:rPr>
          <w:color w:val="000000" w:themeColor="text1"/>
          <w:sz w:val="24"/>
          <w:szCs w:val="24"/>
        </w:rPr>
        <w:t xml:space="preserve">      地址：</w:t>
      </w:r>
    </w:p>
    <w:p>
      <w:pPr>
        <w:pStyle w:val="47"/>
        <w:spacing w:line="600" w:lineRule="auto"/>
        <w:ind w:firstLine="480"/>
        <w:rPr>
          <w:color w:val="000000" w:themeColor="text1"/>
          <w:sz w:val="24"/>
          <w:szCs w:val="24"/>
        </w:rPr>
      </w:pPr>
      <w:r>
        <w:rPr>
          <w:color w:val="000000" w:themeColor="text1"/>
          <w:sz w:val="24"/>
          <w:szCs w:val="24"/>
        </w:rPr>
        <w:t xml:space="preserve">      日期：                    </w:t>
      </w:r>
    </w:p>
    <w:p>
      <w:pPr>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pStyle w:val="7"/>
        <w:rPr>
          <w:color w:val="000000" w:themeColor="text1"/>
        </w:rPr>
      </w:pPr>
    </w:p>
    <w:p>
      <w:pPr>
        <w:spacing w:line="560" w:lineRule="exact"/>
        <w:jc w:val="center"/>
        <w:rPr>
          <w:rFonts w:ascii="宋体" w:hAnsi="宋体"/>
          <w:b/>
          <w:bCs/>
          <w:sz w:val="32"/>
          <w:szCs w:val="32"/>
        </w:rPr>
      </w:pPr>
      <w:r>
        <w:rPr>
          <w:rFonts w:hint="eastAsia" w:ascii="宋体" w:hAnsi="宋体"/>
          <w:b/>
          <w:bCs/>
          <w:sz w:val="32"/>
          <w:szCs w:val="32"/>
        </w:rPr>
        <w:t>中小企业声明函（货物）</w:t>
      </w:r>
    </w:p>
    <w:p>
      <w:pPr>
        <w:spacing w:line="560" w:lineRule="exact"/>
        <w:jc w:val="center"/>
        <w:rPr>
          <w:rFonts w:ascii="宋体" w:hAnsi="宋体"/>
          <w:b/>
          <w:bCs/>
          <w:sz w:val="32"/>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10"/>
        </w:numPr>
        <w:spacing w:line="360" w:lineRule="auto"/>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，从业人员人，营业收入为万元，资产总额为万元，属于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ascii="宋体" w:hAnsi="宋体" w:cs="宋体"/>
          <w:sz w:val="24"/>
        </w:rPr>
      </w:pPr>
      <w:r>
        <w:rPr>
          <w:rFonts w:hint="eastAsia" w:ascii="宋体" w:hAnsi="宋体" w:cs="宋体"/>
          <w:sz w:val="24"/>
        </w:rPr>
        <w:t>日期：</w:t>
      </w:r>
    </w:p>
    <w:p>
      <w:pPr>
        <w:spacing w:line="360" w:lineRule="auto"/>
        <w:jc w:val="center"/>
        <w:rPr>
          <w:rFonts w:ascii="宋体" w:hAnsi="宋体"/>
          <w:b/>
          <w:bCs/>
          <w:sz w:val="32"/>
          <w:szCs w:val="32"/>
        </w:rPr>
      </w:pPr>
      <w:r>
        <w:rPr>
          <w:rFonts w:hint="eastAsia" w:ascii="宋体" w:hAnsi="宋体"/>
          <w:b/>
          <w:bCs/>
        </w:rPr>
        <w:t>从业人员、营业收入、资产总额填报上一年度数据，无上一年度数据的新成立企业可不填报。</w:t>
      </w:r>
    </w:p>
    <w:p>
      <w:pPr>
        <w:spacing w:line="460" w:lineRule="exact"/>
        <w:rPr>
          <w:color w:val="000000" w:themeColor="text1"/>
          <w:sz w:val="24"/>
          <w:szCs w:val="24"/>
        </w:rPr>
      </w:pPr>
    </w:p>
    <w:p>
      <w:pPr>
        <w:snapToGrid w:val="0"/>
        <w:spacing w:line="360" w:lineRule="auto"/>
        <w:ind w:firstLine="482" w:firstLineChars="200"/>
        <w:jc w:val="left"/>
        <w:rPr>
          <w:rFonts w:ascii="宋体" w:hAnsi="宋体"/>
          <w:b/>
          <w:bCs/>
          <w:sz w:val="24"/>
          <w:szCs w:val="24"/>
        </w:rPr>
      </w:pPr>
    </w:p>
    <w:p>
      <w:pPr>
        <w:pStyle w:val="11"/>
      </w:pPr>
    </w:p>
    <w:p>
      <w:pPr>
        <w:snapToGrid w:val="0"/>
        <w:spacing w:line="360" w:lineRule="auto"/>
        <w:ind w:firstLine="482" w:firstLineChars="200"/>
        <w:jc w:val="left"/>
        <w:rPr>
          <w:rFonts w:ascii="宋体" w:hAnsi="宋体"/>
          <w:b/>
          <w:bCs/>
          <w:sz w:val="24"/>
          <w:szCs w:val="24"/>
        </w:rPr>
      </w:pPr>
      <w:r>
        <w:rPr>
          <w:rFonts w:hint="eastAsia" w:ascii="宋体" w:hAnsi="宋体"/>
          <w:b/>
          <w:bCs/>
          <w:sz w:val="24"/>
          <w:szCs w:val="24"/>
        </w:rPr>
        <w:t>注：采购标的的所属行业为，根据《工业和信息化部、国家统计局、国家发展和改革委员会、财政部关于印发中小企业划型标准规定的通知》（工信部联企业[2011]300号）规定的划分标准填写；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rPr>
      </w:pPr>
    </w:p>
    <w:p>
      <w:pPr>
        <w:pStyle w:val="2"/>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t>二、资格性审查响应对照表（格式）</w:t>
      </w:r>
    </w:p>
    <w:p>
      <w:pPr>
        <w:spacing w:before="323" w:beforeLines="100" w:after="161" w:afterLines="50"/>
        <w:rPr>
          <w:color w:val="000000" w:themeColor="text1"/>
          <w:sz w:val="24"/>
          <w:szCs w:val="24"/>
        </w:rPr>
      </w:pPr>
      <w:r>
        <w:rPr>
          <w:color w:val="000000" w:themeColor="text1"/>
          <w:sz w:val="24"/>
          <w:szCs w:val="24"/>
        </w:rPr>
        <w:t>投标人全称（加盖公章）：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rPr>
            </w:pPr>
          </w:p>
        </w:tc>
      </w:tr>
    </w:tbl>
    <w:p>
      <w:pPr>
        <w:spacing w:line="440" w:lineRule="exact"/>
        <w:ind w:firstLine="640" w:firstLineChars="200"/>
        <w:rPr>
          <w:rFonts w:eastAsia="黑体"/>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br w:type="page"/>
      </w:r>
      <w:r>
        <w:rPr>
          <w:rFonts w:eastAsia="黑体"/>
          <w:color w:val="000000" w:themeColor="text1"/>
          <w:sz w:val="32"/>
          <w:szCs w:val="32"/>
        </w:rPr>
        <w:t>三、符合性检查响应对照表（格式）</w:t>
      </w:r>
    </w:p>
    <w:p>
      <w:pPr>
        <w:spacing w:before="323" w:beforeLines="100" w:after="161" w:afterLines="50"/>
        <w:rPr>
          <w:color w:val="000000" w:themeColor="text1"/>
          <w:sz w:val="24"/>
          <w:szCs w:val="24"/>
        </w:rPr>
      </w:pPr>
      <w:r>
        <w:rPr>
          <w:color w:val="000000" w:themeColor="text1"/>
          <w:sz w:val="24"/>
          <w:szCs w:val="24"/>
        </w:rPr>
        <w:t>投标人全称（加盖公章）：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是否响应</w:t>
            </w:r>
          </w:p>
          <w:p>
            <w:pPr>
              <w:snapToGrid w:val="0"/>
              <w:spacing w:line="240" w:lineRule="atLeast"/>
              <w:jc w:val="center"/>
              <w:rPr>
                <w:b/>
                <w:bCs/>
                <w:color w:val="000000" w:themeColor="text1"/>
              </w:rPr>
            </w:pPr>
            <w:r>
              <w:rPr>
                <w:b/>
                <w:bCs/>
                <w:color w:val="000000" w:themeColor="text1"/>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rPr>
            </w:pPr>
            <w:r>
              <w:rPr>
                <w:b/>
                <w:bCs/>
                <w:color w:val="000000" w:themeColor="text1"/>
              </w:rPr>
              <w:t>投标文件中的</w:t>
            </w:r>
          </w:p>
          <w:p>
            <w:pPr>
              <w:snapToGrid w:val="0"/>
              <w:spacing w:line="240" w:lineRule="atLeast"/>
              <w:jc w:val="center"/>
              <w:rPr>
                <w:b/>
                <w:bCs/>
                <w:color w:val="000000" w:themeColor="text1"/>
              </w:rPr>
            </w:pPr>
            <w:r>
              <w:rPr>
                <w:b/>
                <w:bCs/>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rPr>
            </w:pPr>
            <w:r>
              <w:rPr>
                <w:bCs/>
                <w:color w:val="000000" w:themeColor="text1"/>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color w:val="000000" w:themeColor="text1"/>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rPr>
            </w:pPr>
            <w:r>
              <w:rPr>
                <w:color w:val="000000" w:themeColor="text1"/>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rPr>
            </w:pPr>
          </w:p>
        </w:tc>
      </w:tr>
    </w:tbl>
    <w:p>
      <w:pPr>
        <w:snapToGrid w:val="0"/>
        <w:spacing w:before="50" w:after="50"/>
        <w:ind w:firstLine="600" w:firstLineChars="250"/>
        <w:rPr>
          <w:rFonts w:eastAsia="黑体"/>
          <w:color w:val="000000" w:themeColor="text1"/>
          <w:sz w:val="32"/>
          <w:szCs w:val="32"/>
        </w:rPr>
      </w:pPr>
      <w:r>
        <w:rPr>
          <w:rFonts w:hint="eastAsia"/>
          <w:color w:val="000000" w:themeColor="text1"/>
          <w:sz w:val="24"/>
          <w:szCs w:val="24"/>
        </w:rPr>
        <w:t>注：可对照评分标准。</w:t>
      </w: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四、投标函（格式）</w:t>
      </w:r>
    </w:p>
    <w:p>
      <w:pPr>
        <w:pStyle w:val="45"/>
        <w:spacing w:before="0" w:after="0" w:line="420" w:lineRule="exact"/>
        <w:ind w:firstLine="0"/>
        <w:rPr>
          <w:rFonts w:ascii="Times New Roman" w:hAnsi="Times New Roman" w:cs="Times New Roman"/>
          <w:color w:val="000000" w:themeColor="text1"/>
          <w:kern w:val="2"/>
        </w:rPr>
      </w:pPr>
    </w:p>
    <w:p>
      <w:pPr>
        <w:pStyle w:val="45"/>
        <w:spacing w:before="0" w:after="0" w:line="440" w:lineRule="exact"/>
        <w:ind w:firstLine="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致：盐城幼儿师范高等专科学校</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根据贵方的号投标文件，正式授权下述签字人_________________(姓名)代表我方______________（投标人的名称），全权处理本次项目投标的有关事宜。</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据此函，__________签字人兹宣布同意如下：</w:t>
      </w:r>
    </w:p>
    <w:p>
      <w:pPr>
        <w:pStyle w:val="45"/>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1.按投标文件规定的各项要求，向买方提供所需货物与服务。</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2.我们完全理解贵方不一定将合同授予最低报价的投标人。</w:t>
      </w:r>
    </w:p>
    <w:p>
      <w:pPr>
        <w:pStyle w:val="45"/>
        <w:spacing w:before="0" w:after="0" w:line="440" w:lineRule="exact"/>
        <w:ind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3.我们已详细审核全部投标文件及其有效补充文件，我们知道必须放弃提出含糊不清或误解问题的权利。</w:t>
      </w:r>
    </w:p>
    <w:p>
      <w:pPr>
        <w:pStyle w:val="45"/>
        <w:spacing w:before="0" w:after="0" w:line="440" w:lineRule="exact"/>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4.我们同意从规定的开标日期起遵循本投标文件，并在规定的投标有效期期满之前均具有约束力。</w:t>
      </w:r>
    </w:p>
    <w:p>
      <w:pPr>
        <w:pStyle w:val="45"/>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5</w:t>
      </w:r>
      <w:r>
        <w:rPr>
          <w:rFonts w:ascii="Times New Roman" w:hAnsi="Times New Roman" w:cs="Times New Roman"/>
          <w:color w:val="000000" w:themeColor="text1"/>
          <w:kern w:val="2"/>
        </w:rPr>
        <w:t>.同意向贵方提供贵方可能另外要求的与投标有关的任何证据或资料，并保证我方已提供和将要提供的文件是真实的、准确的。</w:t>
      </w:r>
    </w:p>
    <w:p>
      <w:pPr>
        <w:pStyle w:val="45"/>
        <w:spacing w:before="0" w:after="0" w:line="440" w:lineRule="exact"/>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6</w:t>
      </w:r>
      <w:r>
        <w:rPr>
          <w:rFonts w:ascii="Times New Roman" w:hAnsi="Times New Roman" w:cs="Times New Roman"/>
          <w:color w:val="000000" w:themeColor="text1"/>
          <w:kern w:val="2"/>
        </w:rPr>
        <w:t>.一旦我方中标</w:t>
      </w:r>
      <w:r>
        <w:rPr>
          <w:rFonts w:hint="eastAsia" w:ascii="Times New Roman" w:hAnsi="Times New Roman" w:cs="Times New Roman"/>
          <w:color w:val="000000" w:themeColor="text1"/>
          <w:kern w:val="2"/>
        </w:rPr>
        <w:t>，</w:t>
      </w:r>
      <w:r>
        <w:rPr>
          <w:rFonts w:ascii="Times New Roman" w:hAnsi="Times New Roman" w:cs="Times New Roman"/>
          <w:color w:val="000000" w:themeColor="text1"/>
          <w:kern w:val="2"/>
        </w:rPr>
        <w:t>我方将根据招标文件的规定，严格履行合同的责任和义务,并保证在招标文件规定的时间完成项目，交付买方验收、使用。</w:t>
      </w:r>
    </w:p>
    <w:p>
      <w:pPr>
        <w:pStyle w:val="45"/>
        <w:spacing w:before="0" w:after="0" w:line="440" w:lineRule="exact"/>
        <w:ind w:left="425" w:firstLine="0"/>
        <w:jc w:val="both"/>
        <w:rPr>
          <w:rFonts w:ascii="Times New Roman" w:hAnsi="Times New Roman" w:cs="Times New Roman"/>
          <w:color w:val="000000" w:themeColor="text1"/>
          <w:kern w:val="2"/>
        </w:rPr>
      </w:pPr>
      <w:r>
        <w:rPr>
          <w:rFonts w:hint="eastAsia" w:ascii="Times New Roman" w:hAnsi="Times New Roman" w:cs="Times New Roman"/>
          <w:color w:val="000000" w:themeColor="text1"/>
          <w:kern w:val="2"/>
        </w:rPr>
        <w:t>7</w:t>
      </w:r>
      <w:r>
        <w:rPr>
          <w:rFonts w:ascii="Times New Roman" w:hAnsi="Times New Roman" w:cs="Times New Roman"/>
          <w:color w:val="000000" w:themeColor="text1"/>
          <w:kern w:val="2"/>
        </w:rPr>
        <w:t>.与本投标有关的正式通讯地址为：</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地          址：</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邮          编：</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电          话：</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传          真：</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投标人开户行：</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账          户：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投标人授权代表姓名（签字）：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 xml:space="preserve">投标人名称（公章）： </w:t>
      </w:r>
    </w:p>
    <w:p>
      <w:pPr>
        <w:pStyle w:val="45"/>
        <w:spacing w:before="0" w:after="0" w:line="440" w:lineRule="exact"/>
        <w:ind w:left="420" w:leftChars="200" w:firstLineChars="200"/>
        <w:jc w:val="both"/>
        <w:rPr>
          <w:rFonts w:ascii="Times New Roman" w:hAnsi="Times New Roman" w:cs="Times New Roman"/>
          <w:color w:val="000000" w:themeColor="text1"/>
          <w:kern w:val="2"/>
        </w:rPr>
      </w:pPr>
      <w:r>
        <w:rPr>
          <w:rFonts w:ascii="Times New Roman" w:hAnsi="Times New Roman" w:cs="Times New Roman"/>
          <w:color w:val="000000" w:themeColor="text1"/>
          <w:kern w:val="2"/>
        </w:rPr>
        <w:t>日           期：________年____月____日</w:t>
      </w:r>
    </w:p>
    <w:p>
      <w:pPr>
        <w:jc w:val="center"/>
        <w:rPr>
          <w:color w:val="000000" w:themeColor="text1"/>
          <w:sz w:val="32"/>
          <w:szCs w:val="32"/>
        </w:rPr>
      </w:pPr>
    </w:p>
    <w:p>
      <w:pPr>
        <w:jc w:val="left"/>
        <w:rPr>
          <w:rFonts w:eastAsia="黑体"/>
          <w:color w:val="000000" w:themeColor="text1"/>
          <w:sz w:val="32"/>
          <w:szCs w:val="32"/>
        </w:rPr>
      </w:pPr>
      <w:r>
        <w:rPr>
          <w:rFonts w:eastAsia="黑体"/>
          <w:color w:val="000000" w:themeColor="text1"/>
          <w:szCs w:val="32"/>
        </w:rPr>
        <w:br w:type="page"/>
      </w:r>
    </w:p>
    <w:p>
      <w:pPr>
        <w:snapToGrid w:val="0"/>
        <w:spacing w:before="50" w:after="50"/>
        <w:jc w:val="center"/>
        <w:rPr>
          <w:rFonts w:eastAsia="黑体"/>
          <w:color w:val="000000" w:themeColor="text1"/>
          <w:sz w:val="32"/>
          <w:szCs w:val="32"/>
        </w:rPr>
      </w:pPr>
      <w:r>
        <w:rPr>
          <w:rFonts w:eastAsia="黑体"/>
          <w:color w:val="000000" w:themeColor="text1"/>
          <w:sz w:val="32"/>
          <w:szCs w:val="32"/>
        </w:rPr>
        <w:t>五、开标一览表（</w:t>
      </w:r>
      <w:r>
        <w:rPr>
          <w:rFonts w:hint="eastAsia" w:eastAsia="黑体"/>
          <w:color w:val="000000" w:themeColor="text1"/>
          <w:sz w:val="32"/>
          <w:szCs w:val="32"/>
        </w:rPr>
        <w:t>一标段</w:t>
      </w:r>
      <w:r>
        <w:rPr>
          <w:rFonts w:eastAsia="黑体"/>
          <w:color w:val="000000" w:themeColor="text1"/>
          <w:sz w:val="32"/>
          <w:szCs w:val="32"/>
        </w:rPr>
        <w:t>）</w:t>
      </w:r>
    </w:p>
    <w:p>
      <w:pPr>
        <w:snapToGrid w:val="0"/>
        <w:spacing w:before="50" w:after="50"/>
        <w:jc w:val="center"/>
        <w:rPr>
          <w:color w:val="000000" w:themeColor="text1"/>
          <w:sz w:val="32"/>
          <w:szCs w:val="32"/>
        </w:rPr>
      </w:pP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p>
          <w:p>
            <w:pPr>
              <w:rPr>
                <w:color w:val="000000" w:themeColor="text1"/>
                <w:sz w:val="24"/>
                <w:szCs w:val="24"/>
              </w:rPr>
            </w:pPr>
            <w:r>
              <w:rPr>
                <w:color w:val="000000" w:themeColor="text1"/>
                <w:sz w:val="24"/>
                <w:szCs w:val="24"/>
              </w:rPr>
              <w:t>投标</w:t>
            </w:r>
            <w:r>
              <w:rPr>
                <w:rFonts w:hint="eastAsia"/>
                <w:color w:val="000000" w:themeColor="text1"/>
                <w:sz w:val="24"/>
                <w:szCs w:val="24"/>
              </w:rPr>
              <w:t>报价（大写）</w:t>
            </w:r>
            <w:r>
              <w:rPr>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（小写）:</w:t>
            </w:r>
            <w:r>
              <w:rPr>
                <w:rFonts w:hint="eastAsia"/>
                <w:color w:val="000000" w:themeColor="text1"/>
                <w:sz w:val="24"/>
                <w:szCs w:val="24"/>
                <w:u w:val="single"/>
              </w:rPr>
              <w:t xml:space="preserve">            </w:t>
            </w:r>
          </w:p>
          <w:p>
            <w:pPr>
              <w:pStyle w:val="27"/>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r>
              <w:rPr>
                <w:color w:val="000000" w:themeColor="text1"/>
                <w:sz w:val="24"/>
                <w:szCs w:val="24"/>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rPr>
            </w:pPr>
            <w:r>
              <w:rPr>
                <w:color w:val="000000" w:themeColor="text1"/>
                <w:sz w:val="24"/>
                <w:szCs w:val="24"/>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sz w:val="24"/>
                <w:szCs w:val="24"/>
              </w:rPr>
              <w:t>质保期：</w:t>
            </w:r>
            <w:r>
              <w:rPr>
                <w:rFonts w:hint="eastAsia"/>
                <w:sz w:val="24"/>
                <w:szCs w:val="24"/>
                <w:u w:val="single"/>
              </w:rPr>
              <w:t xml:space="preserve">       </w:t>
            </w:r>
            <w:r>
              <w:rPr>
                <w:rFonts w:hint="eastAsia"/>
                <w:sz w:val="24"/>
                <w:szCs w:val="24"/>
              </w:rPr>
              <w:t xml:space="preserve">  年</w:t>
            </w:r>
          </w:p>
          <w:p>
            <w:pPr>
              <w:pStyle w:val="21"/>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99" w:type="dxa"/>
            <w:gridSpan w:val="2"/>
            <w:tcBorders>
              <w:top w:val="single" w:color="auto" w:sz="4" w:space="0"/>
              <w:left w:val="single" w:color="auto" w:sz="4" w:space="0"/>
              <w:bottom w:val="single" w:color="auto" w:sz="4" w:space="0"/>
              <w:right w:val="single" w:color="auto" w:sz="4" w:space="0"/>
            </w:tcBorders>
          </w:tcPr>
          <w:p/>
          <w:p>
            <w:r>
              <w:rPr>
                <w:rFonts w:hint="eastAsia"/>
                <w:sz w:val="24"/>
                <w:szCs w:val="24"/>
              </w:rPr>
              <w:t>核心产品：篮球架投标品牌：</w:t>
            </w:r>
            <w:r>
              <w:rPr>
                <w:rFonts w:hint="eastAsia"/>
                <w:sz w:val="24"/>
                <w:szCs w:val="24"/>
                <w:u w:val="single"/>
              </w:rPr>
              <w:t xml:space="preserve">          </w:t>
            </w:r>
            <w:r>
              <w:rPr>
                <w:rFonts w:hint="eastAsia"/>
                <w:sz w:val="24"/>
                <w:szCs w:val="24"/>
              </w:rPr>
              <w:t xml:space="preserve">  </w:t>
            </w:r>
            <w:r>
              <w:rPr>
                <w:rFonts w:hint="eastAsia"/>
              </w:rPr>
              <w:t xml:space="preserve">        </w:t>
            </w:r>
          </w:p>
          <w:p>
            <w:pPr>
              <w:pStyle w:val="2"/>
            </w:pPr>
          </w:p>
        </w:tc>
      </w:tr>
    </w:tbl>
    <w:p>
      <w:pPr>
        <w:spacing w:line="240" w:lineRule="atLeast"/>
        <w:rPr>
          <w:color w:val="000000" w:themeColor="text1"/>
        </w:rPr>
      </w:pPr>
      <w:r>
        <w:rPr>
          <w:color w:val="000000" w:themeColor="text1"/>
        </w:rPr>
        <w:t>填写说明：</w:t>
      </w:r>
    </w:p>
    <w:p>
      <w:pPr>
        <w:spacing w:line="240" w:lineRule="atLeast"/>
        <w:rPr>
          <w:color w:val="FF0000"/>
          <w:sz w:val="24"/>
          <w:szCs w:val="24"/>
        </w:rPr>
      </w:pPr>
      <w:r>
        <w:rPr>
          <w:rFonts w:hint="eastAsia"/>
          <w:color w:val="000000" w:themeColor="text1"/>
          <w:sz w:val="24"/>
          <w:szCs w:val="24"/>
        </w:rPr>
        <w:t xml:space="preserve">1. </w:t>
      </w:r>
      <w:r>
        <w:rPr>
          <w:color w:val="FF0000"/>
          <w:sz w:val="24"/>
          <w:szCs w:val="24"/>
        </w:rPr>
        <w:t>开标一览表不得填报选择性报价，否则将作为无效投标；</w:t>
      </w:r>
    </w:p>
    <w:p>
      <w:pPr>
        <w:spacing w:line="240" w:lineRule="atLeast"/>
        <w:rPr>
          <w:color w:val="000000" w:themeColor="text1"/>
          <w:sz w:val="24"/>
          <w:szCs w:val="24"/>
        </w:rPr>
      </w:pPr>
      <w:r>
        <w:rPr>
          <w:rFonts w:hint="eastAsia"/>
          <w:color w:val="000000" w:themeColor="text1"/>
          <w:sz w:val="24"/>
          <w:szCs w:val="24"/>
        </w:rPr>
        <w:t xml:space="preserve">2. </w:t>
      </w:r>
      <w:r>
        <w:rPr>
          <w:color w:val="000000" w:themeColor="text1"/>
          <w:sz w:val="24"/>
          <w:szCs w:val="24"/>
        </w:rPr>
        <w:t>开标一览表中报价与投标分项明细报价表</w:t>
      </w:r>
      <w:r>
        <w:rPr>
          <w:rFonts w:hint="eastAsia"/>
          <w:color w:val="000000" w:themeColor="text1"/>
          <w:sz w:val="24"/>
          <w:szCs w:val="24"/>
        </w:rPr>
        <w:t>（报价清单）</w:t>
      </w:r>
      <w:r>
        <w:rPr>
          <w:color w:val="000000" w:themeColor="text1"/>
          <w:sz w:val="24"/>
          <w:szCs w:val="24"/>
        </w:rPr>
        <w:t>中不符时，以开标一览表为准；</w:t>
      </w:r>
    </w:p>
    <w:p>
      <w:pPr>
        <w:spacing w:line="348" w:lineRule="auto"/>
        <w:ind w:firstLine="2850"/>
        <w:jc w:val="center"/>
        <w:rPr>
          <w:color w:val="000000" w:themeColor="text1"/>
          <w:sz w:val="24"/>
          <w:szCs w:val="24"/>
        </w:rPr>
      </w:pPr>
    </w:p>
    <w:p>
      <w:pPr>
        <w:pStyle w:val="2"/>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w:t>
      </w:r>
      <w:r>
        <w:rPr>
          <w:rFonts w:hint="eastAsia"/>
          <w:color w:val="000000" w:themeColor="text1"/>
          <w:sz w:val="24"/>
          <w:szCs w:val="24"/>
        </w:rPr>
        <w:t xml:space="preserve">    </w:t>
      </w:r>
      <w:r>
        <w:rPr>
          <w:color w:val="000000" w:themeColor="text1"/>
          <w:sz w:val="24"/>
          <w:szCs w:val="24"/>
        </w:rPr>
        <w:t>年</w:t>
      </w:r>
      <w:r>
        <w:rPr>
          <w:rFonts w:hint="eastAsia"/>
          <w:color w:val="000000" w:themeColor="text1"/>
          <w:sz w:val="24"/>
          <w:szCs w:val="24"/>
        </w:rPr>
        <w:t xml:space="preserve">  </w:t>
      </w:r>
      <w:r>
        <w:rPr>
          <w:color w:val="000000" w:themeColor="text1"/>
          <w:sz w:val="24"/>
          <w:szCs w:val="24"/>
        </w:rPr>
        <w:t>月</w:t>
      </w:r>
      <w:r>
        <w:rPr>
          <w:rFonts w:hint="eastAsia"/>
          <w:color w:val="000000" w:themeColor="text1"/>
          <w:sz w:val="24"/>
          <w:szCs w:val="24"/>
        </w:rPr>
        <w:t xml:space="preserve">   </w:t>
      </w:r>
      <w:r>
        <w:rPr>
          <w:color w:val="000000" w:themeColor="text1"/>
          <w:sz w:val="24"/>
          <w:szCs w:val="24"/>
        </w:rPr>
        <w:t>日</w:t>
      </w:r>
    </w:p>
    <w:p>
      <w:pPr>
        <w:jc w:val="center"/>
        <w:rPr>
          <w:b/>
          <w:bCs/>
          <w:color w:val="000000" w:themeColor="text1"/>
          <w:sz w:val="32"/>
          <w:szCs w:val="32"/>
        </w:rPr>
      </w:pPr>
    </w:p>
    <w:p>
      <w:pPr>
        <w:jc w:val="center"/>
        <w:rPr>
          <w:b/>
          <w:bCs/>
          <w:color w:val="000000" w:themeColor="text1"/>
          <w:sz w:val="32"/>
          <w:szCs w:val="32"/>
        </w:rPr>
      </w:pPr>
    </w:p>
    <w:p>
      <w:pPr>
        <w:pStyle w:val="2"/>
        <w:rPr>
          <w:b/>
          <w:bCs/>
          <w:color w:val="000000" w:themeColor="text1"/>
          <w:sz w:val="32"/>
          <w:szCs w:val="32"/>
        </w:rPr>
      </w:pPr>
    </w:p>
    <w:p>
      <w:pPr>
        <w:snapToGrid w:val="0"/>
        <w:spacing w:before="50" w:after="50"/>
        <w:jc w:val="center"/>
        <w:rPr>
          <w:rFonts w:eastAsia="黑体"/>
          <w:color w:val="000000" w:themeColor="text1"/>
          <w:sz w:val="32"/>
          <w:szCs w:val="32"/>
        </w:rPr>
      </w:pPr>
      <w:r>
        <w:rPr>
          <w:rFonts w:eastAsia="黑体"/>
          <w:color w:val="000000" w:themeColor="text1"/>
          <w:sz w:val="32"/>
          <w:szCs w:val="32"/>
        </w:rPr>
        <w:t>开标一览表（</w:t>
      </w:r>
      <w:r>
        <w:rPr>
          <w:rFonts w:hint="eastAsia" w:eastAsia="黑体"/>
          <w:color w:val="000000" w:themeColor="text1"/>
          <w:sz w:val="32"/>
          <w:szCs w:val="32"/>
        </w:rPr>
        <w:t>二标段</w:t>
      </w:r>
      <w:r>
        <w:rPr>
          <w:rFonts w:eastAsia="黑体"/>
          <w:color w:val="000000" w:themeColor="text1"/>
          <w:sz w:val="32"/>
          <w:szCs w:val="32"/>
        </w:rPr>
        <w:t>）</w:t>
      </w:r>
    </w:p>
    <w:p>
      <w:pPr>
        <w:snapToGrid w:val="0"/>
        <w:spacing w:before="50" w:after="50"/>
        <w:jc w:val="center"/>
        <w:rPr>
          <w:color w:val="000000" w:themeColor="text1"/>
          <w:sz w:val="32"/>
          <w:szCs w:val="32"/>
        </w:rPr>
      </w:pP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rPr>
            </w:pPr>
            <w:r>
              <w:rPr>
                <w:color w:val="000000" w:themeColor="text1"/>
                <w:sz w:val="24"/>
                <w:szCs w:val="24"/>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p>
          <w:p>
            <w:pPr>
              <w:rPr>
                <w:color w:val="000000" w:themeColor="text1"/>
                <w:sz w:val="24"/>
                <w:szCs w:val="24"/>
              </w:rPr>
            </w:pPr>
            <w:r>
              <w:rPr>
                <w:color w:val="000000" w:themeColor="text1"/>
                <w:sz w:val="24"/>
                <w:szCs w:val="24"/>
              </w:rPr>
              <w:t>投标</w:t>
            </w:r>
            <w:r>
              <w:rPr>
                <w:rFonts w:hint="eastAsia"/>
                <w:color w:val="000000" w:themeColor="text1"/>
                <w:sz w:val="24"/>
                <w:szCs w:val="24"/>
              </w:rPr>
              <w:t>报价（大写）</w:t>
            </w:r>
            <w:r>
              <w:rPr>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（小写）:</w:t>
            </w:r>
            <w:r>
              <w:rPr>
                <w:rFonts w:hint="eastAsia"/>
                <w:color w:val="000000" w:themeColor="text1"/>
                <w:sz w:val="24"/>
                <w:szCs w:val="24"/>
                <w:u w:val="single"/>
              </w:rPr>
              <w:t xml:space="preserve">            </w:t>
            </w:r>
          </w:p>
          <w:p>
            <w:pPr>
              <w:pStyle w:val="27"/>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rPr>
            </w:pPr>
            <w:r>
              <w:rPr>
                <w:color w:val="000000" w:themeColor="text1"/>
                <w:sz w:val="24"/>
                <w:szCs w:val="24"/>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rPr>
            </w:pPr>
            <w:r>
              <w:rPr>
                <w:color w:val="000000" w:themeColor="text1"/>
                <w:sz w:val="24"/>
                <w:szCs w:val="24"/>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sz w:val="24"/>
                <w:szCs w:val="24"/>
              </w:rPr>
              <w:t>质保期：</w:t>
            </w:r>
            <w:r>
              <w:rPr>
                <w:rFonts w:hint="eastAsia"/>
                <w:sz w:val="24"/>
                <w:szCs w:val="24"/>
                <w:u w:val="single"/>
              </w:rPr>
              <w:t xml:space="preserve">       </w:t>
            </w:r>
            <w:r>
              <w:rPr>
                <w:rFonts w:hint="eastAsia"/>
                <w:sz w:val="24"/>
                <w:szCs w:val="24"/>
              </w:rPr>
              <w:t xml:space="preserve">  年</w:t>
            </w:r>
          </w:p>
          <w:p>
            <w:pPr>
              <w:pStyle w:val="21"/>
              <w:ind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199" w:type="dxa"/>
            <w:gridSpan w:val="2"/>
            <w:tcBorders>
              <w:top w:val="single" w:color="auto" w:sz="4" w:space="0"/>
              <w:left w:val="single" w:color="auto" w:sz="4" w:space="0"/>
              <w:bottom w:val="single" w:color="auto" w:sz="4" w:space="0"/>
              <w:right w:val="single" w:color="auto" w:sz="4" w:space="0"/>
            </w:tcBorders>
          </w:tcPr>
          <w:p>
            <w:pPr>
              <w:jc w:val="left"/>
            </w:pPr>
          </w:p>
          <w:p>
            <w:pPr>
              <w:rPr>
                <w:color w:val="000000" w:themeColor="text1"/>
                <w:sz w:val="24"/>
                <w:szCs w:val="24"/>
              </w:rPr>
            </w:pPr>
            <w:r>
              <w:rPr>
                <w:rFonts w:hint="eastAsia"/>
                <w:color w:val="000000" w:themeColor="text1"/>
                <w:sz w:val="24"/>
                <w:szCs w:val="24"/>
              </w:rPr>
              <w:t>核心产品：刷卡式自动测试设备投标品牌：</w:t>
            </w:r>
            <w:r>
              <w:rPr>
                <w:rFonts w:hint="eastAsia"/>
                <w:sz w:val="24"/>
                <w:szCs w:val="24"/>
                <w:u w:val="single"/>
              </w:rPr>
              <w:t xml:space="preserve">            </w:t>
            </w:r>
          </w:p>
          <w:p>
            <w:pPr>
              <w:pStyle w:val="2"/>
            </w:pPr>
          </w:p>
        </w:tc>
      </w:tr>
    </w:tbl>
    <w:p>
      <w:pPr>
        <w:spacing w:line="240" w:lineRule="atLeast"/>
        <w:rPr>
          <w:color w:val="000000" w:themeColor="text1"/>
        </w:rPr>
      </w:pPr>
      <w:r>
        <w:rPr>
          <w:color w:val="000000" w:themeColor="text1"/>
        </w:rPr>
        <w:t>填写说明：</w:t>
      </w:r>
    </w:p>
    <w:p>
      <w:pPr>
        <w:spacing w:line="240" w:lineRule="atLeast"/>
        <w:rPr>
          <w:color w:val="FF0000"/>
          <w:sz w:val="24"/>
          <w:szCs w:val="24"/>
        </w:rPr>
      </w:pPr>
      <w:r>
        <w:rPr>
          <w:rFonts w:hint="eastAsia"/>
          <w:color w:val="000000" w:themeColor="text1"/>
          <w:sz w:val="24"/>
          <w:szCs w:val="24"/>
        </w:rPr>
        <w:t xml:space="preserve">1. </w:t>
      </w:r>
      <w:r>
        <w:rPr>
          <w:color w:val="FF0000"/>
          <w:sz w:val="24"/>
          <w:szCs w:val="24"/>
        </w:rPr>
        <w:t>开标一览表不得填报选择性报价，否则将作为无效投标；</w:t>
      </w:r>
    </w:p>
    <w:p>
      <w:pPr>
        <w:spacing w:line="240" w:lineRule="atLeast"/>
        <w:rPr>
          <w:color w:val="000000" w:themeColor="text1"/>
          <w:sz w:val="24"/>
          <w:szCs w:val="24"/>
        </w:rPr>
      </w:pPr>
      <w:r>
        <w:rPr>
          <w:rFonts w:hint="eastAsia"/>
          <w:color w:val="000000" w:themeColor="text1"/>
          <w:sz w:val="24"/>
          <w:szCs w:val="24"/>
        </w:rPr>
        <w:t xml:space="preserve">2. </w:t>
      </w:r>
      <w:r>
        <w:rPr>
          <w:color w:val="000000" w:themeColor="text1"/>
          <w:sz w:val="24"/>
          <w:szCs w:val="24"/>
        </w:rPr>
        <w:t>开标一览表中报价与投标分项明细报价表</w:t>
      </w:r>
      <w:r>
        <w:rPr>
          <w:rFonts w:hint="eastAsia"/>
          <w:color w:val="000000" w:themeColor="text1"/>
          <w:sz w:val="24"/>
          <w:szCs w:val="24"/>
        </w:rPr>
        <w:t>（报价清单）</w:t>
      </w:r>
      <w:r>
        <w:rPr>
          <w:color w:val="000000" w:themeColor="text1"/>
          <w:sz w:val="24"/>
          <w:szCs w:val="24"/>
        </w:rPr>
        <w:t>中不符时，以开标一览表为准；</w:t>
      </w:r>
    </w:p>
    <w:p>
      <w:pPr>
        <w:spacing w:line="348" w:lineRule="auto"/>
        <w:ind w:firstLine="2850"/>
        <w:jc w:val="center"/>
        <w:rPr>
          <w:color w:val="000000" w:themeColor="text1"/>
          <w:sz w:val="24"/>
          <w:szCs w:val="24"/>
        </w:rPr>
      </w:pPr>
    </w:p>
    <w:p>
      <w:pPr>
        <w:pStyle w:val="2"/>
      </w:pPr>
    </w:p>
    <w:p>
      <w:pPr>
        <w:spacing w:line="348" w:lineRule="auto"/>
        <w:ind w:firstLine="2850"/>
        <w:jc w:val="center"/>
        <w:rPr>
          <w:color w:val="000000" w:themeColor="text1"/>
          <w:sz w:val="24"/>
          <w:szCs w:val="24"/>
        </w:rPr>
      </w:pPr>
      <w:r>
        <w:rPr>
          <w:color w:val="000000" w:themeColor="text1"/>
          <w:sz w:val="24"/>
          <w:szCs w:val="24"/>
        </w:rPr>
        <w:t>投标供应商（单位公章）：</w:t>
      </w:r>
    </w:p>
    <w:p>
      <w:pPr>
        <w:spacing w:line="348" w:lineRule="auto"/>
        <w:ind w:firstLine="2850"/>
        <w:jc w:val="center"/>
        <w:rPr>
          <w:color w:val="000000" w:themeColor="text1"/>
          <w:sz w:val="24"/>
          <w:szCs w:val="24"/>
        </w:rPr>
      </w:pPr>
      <w:r>
        <w:rPr>
          <w:color w:val="000000" w:themeColor="text1"/>
          <w:sz w:val="24"/>
          <w:szCs w:val="24"/>
        </w:rPr>
        <w:t>法定代表人或授权代表（签字或盖章）：</w:t>
      </w:r>
    </w:p>
    <w:p>
      <w:pPr>
        <w:spacing w:line="348" w:lineRule="auto"/>
        <w:ind w:firstLine="2850"/>
        <w:jc w:val="center"/>
        <w:rPr>
          <w:color w:val="000000" w:themeColor="text1"/>
          <w:sz w:val="24"/>
          <w:szCs w:val="24"/>
        </w:rPr>
      </w:pPr>
      <w:r>
        <w:rPr>
          <w:color w:val="000000" w:themeColor="text1"/>
          <w:sz w:val="24"/>
          <w:szCs w:val="24"/>
        </w:rPr>
        <w:t>日期：</w:t>
      </w:r>
      <w:r>
        <w:rPr>
          <w:rFonts w:hint="eastAsia"/>
          <w:color w:val="000000" w:themeColor="text1"/>
          <w:sz w:val="24"/>
          <w:szCs w:val="24"/>
        </w:rPr>
        <w:t xml:space="preserve">    </w:t>
      </w:r>
      <w:r>
        <w:rPr>
          <w:color w:val="000000" w:themeColor="text1"/>
          <w:sz w:val="24"/>
          <w:szCs w:val="24"/>
        </w:rPr>
        <w:t>年</w:t>
      </w:r>
      <w:r>
        <w:rPr>
          <w:rFonts w:hint="eastAsia"/>
          <w:color w:val="000000" w:themeColor="text1"/>
          <w:sz w:val="24"/>
          <w:szCs w:val="24"/>
        </w:rPr>
        <w:t xml:space="preserve">  </w:t>
      </w:r>
      <w:r>
        <w:rPr>
          <w:color w:val="000000" w:themeColor="text1"/>
          <w:sz w:val="24"/>
          <w:szCs w:val="24"/>
        </w:rPr>
        <w:t>月</w:t>
      </w:r>
      <w:r>
        <w:rPr>
          <w:rFonts w:hint="eastAsia"/>
          <w:color w:val="000000" w:themeColor="text1"/>
          <w:sz w:val="24"/>
          <w:szCs w:val="24"/>
        </w:rPr>
        <w:t xml:space="preserve">   </w:t>
      </w:r>
      <w:r>
        <w:rPr>
          <w:color w:val="000000" w:themeColor="text1"/>
          <w:sz w:val="24"/>
          <w:szCs w:val="24"/>
        </w:rPr>
        <w:t>日</w:t>
      </w:r>
    </w:p>
    <w:p>
      <w:pPr>
        <w:jc w:val="center"/>
        <w:rPr>
          <w:b/>
          <w:bCs/>
          <w:color w:val="000000" w:themeColor="text1"/>
          <w:sz w:val="32"/>
          <w:szCs w:val="32"/>
        </w:rPr>
      </w:pPr>
    </w:p>
    <w:p>
      <w:pPr>
        <w:jc w:val="center"/>
        <w:rPr>
          <w:b/>
          <w:bCs/>
          <w:color w:val="000000" w:themeColor="text1"/>
          <w:sz w:val="32"/>
          <w:szCs w:val="32"/>
        </w:rPr>
      </w:pPr>
    </w:p>
    <w:p>
      <w:pPr>
        <w:pStyle w:val="2"/>
        <w:sectPr>
          <w:pgSz w:w="11906" w:h="16838"/>
          <w:pgMar w:top="1701" w:right="1587" w:bottom="1417" w:left="1587" w:header="1134" w:footer="1304" w:gutter="0"/>
          <w:cols w:space="0" w:num="1"/>
          <w:docGrid w:type="lines" w:linePitch="323" w:charSpace="0"/>
        </w:sectPr>
      </w:pPr>
    </w:p>
    <w:p>
      <w:pPr>
        <w:pStyle w:val="7"/>
        <w:numPr>
          <w:ilvl w:val="0"/>
          <w:numId w:val="11"/>
        </w:numPr>
        <w:spacing w:line="500" w:lineRule="exact"/>
        <w:ind w:firstLine="0"/>
        <w:jc w:val="center"/>
        <w:rPr>
          <w:rFonts w:ascii="宋体" w:hAnsi="宋体"/>
          <w:b/>
          <w:sz w:val="36"/>
          <w:szCs w:val="36"/>
        </w:rPr>
      </w:pPr>
      <w:r>
        <w:rPr>
          <w:rFonts w:hint="eastAsia" w:ascii="宋体" w:hAnsi="宋体"/>
          <w:b/>
          <w:sz w:val="36"/>
          <w:szCs w:val="36"/>
        </w:rPr>
        <w:t>报价清单（格式）</w:t>
      </w:r>
    </w:p>
    <w:p>
      <w:pPr>
        <w:pStyle w:val="7"/>
        <w:spacing w:line="500" w:lineRule="exact"/>
        <w:ind w:firstLine="0"/>
        <w:jc w:val="center"/>
        <w:rPr>
          <w:rFonts w:ascii="宋体" w:hAnsi="宋体"/>
          <w:b/>
          <w:sz w:val="36"/>
          <w:szCs w:val="36"/>
        </w:rPr>
      </w:pPr>
    </w:p>
    <w:p>
      <w:pPr>
        <w:pStyle w:val="13"/>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一标段产品需求清单报价：</w:t>
      </w:r>
    </w:p>
    <w:p>
      <w:pPr>
        <w:pStyle w:val="13"/>
        <w:spacing w:line="560" w:lineRule="exact"/>
        <w:ind w:firstLine="643" w:firstLineChars="200"/>
        <w:rPr>
          <w:rFonts w:ascii="Times New Roman" w:hAnsi="Times New Roman" w:eastAsia="黑体"/>
          <w:sz w:val="32"/>
          <w:szCs w:val="32"/>
        </w:rPr>
      </w:pPr>
      <w:r>
        <w:rPr>
          <w:rFonts w:hint="eastAsia" w:hAnsi="宋体"/>
          <w:b/>
          <w:bCs/>
          <w:kern w:val="0"/>
          <w:sz w:val="32"/>
          <w:szCs w:val="32"/>
        </w:rPr>
        <w:t>1、篮球馆</w:t>
      </w:r>
    </w:p>
    <w:tbl>
      <w:tblPr>
        <w:tblStyle w:val="2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367"/>
        <w:gridCol w:w="5970"/>
        <w:gridCol w:w="745"/>
        <w:gridCol w:w="851"/>
        <w:gridCol w:w="17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673"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67"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970"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745"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701"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kern w:val="0"/>
              </w:rPr>
              <w:t>参考品牌</w:t>
            </w:r>
          </w:p>
        </w:tc>
        <w:tc>
          <w:tcPr>
            <w:tcW w:w="1134" w:type="dxa"/>
            <w:shd w:val="clear" w:color="auto" w:fill="auto"/>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673"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367" w:type="dxa"/>
            <w:shd w:val="clear" w:color="auto" w:fill="auto"/>
            <w:vAlign w:val="center"/>
          </w:tcPr>
          <w:p>
            <w:pPr>
              <w:pStyle w:val="27"/>
              <w:jc w:val="both"/>
              <w:rPr>
                <w:rFonts w:hAnsi="宋体"/>
                <w:color w:val="auto"/>
                <w:sz w:val="21"/>
                <w:szCs w:val="21"/>
              </w:rPr>
            </w:pPr>
            <w:r>
              <w:rPr>
                <w:rFonts w:hint="eastAsia" w:hAnsi="宋体"/>
                <w:color w:val="auto"/>
                <w:sz w:val="21"/>
                <w:szCs w:val="21"/>
              </w:rPr>
              <w:t>篮球架</w:t>
            </w:r>
          </w:p>
          <w:p>
            <w:pPr>
              <w:pStyle w:val="21"/>
              <w:spacing w:before="156" w:after="156"/>
              <w:ind w:firstLine="0" w:firstLineChars="0"/>
              <w:rPr>
                <w:rFonts w:ascii="Times New Roman" w:hAnsi="宋体" w:eastAsia="宋体"/>
                <w:b/>
                <w:bCs/>
                <w:kern w:val="0"/>
                <w:sz w:val="21"/>
                <w:szCs w:val="21"/>
              </w:rPr>
            </w:pPr>
            <w:r>
              <w:rPr>
                <w:rFonts w:hint="eastAsia" w:ascii="Times New Roman" w:hAnsi="宋体" w:eastAsia="宋体"/>
                <w:b/>
                <w:bCs/>
                <w:kern w:val="0"/>
                <w:sz w:val="21"/>
                <w:szCs w:val="21"/>
              </w:rPr>
              <w:t>(核心产品）</w:t>
            </w:r>
          </w:p>
          <w:p>
            <w:pPr>
              <w:pStyle w:val="27"/>
              <w:jc w:val="both"/>
              <w:rPr>
                <w:rFonts w:hAnsi="宋体"/>
                <w:color w:val="auto"/>
                <w:sz w:val="21"/>
                <w:szCs w:val="21"/>
              </w:rPr>
            </w:pPr>
          </w:p>
        </w:tc>
        <w:tc>
          <w:tcPr>
            <w:tcW w:w="5970" w:type="dxa"/>
            <w:shd w:val="clear" w:color="auto" w:fill="auto"/>
            <w:vAlign w:val="center"/>
          </w:tcPr>
          <w:p>
            <w:pPr>
              <w:pStyle w:val="27"/>
              <w:jc w:val="both"/>
              <w:rPr>
                <w:rFonts w:hAnsi="宋体"/>
                <w:color w:val="auto"/>
                <w:sz w:val="21"/>
                <w:szCs w:val="21"/>
              </w:rPr>
            </w:pPr>
            <w:r>
              <w:rPr>
                <w:rFonts w:hint="eastAsia" w:hAnsi="宋体"/>
                <w:color w:val="auto"/>
                <w:sz w:val="21"/>
                <w:szCs w:val="21"/>
              </w:rPr>
              <w:t>1.底座：2.15x1.14m，伸臂3.25m</w:t>
            </w:r>
          </w:p>
          <w:p>
            <w:pPr>
              <w:pStyle w:val="27"/>
              <w:jc w:val="both"/>
              <w:rPr>
                <w:rFonts w:hAnsi="宋体"/>
                <w:color w:val="auto"/>
                <w:sz w:val="21"/>
                <w:szCs w:val="21"/>
              </w:rPr>
            </w:pPr>
            <w:r>
              <w:rPr>
                <w:rFonts w:hint="eastAsia" w:hAnsi="宋体"/>
                <w:color w:val="auto"/>
                <w:sz w:val="21"/>
                <w:szCs w:val="21"/>
              </w:rPr>
              <w:t>2.配12mm超白玻璃贴防爆膜，铝合金篮板</w:t>
            </w:r>
          </w:p>
          <w:p>
            <w:pPr>
              <w:pStyle w:val="27"/>
              <w:jc w:val="both"/>
              <w:rPr>
                <w:rFonts w:hAnsi="宋体"/>
                <w:color w:val="auto"/>
                <w:sz w:val="21"/>
                <w:szCs w:val="21"/>
              </w:rPr>
            </w:pPr>
            <w:r>
              <w:rPr>
                <w:rFonts w:hint="eastAsia" w:hAnsi="宋体"/>
                <w:color w:val="auto"/>
                <w:sz w:val="21"/>
                <w:szCs w:val="21"/>
              </w:rPr>
              <w:t>3.微电脑控制系统、电缸升降。</w:t>
            </w:r>
          </w:p>
          <w:p>
            <w:pPr>
              <w:pStyle w:val="27"/>
              <w:jc w:val="both"/>
              <w:rPr>
                <w:rFonts w:hAnsi="宋体"/>
                <w:color w:val="auto"/>
                <w:sz w:val="21"/>
                <w:szCs w:val="21"/>
              </w:rPr>
            </w:pPr>
            <w:r>
              <w:rPr>
                <w:rFonts w:hint="eastAsia" w:hAnsi="宋体"/>
                <w:color w:val="auto"/>
                <w:sz w:val="21"/>
                <w:szCs w:val="21"/>
              </w:rPr>
              <w:t>4.不含24秒，可选配：单面、三面、四面</w:t>
            </w:r>
          </w:p>
          <w:p>
            <w:pPr>
              <w:pStyle w:val="27"/>
              <w:jc w:val="both"/>
              <w:rPr>
                <w:rFonts w:hAnsi="宋体"/>
                <w:color w:val="auto"/>
                <w:sz w:val="21"/>
                <w:szCs w:val="21"/>
              </w:rPr>
            </w:pPr>
            <w:r>
              <w:rPr>
                <w:rFonts w:hint="eastAsia" w:hAnsi="宋体"/>
                <w:color w:val="auto"/>
                <w:sz w:val="21"/>
                <w:szCs w:val="21"/>
              </w:rPr>
              <w:t xml:space="preserve">5.护套：木板海绵护套  </w:t>
            </w:r>
          </w:p>
          <w:p>
            <w:pPr>
              <w:pStyle w:val="27"/>
              <w:jc w:val="both"/>
              <w:rPr>
                <w:rFonts w:hAnsi="宋体"/>
                <w:color w:val="auto"/>
                <w:sz w:val="21"/>
                <w:szCs w:val="21"/>
              </w:rPr>
            </w:pPr>
            <w:r>
              <w:rPr>
                <w:rFonts w:hint="eastAsia" w:hAnsi="宋体"/>
                <w:color w:val="auto"/>
                <w:sz w:val="21"/>
                <w:szCs w:val="21"/>
              </w:rPr>
              <w:t>6.含配重（≥750KG/支 铁板配重）</w:t>
            </w:r>
          </w:p>
          <w:p>
            <w:pPr>
              <w:pStyle w:val="27"/>
              <w:jc w:val="both"/>
              <w:rPr>
                <w:rFonts w:hAnsi="宋体"/>
                <w:color w:val="auto"/>
                <w:sz w:val="21"/>
                <w:szCs w:val="21"/>
              </w:rPr>
            </w:pPr>
            <w:r>
              <w:rPr>
                <w:rFonts w:hint="eastAsia" w:hAnsi="宋体"/>
                <w:color w:val="auto"/>
                <w:sz w:val="21"/>
                <w:szCs w:val="21"/>
              </w:rPr>
              <w:t>7.适合场地至少：37.4m24秒另配。单支配重≥750KG</w:t>
            </w:r>
          </w:p>
          <w:p>
            <w:pPr>
              <w:pStyle w:val="27"/>
              <w:jc w:val="both"/>
              <w:rPr>
                <w:rFonts w:hAnsi="宋体"/>
                <w:color w:val="auto"/>
                <w:sz w:val="21"/>
                <w:szCs w:val="21"/>
              </w:rPr>
            </w:pPr>
            <w:r>
              <w:rPr>
                <w:rFonts w:hint="eastAsia" w:hAnsi="宋体"/>
                <w:color w:val="auto"/>
                <w:sz w:val="21"/>
                <w:szCs w:val="21"/>
              </w:rPr>
              <w:t>篮球架须有FIBA认证。</w:t>
            </w:r>
          </w:p>
        </w:tc>
        <w:tc>
          <w:tcPr>
            <w:tcW w:w="745" w:type="dxa"/>
            <w:shd w:val="clear" w:color="auto" w:fill="auto"/>
            <w:vAlign w:val="center"/>
          </w:tcPr>
          <w:p>
            <w:pPr>
              <w:widowControl/>
              <w:jc w:val="center"/>
              <w:textAlignment w:val="center"/>
              <w:rPr>
                <w:rFonts w:ascii="宋体" w:hAnsi="宋体" w:cs="宋体"/>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金陵、红双喜、舒华</w:t>
            </w:r>
          </w:p>
          <w:p>
            <w:pPr>
              <w:pStyle w:val="21"/>
              <w:spacing w:before="156" w:after="156"/>
              <w:ind w:firstLine="600"/>
              <w:rPr>
                <w:rFonts w:ascii="宋体" w:hAnsi="宋体" w:cstheme="minorEastAsia"/>
              </w:rPr>
            </w:pP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textAlignment w:val="center"/>
              <w:rPr>
                <w:rFonts w:cs="宋体"/>
              </w:rPr>
            </w:pPr>
          </w:p>
        </w:tc>
        <w:tc>
          <w:tcPr>
            <w:tcW w:w="1134" w:type="dxa"/>
          </w:tcPr>
          <w:p>
            <w:pPr>
              <w:widowControl/>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计时、二十四秒显示器</w:t>
            </w:r>
          </w:p>
        </w:tc>
        <w:tc>
          <w:tcPr>
            <w:tcW w:w="5970" w:type="dxa"/>
            <w:shd w:val="clear" w:color="auto" w:fill="auto"/>
            <w:vAlign w:val="center"/>
          </w:tcPr>
          <w:p>
            <w:pPr>
              <w:pStyle w:val="27"/>
              <w:jc w:val="both"/>
              <w:rPr>
                <w:rFonts w:hAnsi="宋体"/>
                <w:color w:val="auto"/>
                <w:sz w:val="21"/>
                <w:szCs w:val="21"/>
              </w:rPr>
            </w:pPr>
            <w:r>
              <w:rPr>
                <w:rFonts w:hint="eastAsia" w:hAnsi="宋体"/>
                <w:color w:val="auto"/>
                <w:sz w:val="21"/>
                <w:szCs w:val="21"/>
              </w:rPr>
              <w:t>三面24秒：计时器根据最新国际篮球竞赛规则设计制作，显示屏光源采用进口高亮度贴片式发光二级管，寿命长，用电省，刷新率高，无闪烁现象。</w:t>
            </w:r>
          </w:p>
          <w:p>
            <w:pPr>
              <w:pStyle w:val="27"/>
              <w:jc w:val="both"/>
              <w:rPr>
                <w:rFonts w:hAnsi="宋体"/>
                <w:color w:val="auto"/>
                <w:sz w:val="21"/>
                <w:szCs w:val="21"/>
              </w:rPr>
            </w:pPr>
            <w:r>
              <w:rPr>
                <w:rFonts w:hint="eastAsia" w:ascii="宋体" w:hAnsi="宋体" w:cs="宋体"/>
                <w:color w:val="auto"/>
                <w:szCs w:val="21"/>
                <w:shd w:val="clear" w:color="auto" w:fill="FFFFFF"/>
              </w:rPr>
              <w:t>★</w:t>
            </w:r>
            <w:r>
              <w:rPr>
                <w:rFonts w:hint="eastAsia" w:hAnsi="宋体"/>
                <w:color w:val="auto"/>
                <w:sz w:val="21"/>
                <w:szCs w:val="21"/>
              </w:rPr>
              <w:t>1、显示屏尺寸：555*480*465mm（三面），</w:t>
            </w:r>
          </w:p>
          <w:p>
            <w:pPr>
              <w:pStyle w:val="27"/>
              <w:jc w:val="both"/>
              <w:rPr>
                <w:rFonts w:hAnsi="宋体"/>
                <w:color w:val="auto"/>
                <w:sz w:val="21"/>
                <w:szCs w:val="21"/>
              </w:rPr>
            </w:pPr>
            <w:r>
              <w:rPr>
                <w:rFonts w:hint="eastAsia" w:hAnsi="宋体"/>
                <w:color w:val="auto"/>
                <w:sz w:val="21"/>
                <w:szCs w:val="21"/>
              </w:rPr>
              <w:t>2、发　光　管：3528型大角度高亮红色、黄色贴片式LED发光管</w:t>
            </w:r>
          </w:p>
          <w:p>
            <w:pPr>
              <w:pStyle w:val="27"/>
              <w:jc w:val="both"/>
              <w:rPr>
                <w:rFonts w:hAnsi="宋体"/>
                <w:color w:val="auto"/>
                <w:sz w:val="21"/>
                <w:szCs w:val="21"/>
              </w:rPr>
            </w:pPr>
            <w:r>
              <w:rPr>
                <w:rFonts w:hint="eastAsia" w:hAnsi="宋体"/>
                <w:color w:val="auto"/>
                <w:sz w:val="21"/>
                <w:szCs w:val="21"/>
              </w:rPr>
              <w:t>3、电压：AC170V-270V宽电压设计</w:t>
            </w:r>
          </w:p>
          <w:p>
            <w:pPr>
              <w:widowControl/>
              <w:shd w:val="clear" w:color="auto" w:fill="FFFFFF"/>
              <w:jc w:val="left"/>
              <w:rPr>
                <w:rFonts w:ascii="宋体" w:hAnsi="宋体"/>
              </w:rPr>
            </w:pPr>
            <w:r>
              <w:rPr>
                <w:rFonts w:hint="eastAsia" w:ascii="宋体" w:hAnsi="宋体"/>
              </w:rPr>
              <w:t>4、功率：＜200W。</w:t>
            </w:r>
          </w:p>
          <w:p>
            <w:pPr>
              <w:pStyle w:val="27"/>
              <w:jc w:val="both"/>
              <w:rPr>
                <w:rFonts w:hAnsi="宋体"/>
                <w:color w:val="auto"/>
                <w:sz w:val="21"/>
                <w:szCs w:val="21"/>
              </w:rPr>
            </w:pPr>
            <w:r>
              <w:rPr>
                <w:rFonts w:hint="eastAsia" w:hAnsi="宋体"/>
                <w:color w:val="auto"/>
                <w:sz w:val="21"/>
                <w:szCs w:val="21"/>
              </w:rPr>
              <w:t>电子计分牌：1800mm*1000mm*70mm功能：队名、比分、犯规（局比）、球权、全场时间、24秒时间</w:t>
            </w:r>
          </w:p>
          <w:p>
            <w:pPr>
              <w:pStyle w:val="20"/>
              <w:shd w:val="clear" w:color="auto" w:fill="FFFFFF"/>
              <w:spacing w:beforeAutospacing="0" w:afterAutospacing="0"/>
              <w:rPr>
                <w:sz w:val="21"/>
                <w:szCs w:val="21"/>
                <w:shd w:val="clear" w:color="auto" w:fill="FFFFFF"/>
              </w:rPr>
            </w:pPr>
            <w:r>
              <w:rPr>
                <w:rFonts w:hint="eastAsia"/>
                <w:sz w:val="21"/>
                <w:szCs w:val="21"/>
              </w:rPr>
              <w:t>配件：显示屏*1、三脚架*1、大功率遥控器*1</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套</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tc>
        <w:tc>
          <w:tcPr>
            <w:tcW w:w="1134" w:type="dxa"/>
            <w:shd w:val="clear" w:color="auto" w:fill="auto"/>
            <w:vAlign w:val="center"/>
          </w:tcPr>
          <w:p>
            <w:pPr>
              <w:widowControl/>
              <w:textAlignment w:val="center"/>
              <w:rPr>
                <w:rFonts w:ascii="宋体" w:hAnsi="宋体"/>
                <w:kern w:val="0"/>
              </w:rPr>
            </w:pPr>
          </w:p>
        </w:tc>
        <w:tc>
          <w:tcPr>
            <w:tcW w:w="1134" w:type="dxa"/>
          </w:tcPr>
          <w:p>
            <w:pPr>
              <w:widowControl/>
              <w:jc w:val="center"/>
              <w:textAlignment w:val="center"/>
              <w:rPr>
                <w:rFonts w:ascii="宋体" w:hAnsi="宋体"/>
                <w:kern w:val="0"/>
              </w:rPr>
            </w:pPr>
          </w:p>
        </w:tc>
        <w:tc>
          <w:tcPr>
            <w:tcW w:w="1134" w:type="dxa"/>
          </w:tcPr>
          <w:p>
            <w:pPr>
              <w:widowControl/>
              <w:jc w:val="center"/>
              <w:textAlignment w:val="center"/>
              <w:rPr>
                <w:rFonts w:ascii="宋体" w:hAns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室内直插式排球柱</w:t>
            </w:r>
          </w:p>
        </w:tc>
        <w:tc>
          <w:tcPr>
            <w:tcW w:w="5970"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1.材质：主管使用直径9厘米厚度为2.5毫米的不锈钢管，内升降管使用直径7.6厘米厚度为2.0的不锈钢圆管，表面抛光打磨，</w:t>
            </w:r>
            <w:r>
              <w:rPr>
                <w:rFonts w:hint="eastAsia"/>
                <w:szCs w:val="21"/>
                <w:shd w:val="clear" w:color="auto" w:fill="FFFFFF"/>
              </w:rPr>
              <w:t>★</w:t>
            </w:r>
            <w:r>
              <w:rPr>
                <w:rFonts w:hint="eastAsia"/>
                <w:sz w:val="21"/>
                <w:szCs w:val="21"/>
                <w:shd w:val="clear" w:color="auto" w:fill="FFFFFF"/>
              </w:rPr>
              <w:t>2.升降模式为内段涡轮蜗杆手摇式升降，升降范围可调2.0-2.45米任何范围可调</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副</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4</w:t>
            </w:r>
          </w:p>
        </w:tc>
        <w:tc>
          <w:tcPr>
            <w:tcW w:w="1367"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可调式排球裁判椅</w:t>
            </w:r>
          </w:p>
        </w:tc>
        <w:tc>
          <w:tcPr>
            <w:tcW w:w="5970" w:type="dxa"/>
            <w:shd w:val="clear" w:color="auto" w:fill="auto"/>
            <w:vAlign w:val="center"/>
          </w:tcPr>
          <w:p>
            <w:pPr>
              <w:pStyle w:val="20"/>
              <w:numPr>
                <w:ilvl w:val="0"/>
                <w:numId w:val="4"/>
              </w:numPr>
              <w:shd w:val="clear" w:color="auto" w:fill="FFFFFF"/>
              <w:spacing w:beforeAutospacing="0" w:afterAutospacing="0"/>
              <w:rPr>
                <w:sz w:val="21"/>
                <w:szCs w:val="21"/>
                <w:shd w:val="clear" w:color="auto" w:fill="FFFFFF"/>
              </w:rPr>
            </w:pPr>
            <w:r>
              <w:rPr>
                <w:rFonts w:hint="eastAsia"/>
                <w:sz w:val="21"/>
                <w:szCs w:val="21"/>
                <w:shd w:val="clear" w:color="auto" w:fill="FFFFFF"/>
              </w:rPr>
              <w:t>材质：优质钢管PU轮子，</w:t>
            </w:r>
          </w:p>
          <w:p>
            <w:pPr>
              <w:pStyle w:val="20"/>
              <w:shd w:val="clear" w:color="auto" w:fill="FFFFFF"/>
              <w:spacing w:beforeAutospacing="0" w:afterAutospacing="0"/>
              <w:rPr>
                <w:sz w:val="21"/>
                <w:szCs w:val="21"/>
                <w:shd w:val="clear" w:color="auto" w:fill="FFFFFF"/>
              </w:rPr>
            </w:pPr>
            <w:r>
              <w:rPr>
                <w:rFonts w:hint="eastAsia"/>
                <w:sz w:val="21"/>
                <w:szCs w:val="21"/>
                <w:shd w:val="clear" w:color="auto" w:fill="FFFFFF"/>
              </w:rPr>
              <w:t>2.颜色：黄色支架、红色椅子，</w:t>
            </w:r>
          </w:p>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3.尺寸：高180cm、长80cm、宽90cm</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张</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1</w:t>
            </w:r>
          </w:p>
        </w:tc>
        <w:tc>
          <w:tcPr>
            <w:tcW w:w="1701" w:type="dxa"/>
            <w:shd w:val="clear" w:color="auto" w:fill="auto"/>
            <w:vAlign w:val="center"/>
          </w:tcPr>
          <w:p>
            <w:pPr>
              <w:jc w:val="left"/>
              <w:rPr>
                <w:rFonts w:ascii="宋体" w:hAnsi="宋体" w:cstheme="minorEastAsia"/>
              </w:rPr>
            </w:pPr>
            <w:r>
              <w:rPr>
                <w:rFonts w:hint="eastAsia" w:ascii="宋体" w:hAnsi="宋体" w:cs="宋体"/>
                <w:kern w:val="0"/>
              </w:rPr>
              <w:t>宏康健、</w:t>
            </w:r>
            <w:r>
              <w:rPr>
                <w:rFonts w:hint="eastAsia" w:ascii="宋体" w:hAnsi="宋体" w:cstheme="minorEastAsia"/>
              </w:rPr>
              <w:t>鑫达</w:t>
            </w:r>
          </w:p>
          <w:p>
            <w:pPr>
              <w:ind w:firstLine="420" w:firstLineChars="200"/>
              <w:rPr>
                <w:rFonts w:ascii="宋体" w:hAnsi="宋体" w:cstheme="minorEastAsia"/>
              </w:rPr>
            </w:pPr>
            <w:r>
              <w:rPr>
                <w:rFonts w:hint="eastAsia" w:ascii="宋体" w:hAnsi="宋体" w:cstheme="minorEastAsia"/>
              </w:rPr>
              <w:t>冀鲁</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5</w:t>
            </w:r>
          </w:p>
        </w:tc>
        <w:tc>
          <w:tcPr>
            <w:tcW w:w="1367" w:type="dxa"/>
            <w:shd w:val="clear" w:color="auto" w:fill="auto"/>
            <w:vAlign w:val="center"/>
          </w:tcPr>
          <w:p>
            <w:pPr>
              <w:widowControl/>
              <w:textAlignment w:val="center"/>
              <w:rPr>
                <w:rFonts w:ascii="宋体" w:hAnsi="宋体" w:cs="宋体"/>
                <w:kern w:val="0"/>
              </w:rPr>
            </w:pPr>
            <w:r>
              <w:rPr>
                <w:rFonts w:hint="eastAsia" w:ascii="宋体" w:hAnsi="宋体" w:cs="宋体"/>
                <w:kern w:val="0"/>
              </w:rPr>
              <w:t>电动充气泵</w:t>
            </w:r>
          </w:p>
        </w:tc>
        <w:tc>
          <w:tcPr>
            <w:tcW w:w="5970" w:type="dxa"/>
            <w:shd w:val="clear" w:color="auto" w:fill="auto"/>
            <w:vAlign w:val="center"/>
          </w:tcPr>
          <w:p>
            <w:pPr>
              <w:pStyle w:val="20"/>
              <w:shd w:val="clear" w:color="auto" w:fill="FFFFFF"/>
              <w:spacing w:beforeAutospacing="0" w:afterAutospacing="0"/>
              <w:rPr>
                <w:sz w:val="21"/>
                <w:szCs w:val="21"/>
                <w:shd w:val="clear" w:color="auto" w:fill="FFFFFF"/>
              </w:rPr>
            </w:pPr>
            <w:r>
              <w:rPr>
                <w:rFonts w:hint="eastAsia"/>
                <w:szCs w:val="21"/>
                <w:shd w:val="clear" w:color="auto" w:fill="FFFFFF"/>
              </w:rPr>
              <w:t>★</w:t>
            </w:r>
            <w:r>
              <w:rPr>
                <w:rFonts w:hint="eastAsia"/>
                <w:sz w:val="21"/>
                <w:szCs w:val="21"/>
                <w:shd w:val="clear" w:color="auto" w:fill="FFFFFF"/>
              </w:rPr>
              <w:t>1.显示方式：机械指示板，</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电压：220V，</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缸数：2，</w:t>
            </w:r>
          </w:p>
          <w:p>
            <w:pPr>
              <w:pStyle w:val="20"/>
              <w:numPr>
                <w:ilvl w:val="0"/>
                <w:numId w:val="5"/>
              </w:numPr>
              <w:shd w:val="clear" w:color="auto" w:fill="FFFFFF"/>
              <w:spacing w:beforeAutospacing="0" w:afterAutospacing="0"/>
              <w:rPr>
                <w:sz w:val="21"/>
                <w:szCs w:val="21"/>
                <w:shd w:val="clear" w:color="auto" w:fill="FFFFFF"/>
              </w:rPr>
            </w:pPr>
            <w:r>
              <w:rPr>
                <w:rFonts w:hint="eastAsia"/>
                <w:sz w:val="21"/>
                <w:szCs w:val="21"/>
                <w:shd w:val="clear" w:color="auto" w:fill="FFFFFF"/>
              </w:rPr>
              <w:t>气体流量：45L/min</w:t>
            </w:r>
          </w:p>
        </w:tc>
        <w:tc>
          <w:tcPr>
            <w:tcW w:w="745"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个</w:t>
            </w: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2</w:t>
            </w:r>
          </w:p>
        </w:tc>
        <w:tc>
          <w:tcPr>
            <w:tcW w:w="1701" w:type="dxa"/>
            <w:shd w:val="clear" w:color="auto" w:fill="auto"/>
            <w:vAlign w:val="center"/>
          </w:tcPr>
          <w:p>
            <w:pPr>
              <w:rPr>
                <w:rFonts w:ascii="宋体" w:hAnsi="宋体" w:cstheme="minorEastAsia"/>
              </w:rPr>
            </w:pPr>
            <w:r>
              <w:rPr>
                <w:rFonts w:hint="eastAsia" w:cs="宋体"/>
                <w:kern w:val="0"/>
              </w:rPr>
              <w:t>得力、小米、卡裴乐</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shd w:val="clear" w:color="auto" w:fill="auto"/>
            <w:vAlign w:val="center"/>
          </w:tcPr>
          <w:p>
            <w:pPr>
              <w:widowControl/>
              <w:jc w:val="center"/>
              <w:textAlignment w:val="center"/>
              <w:rPr>
                <w:rFonts w:hint="eastAsia" w:ascii="宋体" w:hAnsi="宋体" w:cs="宋体"/>
                <w:kern w:val="0"/>
              </w:rPr>
            </w:pPr>
          </w:p>
        </w:tc>
        <w:tc>
          <w:tcPr>
            <w:tcW w:w="1367" w:type="dxa"/>
            <w:shd w:val="clear" w:color="auto" w:fill="auto"/>
            <w:vAlign w:val="center"/>
          </w:tcPr>
          <w:p>
            <w:pPr>
              <w:widowControl/>
              <w:textAlignment w:val="center"/>
              <w:rPr>
                <w:rFonts w:hint="eastAsia" w:ascii="宋体" w:hAnsi="宋体" w:cs="宋体"/>
                <w:kern w:val="0"/>
              </w:rPr>
            </w:pPr>
            <w:r>
              <w:rPr>
                <w:rFonts w:hint="eastAsia" w:ascii="宋体" w:hAnsi="宋体" w:cs="宋体"/>
                <w:kern w:val="0"/>
                <w:highlight w:val="yellow"/>
              </w:rPr>
              <w:t>合计</w:t>
            </w:r>
          </w:p>
        </w:tc>
        <w:tc>
          <w:tcPr>
            <w:tcW w:w="5970" w:type="dxa"/>
            <w:shd w:val="clear" w:color="auto" w:fill="auto"/>
            <w:vAlign w:val="center"/>
          </w:tcPr>
          <w:p>
            <w:pPr>
              <w:pStyle w:val="20"/>
              <w:numPr>
                <w:numId w:val="0"/>
              </w:numPr>
              <w:shd w:val="clear" w:color="auto" w:fill="FFFFFF"/>
              <w:spacing w:beforeAutospacing="0" w:afterAutospacing="0"/>
              <w:rPr>
                <w:rFonts w:hint="eastAsia"/>
                <w:sz w:val="21"/>
                <w:szCs w:val="21"/>
                <w:shd w:val="clear" w:color="auto" w:fill="FFFFFF"/>
              </w:rPr>
            </w:pPr>
          </w:p>
        </w:tc>
        <w:tc>
          <w:tcPr>
            <w:tcW w:w="745" w:type="dxa"/>
            <w:shd w:val="clear" w:color="auto" w:fill="auto"/>
            <w:vAlign w:val="center"/>
          </w:tcPr>
          <w:p>
            <w:pPr>
              <w:widowControl/>
              <w:jc w:val="center"/>
              <w:textAlignment w:val="center"/>
              <w:rPr>
                <w:rFonts w:hint="eastAsia" w:ascii="宋体" w:hAnsi="宋体" w:cs="宋体"/>
                <w:kern w:val="0"/>
              </w:rPr>
            </w:pPr>
          </w:p>
        </w:tc>
        <w:tc>
          <w:tcPr>
            <w:tcW w:w="851" w:type="dxa"/>
            <w:shd w:val="clear" w:color="auto" w:fill="auto"/>
            <w:vAlign w:val="center"/>
          </w:tcPr>
          <w:p>
            <w:pPr>
              <w:widowControl/>
              <w:jc w:val="center"/>
              <w:textAlignment w:val="center"/>
              <w:rPr>
                <w:rFonts w:hint="eastAsia" w:ascii="宋体" w:hAnsi="宋体" w:cs="宋体"/>
                <w:kern w:val="0"/>
              </w:rPr>
            </w:pPr>
          </w:p>
        </w:tc>
        <w:tc>
          <w:tcPr>
            <w:tcW w:w="1701" w:type="dxa"/>
            <w:shd w:val="clear" w:color="auto" w:fill="auto"/>
            <w:vAlign w:val="center"/>
          </w:tcPr>
          <w:p>
            <w:pPr>
              <w:rPr>
                <w:rFonts w:hint="eastAsia" w:cs="宋体"/>
                <w:kern w:val="0"/>
              </w:rPr>
            </w:pP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bl>
    <w:p/>
    <w:p>
      <w:pPr>
        <w:pStyle w:val="2"/>
      </w:pPr>
      <w:r>
        <w:rPr>
          <w:rFonts w:hint="eastAsia" w:ascii="宋体" w:hAnsi="宋体" w:cs="宋体"/>
          <w:b/>
          <w:bCs/>
          <w:kern w:val="0"/>
          <w:sz w:val="28"/>
          <w:szCs w:val="28"/>
        </w:rPr>
        <w:t>2、羽毛球馆</w:t>
      </w:r>
    </w:p>
    <w:tbl>
      <w:tblPr>
        <w:tblStyle w:val="23"/>
        <w:tblpPr w:leftFromText="180" w:rightFromText="180" w:vertAnchor="text" w:horzAnchor="page" w:tblpX="1416" w:tblpY="39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144"/>
        <w:gridCol w:w="676"/>
        <w:gridCol w:w="851"/>
        <w:gridCol w:w="17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139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614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676"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85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701"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shd w:val="clear" w:color="auto" w:fill="auto"/>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1134" w:type="dxa"/>
          </w:tcPr>
          <w:p>
            <w:pPr>
              <w:widowControl/>
              <w:jc w:val="center"/>
              <w:textAlignment w:val="center"/>
              <w:rPr>
                <w:rFonts w:ascii="宋体" w:hAnsi="宋体" w:cs="宋体"/>
                <w:b/>
                <w:bCs/>
                <w:kern w:val="0"/>
              </w:rPr>
            </w:pPr>
            <w:r>
              <w:rPr>
                <w:rFonts w:hint="eastAsia" w:ascii="宋体" w:hAnsi="宋体" w:cs="宋体"/>
                <w:b/>
                <w:bCs/>
                <w:kern w:val="0"/>
              </w:rPr>
              <w:t>总价（元）</w:t>
            </w:r>
          </w:p>
        </w:tc>
        <w:tc>
          <w:tcPr>
            <w:tcW w:w="1134" w:type="dxa"/>
          </w:tcPr>
          <w:p>
            <w:pPr>
              <w:widowControl/>
              <w:jc w:val="center"/>
              <w:textAlignment w:val="center"/>
              <w:rPr>
                <w:rFonts w:ascii="宋体" w:hAnsi="宋体" w:cs="宋体"/>
                <w:b/>
                <w:bCs/>
                <w:kern w:val="0"/>
              </w:rPr>
            </w:pPr>
            <w:r>
              <w:rPr>
                <w:rFonts w:hint="eastAsia" w:ascii="宋体" w:hAnsi="宋体" w:cs="宋体"/>
                <w:b/>
                <w:bCs/>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1</w:t>
            </w:r>
          </w:p>
        </w:tc>
        <w:tc>
          <w:tcPr>
            <w:tcW w:w="1391" w:type="dxa"/>
            <w:shd w:val="clear" w:color="auto" w:fill="auto"/>
            <w:vAlign w:val="center"/>
          </w:tcPr>
          <w:p>
            <w:pPr>
              <w:widowControl/>
              <w:jc w:val="center"/>
              <w:textAlignment w:val="center"/>
              <w:rPr>
                <w:rFonts w:ascii="宋体" w:hAnsi="宋体" w:cs="宋体"/>
              </w:rPr>
            </w:pPr>
            <w:r>
              <w:rPr>
                <w:rFonts w:hint="eastAsia" w:ascii="宋体" w:hAnsi="宋体" w:cs="宋体"/>
                <w:kern w:val="0"/>
              </w:rPr>
              <w:t>地胶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★1.PVC运动地板：总厚度5.0mm±0.1mm</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2.冲击吸收:≥25%</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3.拉伸强度：≥7.0MPa</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4.甲醛释放量：≤0.1 mg/m².h、苯：≤0.1mg/m².h</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5. 高温时长不低于2000h后回弹值﹥10%（为保证招、投、供产品一致，报告需注明产品品牌、厚度，否则按无效处理）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6.表面涂层厚度最低值：﹥30μm（微米）（为保证招、投、供产品一致，报告需注明产品品牌、厚度，否则按无效处理）</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7.运动地板背板防移动测试，静摩擦系数：≥0.298</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8、 依据HG/T3079-1999标准,高、低温老化时长不低于2000h后外观、尺寸变化率：长、宽≤ 0.8%，试验后外观正常。（为保证招、投、供产品一致，报告需注明产品品牌、厚度）</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9.低温老化时长不低于2000h后,断裂伸长率依据GB36246-2018标准:≥50%</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10. 臭氧老化不低于6500h后且报告须附带CMA和CNAS标识，邵氏硬度依据GB/T531.1-2008检测标准70-90 Shore A（交货验收时须附带可现场验证的官方查询截图）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11. 为保证产品的耐盐腐蚀性（如雨水，汗水等），中性盐雾试验不低于6500h后且报告须附带CMA标识，拉伸强度依据GB/T1040.2-2006标准≥7.0MPa；断裂伸长率≥60%(交货验收时须附带可现场验证的官方查询截图)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12.有害物质短链氯化石蜡、中链氯化石蜡、长链氯化石蜡：未检出，报告须附带CNAS标识（交货验收时须附带可现场验证的官方查询截图）</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13. 运动地板画线辅料（油墨）依据HJ371-2018标准且报告须附带CMA标识，苯、甲苯，重金属铅镉：未检出</w:t>
            </w:r>
          </w:p>
        </w:tc>
        <w:tc>
          <w:tcPr>
            <w:tcW w:w="676" w:type="dxa"/>
            <w:shd w:val="clear" w:color="auto" w:fill="auto"/>
            <w:vAlign w:val="center"/>
          </w:tcPr>
          <w:p>
            <w:pPr>
              <w:widowControl/>
              <w:jc w:val="center"/>
              <w:textAlignment w:val="center"/>
              <w:rPr>
                <w:rFonts w:ascii="宋体" w:hAnsi="宋体" w:cs="宋体"/>
                <w:position w:val="6"/>
              </w:rPr>
            </w:pPr>
            <w:r>
              <w:rPr>
                <w:rFonts w:hint="eastAsia" w:ascii="宋体" w:hAnsi="宋体" w:cs="宋体"/>
                <w:position w:val="6"/>
              </w:rPr>
              <w:t>块</w:t>
            </w:r>
          </w:p>
        </w:tc>
        <w:tc>
          <w:tcPr>
            <w:tcW w:w="851" w:type="dxa"/>
            <w:shd w:val="clear" w:color="auto" w:fill="auto"/>
            <w:vAlign w:val="center"/>
          </w:tcPr>
          <w:p>
            <w:pPr>
              <w:jc w:val="center"/>
              <w:rPr>
                <w:rFonts w:cs="宋体"/>
                <w:kern w:val="0"/>
              </w:rPr>
            </w:pPr>
            <w:r>
              <w:rPr>
                <w:rFonts w:hint="eastAsia" w:cs="宋体"/>
                <w:kern w:val="0"/>
              </w:rPr>
              <w:t>3（每片108平米、</w:t>
            </w:r>
          </w:p>
          <w:p>
            <w:pPr>
              <w:jc w:val="center"/>
              <w:rPr>
                <w:rFonts w:ascii="宋体" w:hAnsi="宋体" w:cs="宋体"/>
                <w:position w:val="6"/>
              </w:rPr>
            </w:pPr>
            <w:r>
              <w:rPr>
                <w:rFonts w:hint="eastAsia" w:cs="宋体"/>
                <w:kern w:val="0"/>
              </w:rPr>
              <w:t>三片共324平米）</w:t>
            </w:r>
          </w:p>
        </w:tc>
        <w:tc>
          <w:tcPr>
            <w:tcW w:w="1701" w:type="dxa"/>
            <w:shd w:val="clear" w:color="auto" w:fill="auto"/>
            <w:vAlign w:val="center"/>
          </w:tcPr>
          <w:p>
            <w:r>
              <w:rPr>
                <w:rFonts w:hint="eastAsia" w:cs="宋体"/>
                <w:kern w:val="0"/>
              </w:rPr>
              <w:t>金陵、李宁、威克多</w:t>
            </w:r>
          </w:p>
        </w:tc>
        <w:tc>
          <w:tcPr>
            <w:tcW w:w="1134" w:type="dxa"/>
            <w:shd w:val="clear" w:color="auto" w:fill="auto"/>
            <w:vAlign w:val="center"/>
          </w:tcPr>
          <w:p>
            <w:pPr>
              <w:widowControl/>
              <w:jc w:val="center"/>
              <w:textAlignment w:val="center"/>
              <w:rPr>
                <w:rFonts w:ascii="宋体" w:hAnsi="宋体" w:cs="宋体"/>
              </w:rPr>
            </w:pPr>
          </w:p>
        </w:tc>
        <w:tc>
          <w:tcPr>
            <w:tcW w:w="1134" w:type="dxa"/>
          </w:tcPr>
          <w:p>
            <w:pPr>
              <w:widowControl/>
              <w:jc w:val="center"/>
              <w:textAlignment w:val="center"/>
              <w:rPr>
                <w:rFonts w:cs="宋体"/>
              </w:rPr>
            </w:pPr>
          </w:p>
        </w:tc>
        <w:tc>
          <w:tcPr>
            <w:tcW w:w="1134" w:type="dxa"/>
          </w:tcPr>
          <w:p>
            <w:pPr>
              <w:widowControl/>
              <w:jc w:val="center"/>
              <w:textAlignment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rPr>
            </w:pPr>
            <w:r>
              <w:rPr>
                <w:rFonts w:hint="eastAsia" w:ascii="宋体" w:hAnsi="宋体" w:cs="宋体"/>
                <w:kern w:val="0"/>
              </w:rPr>
              <w:t>2</w:t>
            </w:r>
          </w:p>
        </w:tc>
        <w:tc>
          <w:tcPr>
            <w:tcW w:w="139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羽毛球架</w:t>
            </w:r>
          </w:p>
        </w:tc>
        <w:tc>
          <w:tcPr>
            <w:tcW w:w="6144" w:type="dxa"/>
            <w:shd w:val="clear" w:color="auto" w:fill="auto"/>
            <w:vAlign w:val="center"/>
          </w:tcPr>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★羽毛球柱 由底座、底座外壳、立柱、锁紧装置组成，立柱选用Φ40×4.0㎜无缝钢管制作，立柱配有网钩，置网方便，羽毛球底座配有420x230x200mm配重箱体，每副箱体内部可放置140公斤沙、石等配重物(客户可自行放置配重）；箱体外面配有塑料外壳，尺寸（长x宽x高）：770x580x260（mm）造型独特、美观、大方；无任何尖角、棱角表面圆润，光滑。</w:t>
            </w:r>
          </w:p>
          <w:p>
            <w:pPr>
              <w:widowControl/>
              <w:shd w:val="clear" w:color="auto" w:fill="FFFFFF"/>
              <w:jc w:val="left"/>
              <w:rPr>
                <w:rFonts w:ascii="宋体" w:hAnsi="宋体" w:cs="宋体"/>
                <w:kern w:val="0"/>
                <w:shd w:val="clear" w:color="auto" w:fill="FFFFFF"/>
              </w:rPr>
            </w:pPr>
            <w:r>
              <w:rPr>
                <w:rFonts w:hint="eastAsia" w:ascii="宋体" w:hAnsi="宋体" w:cs="宋体"/>
                <w:kern w:val="0"/>
                <w:shd w:val="clear" w:color="auto" w:fill="FFFFFF"/>
              </w:rPr>
              <w:t>球网尺寸长x宽：760x6100mm；球网材质为涤纶，颜色为酒红色，上沿有7.5cm的白帆布包缝布带，网孔尺寸18mmx18mm，线径不低于1mm。</w:t>
            </w:r>
          </w:p>
          <w:p>
            <w:pPr>
              <w:widowControl/>
              <w:jc w:val="left"/>
              <w:rPr>
                <w:rFonts w:ascii="宋体" w:hAnsi="宋体" w:cs="宋体"/>
                <w:kern w:val="0"/>
              </w:rPr>
            </w:pPr>
            <w:r>
              <w:rPr>
                <w:rFonts w:hint="eastAsia" w:ascii="宋体" w:hAnsi="宋体" w:cs="宋体"/>
                <w:kern w:val="0"/>
                <w:shd w:val="clear" w:color="auto" w:fill="FFFFFF"/>
              </w:rPr>
              <w:t>含符合羽联标准球网，不含配重</w:t>
            </w:r>
            <w:r>
              <w:rPr>
                <w:rFonts w:hint="eastAsia" w:ascii="宋体" w:hAnsi="宋体"/>
              </w:rPr>
              <w:t>。</w:t>
            </w:r>
          </w:p>
        </w:tc>
        <w:tc>
          <w:tcPr>
            <w:tcW w:w="676" w:type="dxa"/>
            <w:shd w:val="clear" w:color="auto" w:fill="auto"/>
            <w:vAlign w:val="center"/>
          </w:tcPr>
          <w:p>
            <w:pPr>
              <w:widowControl/>
              <w:jc w:val="center"/>
              <w:textAlignment w:val="center"/>
              <w:rPr>
                <w:rFonts w:ascii="宋体" w:hAnsi="宋体" w:cs="宋体"/>
                <w:position w:val="6"/>
              </w:rPr>
            </w:pPr>
          </w:p>
        </w:tc>
        <w:tc>
          <w:tcPr>
            <w:tcW w:w="851" w:type="dxa"/>
            <w:shd w:val="clear" w:color="auto" w:fill="auto"/>
            <w:vAlign w:val="center"/>
          </w:tcPr>
          <w:p>
            <w:pPr>
              <w:widowControl/>
              <w:jc w:val="center"/>
              <w:textAlignment w:val="center"/>
              <w:rPr>
                <w:rFonts w:ascii="宋体" w:hAnsi="宋体" w:cs="宋体"/>
                <w:kern w:val="0"/>
              </w:rPr>
            </w:pPr>
            <w:r>
              <w:rPr>
                <w:rFonts w:hint="eastAsia" w:ascii="宋体" w:hAnsi="宋体" w:cs="宋体"/>
                <w:kern w:val="0"/>
              </w:rPr>
              <w:t>3</w:t>
            </w:r>
          </w:p>
        </w:tc>
        <w:tc>
          <w:tcPr>
            <w:tcW w:w="1701" w:type="dxa"/>
            <w:shd w:val="clear" w:color="auto" w:fill="auto"/>
            <w:vAlign w:val="center"/>
          </w:tcPr>
          <w:p>
            <w:r>
              <w:rPr>
                <w:rFonts w:hint="eastAsia" w:cs="宋体"/>
                <w:kern w:val="0"/>
              </w:rPr>
              <w:t>金陵、李宁、威克多</w:t>
            </w:r>
          </w:p>
        </w:tc>
        <w:tc>
          <w:tcPr>
            <w:tcW w:w="1134" w:type="dxa"/>
            <w:shd w:val="clear" w:color="auto" w:fill="auto"/>
            <w:vAlign w:val="center"/>
          </w:tcPr>
          <w:p>
            <w:pPr>
              <w:widowControl/>
              <w:jc w:val="center"/>
              <w:textAlignment w:val="center"/>
              <w:rPr>
                <w:rFonts w:ascii="宋体" w:hAnsi="宋体" w:cs="宋体"/>
                <w:kern w:val="0"/>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4" w:type="dxa"/>
            <w:shd w:val="clear" w:color="auto" w:fill="auto"/>
            <w:vAlign w:val="center"/>
          </w:tcPr>
          <w:p>
            <w:pPr>
              <w:widowControl/>
              <w:jc w:val="center"/>
              <w:textAlignment w:val="center"/>
              <w:rPr>
                <w:rFonts w:ascii="宋体" w:hAnsi="宋体" w:cs="宋体"/>
                <w:kern w:val="0"/>
              </w:rPr>
            </w:pPr>
          </w:p>
        </w:tc>
        <w:tc>
          <w:tcPr>
            <w:tcW w:w="1391" w:type="dxa"/>
            <w:shd w:val="clear" w:color="auto" w:fill="auto"/>
            <w:vAlign w:val="center"/>
          </w:tcPr>
          <w:p>
            <w:pPr>
              <w:widowControl/>
              <w:jc w:val="center"/>
              <w:textAlignment w:val="center"/>
              <w:rPr>
                <w:rFonts w:ascii="宋体" w:hAnsi="宋体" w:cs="宋体"/>
                <w:kern w:val="0"/>
                <w:highlight w:val="yellow"/>
              </w:rPr>
            </w:pPr>
            <w:r>
              <w:rPr>
                <w:rFonts w:hint="eastAsia" w:ascii="宋体" w:hAnsi="宋体" w:cs="宋体"/>
                <w:kern w:val="0"/>
                <w:highlight w:val="yellow"/>
              </w:rPr>
              <w:t>合计</w:t>
            </w:r>
          </w:p>
        </w:tc>
        <w:tc>
          <w:tcPr>
            <w:tcW w:w="6144" w:type="dxa"/>
            <w:shd w:val="clear" w:color="auto" w:fill="auto"/>
            <w:vAlign w:val="center"/>
          </w:tcPr>
          <w:p>
            <w:pPr>
              <w:widowControl/>
              <w:shd w:val="clear" w:color="auto" w:fill="FFFFFF"/>
              <w:jc w:val="left"/>
              <w:rPr>
                <w:rFonts w:ascii="宋体" w:hAnsi="宋体" w:cs="宋体"/>
                <w:kern w:val="0"/>
                <w:highlight w:val="yellow"/>
                <w:shd w:val="clear" w:color="auto" w:fill="FFFFFF"/>
              </w:rPr>
            </w:pPr>
          </w:p>
        </w:tc>
        <w:tc>
          <w:tcPr>
            <w:tcW w:w="676" w:type="dxa"/>
            <w:shd w:val="clear" w:color="auto" w:fill="auto"/>
            <w:vAlign w:val="center"/>
          </w:tcPr>
          <w:p>
            <w:pPr>
              <w:widowControl/>
              <w:jc w:val="center"/>
              <w:textAlignment w:val="center"/>
              <w:rPr>
                <w:rFonts w:ascii="宋体" w:hAnsi="宋体" w:cs="宋体"/>
                <w:position w:val="6"/>
                <w:highlight w:val="yellow"/>
              </w:rPr>
            </w:pPr>
          </w:p>
        </w:tc>
        <w:tc>
          <w:tcPr>
            <w:tcW w:w="851" w:type="dxa"/>
            <w:shd w:val="clear" w:color="auto" w:fill="auto"/>
            <w:vAlign w:val="center"/>
          </w:tcPr>
          <w:p>
            <w:pPr>
              <w:widowControl/>
              <w:jc w:val="center"/>
              <w:textAlignment w:val="center"/>
              <w:rPr>
                <w:rFonts w:ascii="宋体" w:hAnsi="宋体" w:cs="宋体"/>
                <w:kern w:val="0"/>
                <w:highlight w:val="yellow"/>
              </w:rPr>
            </w:pPr>
          </w:p>
        </w:tc>
        <w:tc>
          <w:tcPr>
            <w:tcW w:w="1701" w:type="dxa"/>
            <w:shd w:val="clear" w:color="auto" w:fill="auto"/>
            <w:vAlign w:val="center"/>
          </w:tcPr>
          <w:p>
            <w:pPr>
              <w:rPr>
                <w:rFonts w:ascii="宋体" w:hAnsi="宋体" w:cs="宋体"/>
                <w:kern w:val="0"/>
                <w:highlight w:val="yellow"/>
              </w:rPr>
            </w:pPr>
          </w:p>
        </w:tc>
        <w:tc>
          <w:tcPr>
            <w:tcW w:w="1134" w:type="dxa"/>
            <w:shd w:val="clear" w:color="auto" w:fill="auto"/>
            <w:vAlign w:val="center"/>
          </w:tcPr>
          <w:p>
            <w:pPr>
              <w:widowControl/>
              <w:jc w:val="center"/>
              <w:textAlignment w:val="center"/>
              <w:rPr>
                <w:rFonts w:cs="宋体"/>
                <w:kern w:val="0"/>
                <w:highlight w:val="yellow"/>
              </w:rPr>
            </w:pPr>
          </w:p>
        </w:tc>
        <w:tc>
          <w:tcPr>
            <w:tcW w:w="1134" w:type="dxa"/>
          </w:tcPr>
          <w:p>
            <w:pPr>
              <w:widowControl/>
              <w:jc w:val="center"/>
              <w:textAlignment w:val="center"/>
              <w:rPr>
                <w:rFonts w:cs="宋体"/>
                <w:kern w:val="0"/>
              </w:rPr>
            </w:pPr>
          </w:p>
        </w:tc>
        <w:tc>
          <w:tcPr>
            <w:tcW w:w="1134" w:type="dxa"/>
          </w:tcPr>
          <w:p>
            <w:pPr>
              <w:widowControl/>
              <w:jc w:val="center"/>
              <w:textAlignment w:val="center"/>
              <w:rPr>
                <w:rFonts w:cs="宋体"/>
                <w:kern w:val="0"/>
              </w:rPr>
            </w:pPr>
          </w:p>
        </w:tc>
      </w:tr>
    </w:tbl>
    <w:p>
      <w:pPr>
        <w:pStyle w:val="21"/>
        <w:ind w:firstLine="600"/>
      </w:pPr>
    </w:p>
    <w:p>
      <w:r>
        <w:rPr>
          <w:rFonts w:hint="eastAsia" w:cs="宋体"/>
          <w:b/>
          <w:bCs/>
          <w:kern w:val="0"/>
          <w:sz w:val="32"/>
          <w:szCs w:val="32"/>
        </w:rPr>
        <w:t>3、兵乓球馆</w:t>
      </w:r>
    </w:p>
    <w:tbl>
      <w:tblPr>
        <w:tblStyle w:val="23"/>
        <w:tblW w:w="15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341"/>
        <w:gridCol w:w="811"/>
        <w:gridCol w:w="800"/>
        <w:gridCol w:w="1778"/>
        <w:gridCol w:w="1122"/>
        <w:gridCol w:w="112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center"/>
              <w:textAlignment w:val="center"/>
              <w:rPr>
                <w:rFonts w:cs="宋体"/>
                <w:b/>
                <w:bCs/>
              </w:rPr>
            </w:pPr>
            <w:r>
              <w:rPr>
                <w:rFonts w:hint="eastAsia" w:cs="宋体"/>
                <w:b/>
                <w:bCs/>
                <w:kern w:val="0"/>
              </w:rPr>
              <w:t>序号</w:t>
            </w:r>
          </w:p>
        </w:tc>
        <w:tc>
          <w:tcPr>
            <w:tcW w:w="1391" w:type="dxa"/>
            <w:vAlign w:val="center"/>
          </w:tcPr>
          <w:p>
            <w:pPr>
              <w:widowControl/>
              <w:jc w:val="center"/>
              <w:textAlignment w:val="center"/>
              <w:rPr>
                <w:rFonts w:cs="宋体"/>
                <w:b/>
                <w:bCs/>
              </w:rPr>
            </w:pPr>
            <w:r>
              <w:rPr>
                <w:rFonts w:hint="eastAsia" w:cs="宋体"/>
                <w:b/>
                <w:bCs/>
                <w:kern w:val="0"/>
              </w:rPr>
              <w:t>货物名称</w:t>
            </w:r>
          </w:p>
        </w:tc>
        <w:tc>
          <w:tcPr>
            <w:tcW w:w="6341" w:type="dxa"/>
            <w:vAlign w:val="center"/>
          </w:tcPr>
          <w:p>
            <w:pPr>
              <w:widowControl/>
              <w:jc w:val="center"/>
              <w:textAlignment w:val="center"/>
              <w:rPr>
                <w:rFonts w:cs="宋体"/>
                <w:b/>
                <w:bCs/>
              </w:rPr>
            </w:pPr>
            <w:r>
              <w:rPr>
                <w:rFonts w:hint="eastAsia" w:cs="宋体"/>
                <w:b/>
                <w:bCs/>
                <w:kern w:val="0"/>
              </w:rPr>
              <w:t>技术参数</w:t>
            </w:r>
          </w:p>
        </w:tc>
        <w:tc>
          <w:tcPr>
            <w:tcW w:w="811" w:type="dxa"/>
            <w:vAlign w:val="center"/>
          </w:tcPr>
          <w:p>
            <w:pPr>
              <w:widowControl/>
              <w:jc w:val="center"/>
              <w:textAlignment w:val="center"/>
              <w:rPr>
                <w:rFonts w:cs="宋体"/>
                <w:b/>
                <w:bCs/>
              </w:rPr>
            </w:pPr>
            <w:r>
              <w:rPr>
                <w:rFonts w:hint="eastAsia" w:cs="宋体"/>
                <w:b/>
                <w:bCs/>
                <w:kern w:val="0"/>
              </w:rPr>
              <w:t>单位</w:t>
            </w:r>
          </w:p>
        </w:tc>
        <w:tc>
          <w:tcPr>
            <w:tcW w:w="800" w:type="dxa"/>
            <w:vAlign w:val="center"/>
          </w:tcPr>
          <w:p>
            <w:pPr>
              <w:widowControl/>
              <w:jc w:val="center"/>
              <w:textAlignment w:val="center"/>
              <w:rPr>
                <w:rFonts w:cs="宋体"/>
                <w:b/>
                <w:bCs/>
              </w:rPr>
            </w:pPr>
            <w:r>
              <w:rPr>
                <w:rFonts w:hint="eastAsia" w:cs="宋体"/>
                <w:b/>
                <w:bCs/>
                <w:kern w:val="0"/>
              </w:rPr>
              <w:t>数量</w:t>
            </w:r>
          </w:p>
        </w:tc>
        <w:tc>
          <w:tcPr>
            <w:tcW w:w="1778" w:type="dxa"/>
            <w:vAlign w:val="center"/>
          </w:tcPr>
          <w:p>
            <w:pPr>
              <w:widowControl/>
              <w:jc w:val="center"/>
              <w:textAlignment w:val="center"/>
              <w:rPr>
                <w:rFonts w:cs="宋体"/>
                <w:b/>
                <w:bCs/>
              </w:rPr>
            </w:pPr>
            <w:r>
              <w:rPr>
                <w:rFonts w:hint="eastAsia" w:cs="宋体"/>
                <w:b/>
                <w:bCs/>
                <w:kern w:val="0"/>
              </w:rPr>
              <w:t>参考品牌</w:t>
            </w:r>
          </w:p>
        </w:tc>
        <w:tc>
          <w:tcPr>
            <w:tcW w:w="1122" w:type="dxa"/>
            <w:vAlign w:val="center"/>
          </w:tcPr>
          <w:p>
            <w:pPr>
              <w:widowControl/>
              <w:jc w:val="center"/>
              <w:textAlignment w:val="center"/>
              <w:rPr>
                <w:rFonts w:cs="宋体"/>
                <w:b/>
                <w:bCs/>
                <w:kern w:val="0"/>
              </w:rPr>
            </w:pPr>
            <w:r>
              <w:rPr>
                <w:rFonts w:hint="eastAsia" w:ascii="宋体" w:hAnsi="宋体" w:cs="宋体"/>
                <w:b/>
                <w:bCs/>
                <w:kern w:val="0"/>
              </w:rPr>
              <w:t>单价（元）</w:t>
            </w:r>
          </w:p>
        </w:tc>
        <w:tc>
          <w:tcPr>
            <w:tcW w:w="1122" w:type="dxa"/>
          </w:tcPr>
          <w:p>
            <w:pPr>
              <w:widowControl/>
              <w:jc w:val="center"/>
              <w:textAlignment w:val="center"/>
              <w:rPr>
                <w:rFonts w:cs="宋体"/>
                <w:b/>
                <w:bCs/>
              </w:rPr>
            </w:pPr>
            <w:r>
              <w:rPr>
                <w:rFonts w:hint="eastAsia" w:ascii="宋体" w:hAnsi="宋体" w:cs="宋体"/>
                <w:b/>
                <w:bCs/>
                <w:kern w:val="0"/>
              </w:rPr>
              <w:t>总价（元）</w:t>
            </w:r>
          </w:p>
        </w:tc>
        <w:tc>
          <w:tcPr>
            <w:tcW w:w="1122" w:type="dxa"/>
          </w:tcPr>
          <w:p>
            <w:pPr>
              <w:widowControl/>
              <w:jc w:val="center"/>
              <w:textAlignment w:val="center"/>
              <w:rPr>
                <w:rFonts w:ascii="宋体" w:hAnsi="宋体" w:cs="宋体"/>
                <w:b/>
                <w:bCs/>
                <w:kern w:val="0"/>
              </w:rPr>
            </w:pPr>
            <w:r>
              <w:rPr>
                <w:rFonts w:hint="eastAsia" w:ascii="宋体" w:hAnsi="宋体" w:cs="宋体"/>
                <w:b/>
                <w:bCs/>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1</w:t>
            </w:r>
          </w:p>
        </w:tc>
        <w:tc>
          <w:tcPr>
            <w:tcW w:w="1391" w:type="dxa"/>
            <w:vAlign w:val="center"/>
          </w:tcPr>
          <w:p>
            <w:pPr>
              <w:widowControl/>
              <w:jc w:val="center"/>
              <w:textAlignment w:val="center"/>
              <w:rPr>
                <w:rFonts w:cs="宋体"/>
              </w:rPr>
            </w:pPr>
            <w:r>
              <w:rPr>
                <w:rFonts w:hint="eastAsia" w:cs="宋体"/>
                <w:kern w:val="0"/>
              </w:rPr>
              <w:t>乒乓球台</w:t>
            </w:r>
          </w:p>
        </w:tc>
        <w:tc>
          <w:tcPr>
            <w:tcW w:w="6341" w:type="dxa"/>
            <w:vAlign w:val="center"/>
          </w:tcPr>
          <w:p>
            <w:pPr>
              <w:widowControl/>
              <w:jc w:val="left"/>
              <w:rPr>
                <w:rFonts w:cs="宋体"/>
                <w:kern w:val="0"/>
              </w:rPr>
            </w:pPr>
            <w:r>
              <w:rPr>
                <w:rFonts w:hint="eastAsia" w:ascii="宋体" w:hAnsi="宋体" w:cs="宋体"/>
                <w:kern w:val="0"/>
                <w:shd w:val="clear" w:color="auto" w:fill="FFFFFF"/>
              </w:rPr>
              <w:t>★</w:t>
            </w:r>
            <w:r>
              <w:rPr>
                <w:rFonts w:hint="eastAsia" w:cs="宋体"/>
                <w:kern w:val="0"/>
              </w:rPr>
              <w:t>1.材质：高密度纤维板</w:t>
            </w:r>
          </w:p>
          <w:p>
            <w:pPr>
              <w:widowControl/>
              <w:jc w:val="left"/>
              <w:rPr>
                <w:rFonts w:cs="宋体"/>
                <w:kern w:val="0"/>
              </w:rPr>
            </w:pPr>
            <w:r>
              <w:rPr>
                <w:rFonts w:hint="eastAsia" w:cs="宋体"/>
                <w:kern w:val="0"/>
              </w:rPr>
              <w:t>2.规格：标准室内球台</w:t>
            </w:r>
          </w:p>
          <w:p>
            <w:pPr>
              <w:widowControl/>
              <w:jc w:val="left"/>
              <w:rPr>
                <w:rFonts w:cs="宋体"/>
                <w:kern w:val="0"/>
              </w:rPr>
            </w:pPr>
            <w:r>
              <w:rPr>
                <w:rFonts w:hint="eastAsia" w:cs="宋体"/>
                <w:kern w:val="0"/>
              </w:rPr>
              <w:t>3.颜色：蓝色</w:t>
            </w:r>
          </w:p>
          <w:p>
            <w:pPr>
              <w:widowControl/>
              <w:jc w:val="left"/>
              <w:rPr>
                <w:rFonts w:cs="宋体"/>
                <w:kern w:val="0"/>
              </w:rPr>
            </w:pPr>
            <w:r>
              <w:rPr>
                <w:rFonts w:hint="eastAsia" w:cs="宋体"/>
                <w:kern w:val="0"/>
              </w:rPr>
              <w:t>4.台面尺寸：2740*1525*760（mm）</w:t>
            </w:r>
          </w:p>
          <w:p>
            <w:pPr>
              <w:widowControl/>
              <w:jc w:val="left"/>
              <w:rPr>
                <w:rFonts w:cs="宋体"/>
                <w:kern w:val="0"/>
              </w:rPr>
            </w:pPr>
            <w:r>
              <w:rPr>
                <w:rFonts w:hint="eastAsia" w:cs="宋体"/>
                <w:kern w:val="0"/>
              </w:rPr>
              <w:t>5.台高：760（mm）</w:t>
            </w:r>
          </w:p>
          <w:p>
            <w:pPr>
              <w:widowControl/>
              <w:jc w:val="left"/>
              <w:rPr>
                <w:rFonts w:cs="宋体"/>
                <w:kern w:val="0"/>
              </w:rPr>
            </w:pPr>
            <w:r>
              <w:rPr>
                <w:rFonts w:hint="eastAsia" w:cs="宋体"/>
                <w:kern w:val="0"/>
              </w:rPr>
              <w:t>6.重量：115（kg）</w:t>
            </w:r>
          </w:p>
          <w:p>
            <w:pPr>
              <w:widowControl/>
              <w:jc w:val="left"/>
              <w:rPr>
                <w:rFonts w:cs="宋体"/>
                <w:kern w:val="0"/>
              </w:rPr>
            </w:pPr>
            <w:r>
              <w:rPr>
                <w:rFonts w:hint="eastAsia" w:cs="宋体"/>
                <w:kern w:val="0"/>
              </w:rPr>
              <w:t xml:space="preserve">7.弹性均匀度≤10mm       </w:t>
            </w:r>
          </w:p>
          <w:p>
            <w:pPr>
              <w:widowControl/>
              <w:jc w:val="left"/>
              <w:rPr>
                <w:rFonts w:cs="宋体"/>
              </w:rPr>
            </w:pPr>
            <w:r>
              <w:rPr>
                <w:rFonts w:hint="eastAsia" w:cs="宋体"/>
                <w:kern w:val="0"/>
              </w:rPr>
              <w:t>8.球台稳定性≤10mm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rPr>
              <w:t>8</w:t>
            </w:r>
          </w:p>
        </w:tc>
        <w:tc>
          <w:tcPr>
            <w:tcW w:w="1778" w:type="dxa"/>
            <w:vAlign w:val="center"/>
          </w:tcPr>
          <w:p>
            <w:pPr>
              <w:widowControl/>
              <w:jc w:val="center"/>
              <w:textAlignment w:val="center"/>
              <w:rPr>
                <w:rFonts w:cs="宋体"/>
                <w:kern w:val="0"/>
              </w:rPr>
            </w:pPr>
            <w:r>
              <w:rPr>
                <w:rFonts w:hint="eastAsia" w:cs="宋体"/>
                <w:kern w:val="0"/>
              </w:rPr>
              <w:t>红双喜、双鱼翔云、健伦大彩虹专业款</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乒乓球发球机</w:t>
            </w:r>
          </w:p>
        </w:tc>
        <w:tc>
          <w:tcPr>
            <w:tcW w:w="6341" w:type="dxa"/>
            <w:vAlign w:val="center"/>
          </w:tcPr>
          <w:p>
            <w:pPr>
              <w:widowControl/>
              <w:jc w:val="left"/>
              <w:rPr>
                <w:rFonts w:cs="宋体"/>
                <w:kern w:val="0"/>
              </w:rPr>
            </w:pPr>
            <w:r>
              <w:rPr>
                <w:rFonts w:hint="eastAsia" w:cs="宋体"/>
                <w:kern w:val="0"/>
              </w:rPr>
              <w:t>1.总重量：26.5KG净重量：≥15.2KG</w:t>
            </w:r>
          </w:p>
          <w:p>
            <w:pPr>
              <w:widowControl/>
              <w:jc w:val="left"/>
              <w:rPr>
                <w:rFonts w:cs="宋体"/>
                <w:kern w:val="0"/>
              </w:rPr>
            </w:pPr>
            <w:r>
              <w:rPr>
                <w:rFonts w:hint="eastAsia" w:cs="宋体"/>
                <w:kern w:val="0"/>
              </w:rPr>
              <w:t>2.包装体积：1160*765*500(mm)</w:t>
            </w:r>
          </w:p>
          <w:p>
            <w:pPr>
              <w:widowControl/>
              <w:jc w:val="left"/>
              <w:rPr>
                <w:rFonts w:cs="宋体"/>
                <w:kern w:val="0"/>
              </w:rPr>
            </w:pPr>
            <w:r>
              <w:rPr>
                <w:rFonts w:hint="eastAsia" w:ascii="宋体" w:hAnsi="宋体" w:cs="宋体"/>
                <w:kern w:val="0"/>
                <w:shd w:val="clear" w:color="auto" w:fill="FFFFFF"/>
              </w:rPr>
              <w:t>★</w:t>
            </w:r>
            <w:r>
              <w:rPr>
                <w:rFonts w:hint="eastAsia" w:cs="宋体"/>
                <w:kern w:val="0"/>
              </w:rPr>
              <w:t>3.出球旋转：九种不同旋转(上旋、下旋、不旋、左侧旋、右侧旋；左侧上旋、左侧下旋、右侧上旋、右侧下旋)</w:t>
            </w:r>
          </w:p>
          <w:p>
            <w:pPr>
              <w:widowControl/>
              <w:jc w:val="left"/>
              <w:rPr>
                <w:rFonts w:cs="宋体"/>
                <w:kern w:val="0"/>
              </w:rPr>
            </w:pPr>
            <w:r>
              <w:rPr>
                <w:rFonts w:hint="eastAsia" w:cs="宋体"/>
                <w:kern w:val="0"/>
              </w:rPr>
              <w:t>4.出球频率：25-95球/分钟</w:t>
            </w:r>
          </w:p>
          <w:p>
            <w:pPr>
              <w:widowControl/>
              <w:jc w:val="left"/>
              <w:rPr>
                <w:rFonts w:cs="宋体"/>
                <w:kern w:val="0"/>
              </w:rPr>
            </w:pPr>
            <w:r>
              <w:rPr>
                <w:rFonts w:hint="eastAsia" w:cs="宋体"/>
                <w:kern w:val="0"/>
              </w:rPr>
              <w:t>5.出球速度：4-50米/秒</w:t>
            </w:r>
          </w:p>
          <w:p>
            <w:pPr>
              <w:widowControl/>
              <w:jc w:val="left"/>
              <w:rPr>
                <w:rFonts w:cs="宋体"/>
                <w:kern w:val="0"/>
              </w:rPr>
            </w:pPr>
            <w:r>
              <w:rPr>
                <w:rFonts w:hint="eastAsia" w:cs="宋体"/>
                <w:kern w:val="0"/>
              </w:rPr>
              <w:t>6.出球角度：可调范围士40度</w:t>
            </w:r>
          </w:p>
          <w:p>
            <w:pPr>
              <w:widowControl/>
              <w:jc w:val="left"/>
              <w:rPr>
                <w:rFonts w:cs="宋体"/>
                <w:kern w:val="0"/>
              </w:rPr>
            </w:pPr>
            <w:r>
              <w:rPr>
                <w:rFonts w:hint="eastAsia" w:cs="宋体"/>
                <w:kern w:val="0"/>
              </w:rPr>
              <w:t>7.出球落点：定点及全台11点</w:t>
            </w:r>
          </w:p>
        </w:tc>
        <w:tc>
          <w:tcPr>
            <w:tcW w:w="811" w:type="dxa"/>
            <w:vAlign w:val="center"/>
          </w:tcPr>
          <w:p>
            <w:pPr>
              <w:widowControl/>
              <w:jc w:val="center"/>
              <w:textAlignment w:val="center"/>
              <w:rPr>
                <w:rFonts w:cs="宋体"/>
              </w:rPr>
            </w:pPr>
            <w:r>
              <w:rPr>
                <w:rFonts w:hint="eastAsia" w:cs="宋体"/>
              </w:rPr>
              <w:t>台</w:t>
            </w:r>
          </w:p>
        </w:tc>
        <w:tc>
          <w:tcPr>
            <w:tcW w:w="800" w:type="dxa"/>
            <w:vAlign w:val="center"/>
          </w:tcPr>
          <w:p>
            <w:pPr>
              <w:widowControl/>
              <w:jc w:val="center"/>
              <w:textAlignment w:val="center"/>
              <w:rPr>
                <w:rFonts w:cs="宋体"/>
              </w:rPr>
            </w:pPr>
            <w:r>
              <w:rPr>
                <w:rFonts w:hint="eastAsia" w:cs="宋体"/>
                <w:kern w:val="0"/>
              </w:rPr>
              <w:t>1</w:t>
            </w:r>
          </w:p>
        </w:tc>
        <w:tc>
          <w:tcPr>
            <w:tcW w:w="1778" w:type="dxa"/>
            <w:vAlign w:val="center"/>
          </w:tcPr>
          <w:p>
            <w:pPr>
              <w:widowControl/>
              <w:jc w:val="center"/>
              <w:textAlignment w:val="center"/>
              <w:rPr>
                <w:rFonts w:cs="宋体"/>
                <w:kern w:val="0"/>
              </w:rPr>
            </w:pPr>
            <w:r>
              <w:rPr>
                <w:rFonts w:hint="eastAsia" w:cs="宋体"/>
                <w:kern w:val="0"/>
              </w:rPr>
              <w:t>红双喜、双鱼超级三代、泰德</w:t>
            </w: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c>
          <w:tcPr>
            <w:tcW w:w="1122" w:type="dxa"/>
            <w:vAlign w:val="center"/>
          </w:tcPr>
          <w:p>
            <w:pPr>
              <w:widowControl/>
              <w:jc w:val="center"/>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cs="宋体"/>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乒乓球裁判椅</w:t>
            </w:r>
          </w:p>
        </w:tc>
        <w:tc>
          <w:tcPr>
            <w:tcW w:w="6341" w:type="dxa"/>
            <w:vAlign w:val="center"/>
          </w:tcPr>
          <w:p>
            <w:pPr>
              <w:widowControl/>
              <w:jc w:val="left"/>
              <w:rPr>
                <w:rFonts w:cs="宋体"/>
                <w:kern w:val="0"/>
              </w:rPr>
            </w:pPr>
            <w:r>
              <w:rPr>
                <w:rFonts w:hint="eastAsia" w:cs="宋体"/>
                <w:kern w:val="0"/>
              </w:rPr>
              <w:t xml:space="preserve">乒乓球裁判桌：展开尺寸高77*宽80*厚37     </w:t>
            </w:r>
          </w:p>
          <w:p>
            <w:pPr>
              <w:widowControl/>
              <w:jc w:val="left"/>
              <w:rPr>
                <w:rFonts w:cs="宋体"/>
                <w:kern w:val="0"/>
              </w:rPr>
            </w:pPr>
            <w:r>
              <w:rPr>
                <w:rFonts w:hint="eastAsia" w:cs="宋体"/>
                <w:kern w:val="0"/>
              </w:rPr>
              <w:t xml:space="preserve">主裁判椅：1.重量20kg 2.台面尺寸：550*550cm  </w:t>
            </w:r>
          </w:p>
          <w:p>
            <w:pPr>
              <w:widowControl/>
              <w:jc w:val="left"/>
              <w:rPr>
                <w:rFonts w:cs="宋体"/>
                <w:kern w:val="0"/>
              </w:rPr>
            </w:pPr>
            <w:r>
              <w:rPr>
                <w:rFonts w:hint="eastAsia" w:cs="宋体"/>
                <w:kern w:val="0"/>
              </w:rPr>
              <w:t>副裁判椅：1.重量20kg 2.台面尺寸：550*550cm</w:t>
            </w:r>
          </w:p>
        </w:tc>
        <w:tc>
          <w:tcPr>
            <w:tcW w:w="811" w:type="dxa"/>
            <w:vAlign w:val="center"/>
          </w:tcPr>
          <w:p>
            <w:pPr>
              <w:widowControl/>
              <w:jc w:val="center"/>
              <w:textAlignment w:val="center"/>
              <w:rPr>
                <w:rFonts w:cs="宋体"/>
              </w:rPr>
            </w:pPr>
            <w:r>
              <w:rPr>
                <w:rFonts w:hint="eastAsia" w:cs="宋体"/>
              </w:rPr>
              <w:t>张</w:t>
            </w:r>
          </w:p>
        </w:tc>
        <w:tc>
          <w:tcPr>
            <w:tcW w:w="800" w:type="dxa"/>
            <w:vAlign w:val="center"/>
          </w:tcPr>
          <w:p>
            <w:pPr>
              <w:widowControl/>
              <w:jc w:val="center"/>
              <w:textAlignment w:val="center"/>
              <w:rPr>
                <w:rFonts w:cs="宋体"/>
              </w:rPr>
            </w:pPr>
            <w:r>
              <w:rPr>
                <w:rFonts w:hint="eastAsia" w:cs="宋体"/>
                <w:kern w:val="0"/>
              </w:rPr>
              <w:t>4</w:t>
            </w:r>
          </w:p>
        </w:tc>
        <w:tc>
          <w:tcPr>
            <w:tcW w:w="1778" w:type="dxa"/>
            <w:vAlign w:val="center"/>
          </w:tcPr>
          <w:p>
            <w:pPr>
              <w:widowControl/>
              <w:jc w:val="center"/>
              <w:textAlignment w:val="center"/>
              <w:rPr>
                <w:rFonts w:cs="宋体"/>
                <w:kern w:val="0"/>
              </w:rPr>
            </w:pPr>
            <w:r>
              <w:rPr>
                <w:rFonts w:hint="eastAsia" w:cs="宋体"/>
                <w:kern w:val="0"/>
              </w:rPr>
              <w:t>红双喜、双鱼、挺拔</w:t>
            </w: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44" w:type="dxa"/>
            <w:vAlign w:val="center"/>
          </w:tcPr>
          <w:p>
            <w:pPr>
              <w:widowControl/>
              <w:jc w:val="right"/>
              <w:textAlignment w:val="center"/>
              <w:rPr>
                <w:rFonts w:hint="eastAsia" w:cs="宋体"/>
                <w:kern w:val="0"/>
              </w:rPr>
            </w:pPr>
          </w:p>
        </w:tc>
        <w:tc>
          <w:tcPr>
            <w:tcW w:w="1391" w:type="dxa"/>
            <w:vAlign w:val="center"/>
          </w:tcPr>
          <w:p>
            <w:pPr>
              <w:widowControl/>
              <w:jc w:val="center"/>
              <w:textAlignment w:val="center"/>
              <w:rPr>
                <w:rFonts w:hint="eastAsia" w:cs="宋体"/>
                <w:kern w:val="0"/>
              </w:rPr>
            </w:pPr>
            <w:r>
              <w:rPr>
                <w:rFonts w:hint="eastAsia" w:ascii="宋体" w:hAnsi="宋体" w:cs="宋体"/>
                <w:kern w:val="0"/>
                <w:highlight w:val="yellow"/>
              </w:rPr>
              <w:t>合计</w:t>
            </w:r>
          </w:p>
        </w:tc>
        <w:tc>
          <w:tcPr>
            <w:tcW w:w="6341" w:type="dxa"/>
            <w:vAlign w:val="center"/>
          </w:tcPr>
          <w:p>
            <w:pPr>
              <w:widowControl/>
              <w:jc w:val="left"/>
              <w:rPr>
                <w:rFonts w:hint="eastAsia" w:cs="宋体"/>
                <w:kern w:val="0"/>
              </w:rPr>
            </w:pPr>
          </w:p>
        </w:tc>
        <w:tc>
          <w:tcPr>
            <w:tcW w:w="811" w:type="dxa"/>
            <w:vAlign w:val="center"/>
          </w:tcPr>
          <w:p>
            <w:pPr>
              <w:widowControl/>
              <w:jc w:val="center"/>
              <w:textAlignment w:val="center"/>
              <w:rPr>
                <w:rFonts w:hint="eastAsia" w:cs="宋体"/>
              </w:rPr>
            </w:pPr>
          </w:p>
        </w:tc>
        <w:tc>
          <w:tcPr>
            <w:tcW w:w="800" w:type="dxa"/>
            <w:vAlign w:val="center"/>
          </w:tcPr>
          <w:p>
            <w:pPr>
              <w:widowControl/>
              <w:jc w:val="center"/>
              <w:textAlignment w:val="center"/>
              <w:rPr>
                <w:rFonts w:hint="eastAsia" w:cs="宋体"/>
                <w:kern w:val="0"/>
              </w:rPr>
            </w:pPr>
          </w:p>
        </w:tc>
        <w:tc>
          <w:tcPr>
            <w:tcW w:w="1778" w:type="dxa"/>
            <w:vAlign w:val="center"/>
          </w:tcPr>
          <w:p>
            <w:pPr>
              <w:widowControl/>
              <w:jc w:val="center"/>
              <w:textAlignment w:val="center"/>
              <w:rPr>
                <w:rFonts w:hint="eastAsia" w:cs="宋体"/>
                <w:kern w:val="0"/>
              </w:rPr>
            </w:pP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c>
          <w:tcPr>
            <w:tcW w:w="1122" w:type="dxa"/>
            <w:vAlign w:val="center"/>
          </w:tcPr>
          <w:p>
            <w:pPr>
              <w:widowControl/>
              <w:textAlignment w:val="center"/>
              <w:rPr>
                <w:rFonts w:cs="宋体"/>
                <w:kern w:val="0"/>
              </w:rPr>
            </w:pPr>
          </w:p>
        </w:tc>
      </w:tr>
    </w:tbl>
    <w:p/>
    <w:p>
      <w:pPr>
        <w:pStyle w:val="21"/>
        <w:ind w:firstLine="643"/>
        <w:rPr>
          <w:rFonts w:ascii="宋体" w:hAnsi="宋体" w:cs="宋体"/>
          <w:b/>
          <w:bCs/>
          <w:position w:val="6"/>
          <w:sz w:val="32"/>
          <w:szCs w:val="32"/>
        </w:rPr>
      </w:pPr>
    </w:p>
    <w:p>
      <w:pPr>
        <w:pStyle w:val="21"/>
        <w:ind w:firstLine="643"/>
      </w:pPr>
      <w:r>
        <w:rPr>
          <w:rFonts w:hint="eastAsia" w:ascii="宋体" w:hAnsi="宋体" w:cs="宋体"/>
          <w:b/>
          <w:bCs/>
          <w:position w:val="6"/>
          <w:sz w:val="32"/>
          <w:szCs w:val="32"/>
        </w:rPr>
        <w:t>4、健身房</w:t>
      </w:r>
    </w:p>
    <w:tbl>
      <w:tblPr>
        <w:tblStyle w:val="2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49"/>
        <w:gridCol w:w="5812"/>
        <w:gridCol w:w="850"/>
        <w:gridCol w:w="992"/>
        <w:gridCol w:w="1560"/>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54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81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85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992"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6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总价（元）</w:t>
            </w:r>
          </w:p>
        </w:tc>
        <w:tc>
          <w:tcPr>
            <w:tcW w:w="1134"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Fonts w:hint="eastAsia" w:ascii="宋体" w:hAnsi="宋体" w:cs="宋体"/>
                <w:color w:val="000000"/>
                <w:kern w:val="0"/>
              </w:rPr>
              <w:t>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跑步机</w:t>
            </w:r>
          </w:p>
        </w:tc>
        <w:tc>
          <w:tcPr>
            <w:tcW w:w="5812" w:type="dxa"/>
            <w:vAlign w:val="center"/>
          </w:tcPr>
          <w:p>
            <w:pPr>
              <w:widowControl/>
              <w:jc w:val="left"/>
              <w:rPr>
                <w:rFonts w:ascii="宋体" w:hAnsi="宋体" w:cs="宋体"/>
                <w:kern w:val="0"/>
              </w:rPr>
            </w:pPr>
            <w:r>
              <w:rPr>
                <w:rFonts w:hint="eastAsia" w:ascii="宋体" w:hAnsi="宋体" w:cs="宋体"/>
                <w:kern w:val="0"/>
              </w:rPr>
              <w:t xml:space="preserve">显示系统：不小于19.8吋电脑触摸屏，显示速度、时间、距离、热量、心率、坡度、音量数据，可以连接WiFi,无线上网浏览功能 ， USB接口支持，带耳机接口，一对高保真音箱，多媒体娱乐影音系统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w:t>
            </w:r>
            <w:r>
              <w:rPr>
                <w:rFonts w:hint="eastAsia" w:ascii="宋体" w:hAnsi="宋体" w:cs="宋体"/>
                <w:kern w:val="0"/>
              </w:rPr>
              <w:t>程序：10个运动程序可选择，速度坡度固定程序，3种模式设置时间、距离、卡路里，</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2</w:t>
            </w:r>
            <w:r>
              <w:rPr>
                <w:rFonts w:ascii="宋体" w:hAnsi="宋体" w:cs="宋体"/>
                <w:kern w:val="0"/>
              </w:rPr>
              <w:t>.</w:t>
            </w:r>
            <w:r>
              <w:rPr>
                <w:rFonts w:hint="eastAsia" w:ascii="宋体" w:hAnsi="宋体" w:cs="宋体"/>
                <w:kern w:val="0"/>
              </w:rPr>
              <w:t>配备免维护免加油跑带，具有低噪音，使用寿命长的优点</w:t>
            </w:r>
          </w:p>
          <w:p>
            <w:pPr>
              <w:widowControl/>
              <w:jc w:val="left"/>
              <w:rPr>
                <w:rFonts w:ascii="宋体" w:hAnsi="宋体" w:cs="宋体"/>
                <w:kern w:val="0"/>
              </w:rPr>
            </w:pPr>
            <w:r>
              <w:rPr>
                <w:rFonts w:hint="eastAsia" w:ascii="宋体" w:hAnsi="宋体" w:cs="宋体"/>
                <w:kern w:val="0"/>
              </w:rPr>
              <w:t xml:space="preserve"> 3</w:t>
            </w:r>
            <w:r>
              <w:rPr>
                <w:rFonts w:ascii="宋体" w:hAnsi="宋体" w:cs="宋体"/>
                <w:kern w:val="0"/>
              </w:rPr>
              <w:t>.</w:t>
            </w:r>
            <w:r>
              <w:rPr>
                <w:rFonts w:hint="eastAsia" w:ascii="宋体" w:hAnsi="宋体" w:cs="宋体"/>
                <w:kern w:val="0"/>
              </w:rPr>
              <w:t>低噪声交流马达、交流调速变频器。</w:t>
            </w:r>
          </w:p>
          <w:p>
            <w:pPr>
              <w:widowControl/>
              <w:jc w:val="left"/>
              <w:rPr>
                <w:rFonts w:ascii="宋体" w:hAnsi="宋体" w:cs="宋体"/>
                <w:kern w:val="0"/>
              </w:rPr>
            </w:pPr>
            <w:r>
              <w:rPr>
                <w:rFonts w:hint="eastAsia" w:ascii="宋体" w:hAnsi="宋体" w:cs="宋体"/>
                <w:kern w:val="0"/>
              </w:rPr>
              <w:t xml:space="preserve"> 4</w:t>
            </w:r>
            <w:r>
              <w:rPr>
                <w:rFonts w:ascii="宋体" w:hAnsi="宋体" w:cs="宋体"/>
                <w:kern w:val="0"/>
              </w:rPr>
              <w:t>.</w:t>
            </w:r>
            <w:r>
              <w:rPr>
                <w:rFonts w:hint="eastAsia" w:ascii="宋体" w:hAnsi="宋体" w:cs="宋体"/>
                <w:kern w:val="0"/>
              </w:rPr>
              <w:t>心率控制：手握式脉搏传感运动心率</w:t>
            </w:r>
          </w:p>
          <w:p>
            <w:pPr>
              <w:widowControl/>
              <w:jc w:val="left"/>
              <w:rPr>
                <w:rFonts w:ascii="宋体" w:hAnsi="宋体" w:cs="宋体"/>
                <w:kern w:val="0"/>
              </w:rPr>
            </w:pPr>
            <w:r>
              <w:rPr>
                <w:rFonts w:hint="eastAsia" w:ascii="宋体" w:hAnsi="宋体" w:cs="宋体"/>
                <w:kern w:val="0"/>
              </w:rPr>
              <w:t xml:space="preserve"> 5</w:t>
            </w:r>
            <w:r>
              <w:rPr>
                <w:rFonts w:ascii="宋体" w:hAnsi="宋体" w:cs="宋体"/>
                <w:kern w:val="0"/>
              </w:rPr>
              <w:t>.</w:t>
            </w:r>
            <w:r>
              <w:rPr>
                <w:rFonts w:hint="eastAsia" w:ascii="宋体" w:hAnsi="宋体" w:cs="宋体"/>
                <w:kern w:val="0"/>
              </w:rPr>
              <w:t>安全急停开关</w:t>
            </w:r>
          </w:p>
          <w:p>
            <w:pPr>
              <w:widowControl/>
              <w:jc w:val="left"/>
              <w:rPr>
                <w:rFonts w:ascii="宋体" w:hAnsi="宋体" w:cs="宋体"/>
                <w:kern w:val="0"/>
              </w:rPr>
            </w:pPr>
            <w:r>
              <w:rPr>
                <w:rFonts w:hint="eastAsia" w:ascii="宋体" w:hAnsi="宋体" w:cs="宋体"/>
                <w:kern w:val="0"/>
              </w:rPr>
              <w:t xml:space="preserve"> 6</w:t>
            </w:r>
            <w:r>
              <w:rPr>
                <w:rFonts w:ascii="宋体" w:hAnsi="宋体" w:cs="宋体"/>
                <w:kern w:val="0"/>
              </w:rPr>
              <w:t>.</w:t>
            </w:r>
            <w:r>
              <w:rPr>
                <w:rFonts w:hint="eastAsia" w:ascii="宋体" w:hAnsi="宋体" w:cs="宋体"/>
                <w:kern w:val="0"/>
              </w:rPr>
              <w:t xml:space="preserve">输入电压：≥220V  50/60Hz </w:t>
            </w:r>
          </w:p>
          <w:p>
            <w:pPr>
              <w:widowControl/>
              <w:jc w:val="left"/>
              <w:rPr>
                <w:rFonts w:ascii="宋体" w:hAnsi="宋体" w:cs="宋体"/>
                <w:kern w:val="0"/>
              </w:rPr>
            </w:pPr>
            <w:r>
              <w:rPr>
                <w:rFonts w:hint="eastAsia" w:ascii="宋体" w:hAnsi="宋体" w:cs="宋体"/>
                <w:kern w:val="0"/>
              </w:rPr>
              <w:t xml:space="preserve"> 7</w:t>
            </w:r>
            <w:r>
              <w:rPr>
                <w:rFonts w:ascii="宋体" w:hAnsi="宋体" w:cs="宋体"/>
                <w:kern w:val="0"/>
              </w:rPr>
              <w:t>.</w:t>
            </w:r>
            <w:r>
              <w:rPr>
                <w:rFonts w:hint="eastAsia" w:ascii="宋体" w:hAnsi="宋体" w:cs="宋体"/>
                <w:kern w:val="0"/>
              </w:rPr>
              <w:t>最大承重：≥180Kg</w:t>
            </w:r>
          </w:p>
          <w:p>
            <w:pPr>
              <w:widowControl/>
              <w:jc w:val="left"/>
              <w:rPr>
                <w:rFonts w:ascii="宋体" w:hAnsi="宋体" w:cs="宋体"/>
                <w:kern w:val="0"/>
              </w:rPr>
            </w:pPr>
            <w:r>
              <w:rPr>
                <w:rFonts w:hint="eastAsia" w:ascii="宋体" w:hAnsi="宋体" w:cs="宋体"/>
                <w:kern w:val="0"/>
              </w:rPr>
              <w:t xml:space="preserve"> 8</w:t>
            </w:r>
            <w:r>
              <w:rPr>
                <w:rFonts w:ascii="宋体" w:hAnsi="宋体" w:cs="宋体"/>
                <w:kern w:val="0"/>
              </w:rPr>
              <w:t>.</w:t>
            </w:r>
            <w:r>
              <w:rPr>
                <w:rFonts w:hint="eastAsia" w:ascii="宋体" w:hAnsi="宋体" w:cs="宋体"/>
                <w:kern w:val="0"/>
              </w:rPr>
              <w:t>功率：≥2.2kw</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9</w:t>
            </w:r>
            <w:r>
              <w:rPr>
                <w:rFonts w:ascii="宋体" w:hAnsi="宋体" w:cs="宋体"/>
                <w:kern w:val="0"/>
              </w:rPr>
              <w:t>.</w:t>
            </w:r>
            <w:r>
              <w:rPr>
                <w:rFonts w:hint="eastAsia" w:ascii="宋体" w:hAnsi="宋体" w:cs="宋体"/>
                <w:kern w:val="0"/>
              </w:rPr>
              <w:t>速度范围：≥1.0-20.0Km/h</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1.</w:t>
            </w:r>
            <w:r>
              <w:rPr>
                <w:rFonts w:hint="eastAsia" w:ascii="宋体" w:hAnsi="宋体" w:cs="宋体"/>
                <w:kern w:val="0"/>
              </w:rPr>
              <w:t>坡度范围：≥0-20°</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2.</w:t>
            </w:r>
            <w:r>
              <w:rPr>
                <w:rFonts w:hint="eastAsia" w:ascii="宋体" w:hAnsi="宋体" w:cs="宋体"/>
                <w:kern w:val="0"/>
              </w:rPr>
              <w:t>跑带面积：≥1575x580mm</w:t>
            </w:r>
          </w:p>
          <w:p>
            <w:pPr>
              <w:widowControl/>
              <w:jc w:val="left"/>
              <w:rPr>
                <w:rFonts w:ascii="宋体" w:hAnsi="宋体" w:cs="宋体"/>
                <w:kern w:val="0"/>
              </w:rPr>
            </w:pPr>
            <w:r>
              <w:rPr>
                <w:rFonts w:hint="eastAsia" w:ascii="宋体" w:hAnsi="宋体" w:cs="宋体"/>
                <w:kern w:val="0"/>
              </w:rPr>
              <w:t xml:space="preserve"> 1</w:t>
            </w:r>
            <w:r>
              <w:rPr>
                <w:rFonts w:ascii="宋体" w:hAnsi="宋体" w:cs="宋体"/>
                <w:kern w:val="0"/>
              </w:rPr>
              <w:t>3.</w:t>
            </w:r>
            <w:r>
              <w:rPr>
                <w:rFonts w:hint="eastAsia" w:ascii="宋体" w:hAnsi="宋体" w:cs="宋体"/>
                <w:kern w:val="0"/>
              </w:rPr>
              <w:t>占地面积：2150x980mm*1620mm</w:t>
            </w:r>
          </w:p>
          <w:p>
            <w:pPr>
              <w:widowControl/>
              <w:jc w:val="left"/>
              <w:rPr>
                <w:rFonts w:ascii="宋体" w:hAnsi="宋体" w:cs="宋体"/>
                <w:kern w:val="0"/>
              </w:rPr>
            </w:pPr>
            <w:r>
              <w:rPr>
                <w:rFonts w:hint="eastAsia" w:ascii="宋体" w:hAnsi="宋体" w:cs="宋体"/>
                <w:kern w:val="0"/>
              </w:rPr>
              <w:t xml:space="preserve"> </w:t>
            </w:r>
            <w:r>
              <w:rPr>
                <w:rFonts w:hint="eastAsia" w:ascii="宋体" w:hAnsi="宋体" w:cs="宋体"/>
                <w:kern w:val="0"/>
                <w:shd w:val="clear" w:color="auto" w:fill="FFFFFF"/>
              </w:rPr>
              <w:t>★</w:t>
            </w:r>
            <w:r>
              <w:rPr>
                <w:rFonts w:hint="eastAsia" w:ascii="宋体" w:hAnsi="宋体" w:cs="宋体"/>
                <w:kern w:val="0"/>
              </w:rPr>
              <w:t>1</w:t>
            </w:r>
            <w:r>
              <w:rPr>
                <w:rFonts w:ascii="宋体" w:hAnsi="宋体" w:cs="宋体"/>
                <w:kern w:val="0"/>
              </w:rPr>
              <w:t>4.</w:t>
            </w:r>
            <w:r>
              <w:rPr>
                <w:rFonts w:hint="eastAsia" w:ascii="宋体" w:hAnsi="宋体" w:cs="宋体"/>
                <w:kern w:val="0"/>
              </w:rPr>
              <w:t>净重：不小于160kg</w:t>
            </w:r>
          </w:p>
          <w:p>
            <w:pPr>
              <w:widowControl/>
              <w:jc w:val="left"/>
              <w:rPr>
                <w:rFonts w:ascii="宋体" w:hAnsi="宋体" w:cs="宋体"/>
                <w:kern w:val="0"/>
              </w:rPr>
            </w:pPr>
            <w:r>
              <w:rPr>
                <w:rFonts w:hint="eastAsia" w:ascii="宋体" w:hAnsi="宋体" w:cs="宋体"/>
                <w:kern w:val="0"/>
              </w:rPr>
              <w:t xml:space="preserve"> </w:t>
            </w:r>
            <w:r>
              <w:rPr>
                <w:rFonts w:ascii="宋体" w:hAnsi="宋体" w:cs="宋体"/>
                <w:kern w:val="0"/>
              </w:rPr>
              <w:t>15.</w:t>
            </w:r>
            <w:r>
              <w:rPr>
                <w:rFonts w:hint="eastAsia" w:ascii="宋体" w:hAnsi="宋体" w:cs="宋体"/>
                <w:kern w:val="0"/>
              </w:rPr>
              <w:t>产品通过NSCC认证，认证书需在NSCC国体认证唯一官方网站http://www.nscc.com.cn上能查询到，并通过国家体育用品质量监督检验中心检验合格</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w:t>
            </w:r>
          </w:p>
        </w:tc>
        <w:tc>
          <w:tcPr>
            <w:tcW w:w="1560" w:type="dxa"/>
            <w:vAlign w:val="center"/>
          </w:tcPr>
          <w:p>
            <w:pPr>
              <w:keepNext/>
              <w:keepLines/>
              <w:shd w:val="clear" w:color="auto" w:fill="FFFFFF"/>
              <w:tabs>
                <w:tab w:val="left" w:pos="576"/>
              </w:tabs>
              <w:snapToGrid w:val="0"/>
              <w:jc w:val="left"/>
              <w:outlineLvl w:val="1"/>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rPr>
                <w:rFonts w:ascii="宋体" w:hAnsi="宋体"/>
              </w:rPr>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Style w:val="59"/>
                <w:rFonts w:hint="default"/>
              </w:rPr>
              <w:t>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坐姿屈（伸）腿训练器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1、主管材为137*40*3.0mm平椭管或50*50*3.0mm以上 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占地面积：1147*1599*1527mm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2（屈腿、伸腿各1套）</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shd w:val="clear" w:color="auto" w:fill="FFFFFF"/>
              <w:jc w:val="left"/>
              <w:rPr>
                <w:rFonts w:ascii="宋体" w:hAnsi="宋体"/>
              </w:rPr>
            </w:pPr>
            <w:r>
              <w:rPr>
                <w:rFonts w:hint="eastAsia" w:ascii="宋体" w:hAnsi="宋体"/>
              </w:rPr>
              <w:t>迈宝赫、</w:t>
            </w:r>
          </w:p>
          <w:p>
            <w:pPr>
              <w:shd w:val="clear" w:color="auto" w:fill="FFFFFF"/>
              <w:jc w:val="left"/>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Fonts w:hint="eastAsia" w:ascii="宋体" w:hAnsi="宋体" w:cs="宋体"/>
                <w:color w:val="000000"/>
                <w:kern w:val="0"/>
              </w:rPr>
              <w:t>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坐式蹬腿训练器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占地面积：1860*1165*1527mm    </w:t>
            </w:r>
            <w:r>
              <w:rPr>
                <w:rFonts w:hint="eastAsia" w:ascii="宋体" w:hAnsi="宋体" w:cs="宋体"/>
                <w:kern w:val="0"/>
                <w:shd w:val="clear" w:color="auto" w:fill="FFFFFF"/>
              </w:rPr>
              <w:t>★</w:t>
            </w:r>
            <w:r>
              <w:rPr>
                <w:rFonts w:hint="eastAsia" w:ascii="宋体" w:hAnsi="宋体" w:cs="宋体"/>
              </w:rPr>
              <w:t>净重：≥260kg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身器材（军霞）</w:t>
            </w:r>
          </w:p>
          <w:p>
            <w:pPr>
              <w:shd w:val="clear" w:color="auto" w:fill="FFFFFF"/>
              <w:jc w:val="left"/>
              <w:rPr>
                <w:rFonts w:ascii="宋体" w:hAnsi="宋体" w:cs="宋体"/>
                <w:position w:val="6"/>
              </w:rPr>
            </w:pPr>
            <w:r>
              <w:rPr>
                <w:rFonts w:hint="eastAsia" w:ascii="宋体" w:hAnsi="宋体" w:cs="宋体"/>
                <w:position w:val="6"/>
              </w:rPr>
              <w:t>、</w:t>
            </w:r>
          </w:p>
          <w:p>
            <w:pPr>
              <w:rPr>
                <w:rFonts w:ascii="宋体" w:hAnsi="宋体"/>
              </w:rPr>
            </w:pP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Style w:val="59"/>
                <w:rFonts w:hint="default"/>
              </w:rPr>
              <w:t>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臀部训练器</w:t>
            </w:r>
          </w:p>
        </w:tc>
        <w:tc>
          <w:tcPr>
            <w:tcW w:w="5812" w:type="dxa"/>
            <w:vAlign w:val="center"/>
          </w:tcPr>
          <w:p>
            <w:pPr>
              <w:widowControl/>
              <w:jc w:val="left"/>
              <w:rPr>
                <w:rFonts w:ascii="宋体" w:hAnsi="宋体" w:cs="宋体"/>
              </w:rPr>
            </w:pP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占地面积：1014*2150*1527mm   </w:t>
            </w:r>
            <w:r>
              <w:rPr>
                <w:rFonts w:hint="eastAsia" w:ascii="宋体" w:hAnsi="宋体" w:cs="宋体"/>
                <w:kern w:val="0"/>
                <w:shd w:val="clear" w:color="auto" w:fill="FFFFFF"/>
              </w:rPr>
              <w:t>★</w:t>
            </w:r>
            <w:r>
              <w:rPr>
                <w:rFonts w:hint="eastAsia" w:ascii="宋体" w:hAnsi="宋体" w:cs="宋体"/>
              </w:rPr>
              <w:t>净重：≥215kg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rPr>
            </w:pPr>
            <w:r>
              <w:rPr>
                <w:rFonts w:hint="eastAsia" w:ascii="宋体" w:hAnsi="宋体"/>
              </w:rPr>
              <w:t>康力源健身器材（军霞）</w:t>
            </w:r>
          </w:p>
          <w:p>
            <w:pPr>
              <w:rPr>
                <w:rFonts w:ascii="宋体" w:hAnsi="宋体"/>
              </w:rPr>
            </w:pPr>
            <w:r>
              <w:rPr>
                <w:rFonts w:hint="eastAsia" w:ascii="宋体" w:hAnsi="宋体" w:cs="宋体"/>
                <w:position w:val="6"/>
              </w:rPr>
              <w:t>、</w:t>
            </w:r>
            <w:r>
              <w:rPr>
                <w:rFonts w:hint="eastAsia" w:ascii="宋体" w:hAnsi="宋体"/>
              </w:rPr>
              <w:t>迈宝赫</w:t>
            </w:r>
          </w:p>
          <w:p>
            <w:pPr>
              <w:pStyle w:val="21"/>
              <w:spacing w:before="156" w:after="156"/>
              <w:ind w:firstLine="0" w:firstLineChars="0"/>
            </w:pPr>
            <w:r>
              <w:rPr>
                <w:rFonts w:hint="eastAsia" w:ascii="宋体" w:hAnsi="宋体"/>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Style w:val="59"/>
                <w:rFonts w:hint="default"/>
              </w:rPr>
              <w:t>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商用椭圆机</w:t>
            </w:r>
          </w:p>
        </w:tc>
        <w:tc>
          <w:tcPr>
            <w:tcW w:w="5812" w:type="dxa"/>
            <w:vAlign w:val="center"/>
          </w:tcPr>
          <w:p>
            <w:pPr>
              <w:widowControl/>
              <w:jc w:val="left"/>
              <w:rPr>
                <w:rFonts w:ascii="宋体" w:hAnsi="宋体" w:cs="宋体"/>
                <w:kern w:val="0"/>
              </w:rPr>
            </w:pPr>
            <w:r>
              <w:rPr>
                <w:rFonts w:hint="eastAsia" w:ascii="宋体" w:hAnsi="宋体" w:cs="宋体"/>
                <w:kern w:val="0"/>
              </w:rPr>
              <w:t>彩屏仪表</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仪表功能：时间，速度，距离，卡路里，心跳，重新设置，测脂，转速；1组手动控制，12组自动程式，心率控制，4组自定义设置；带IPAD支架，带USB充电，高清喇叭,自带APP，WiFi上网。</w:t>
            </w:r>
          </w:p>
          <w:p>
            <w:pPr>
              <w:widowControl/>
              <w:jc w:val="left"/>
              <w:rPr>
                <w:rFonts w:ascii="宋体" w:hAnsi="宋体" w:cs="宋体"/>
                <w:kern w:val="0"/>
              </w:rPr>
            </w:pPr>
            <w:r>
              <w:rPr>
                <w:rFonts w:hint="eastAsia" w:ascii="宋体" w:hAnsi="宋体" w:cs="宋体"/>
                <w:kern w:val="0"/>
              </w:rPr>
              <w:t>心跳方式：手握心跳检测</w:t>
            </w:r>
          </w:p>
          <w:p>
            <w:pPr>
              <w:widowControl/>
              <w:jc w:val="left"/>
              <w:rPr>
                <w:rFonts w:ascii="宋体" w:hAnsi="宋体" w:cs="宋体"/>
                <w:kern w:val="0"/>
              </w:rPr>
            </w:pPr>
            <w:r>
              <w:rPr>
                <w:rFonts w:hint="eastAsia" w:ascii="宋体" w:hAnsi="宋体" w:cs="宋体"/>
                <w:kern w:val="0"/>
              </w:rPr>
              <w:t>控制方式：仪表控制阻力，电磁控32段阻力控制</w:t>
            </w:r>
          </w:p>
          <w:p>
            <w:pPr>
              <w:widowControl/>
              <w:jc w:val="left"/>
              <w:rPr>
                <w:rFonts w:ascii="宋体" w:hAnsi="宋体" w:cs="宋体"/>
                <w:kern w:val="0"/>
              </w:rPr>
            </w:pPr>
            <w:r>
              <w:rPr>
                <w:rFonts w:hint="eastAsia" w:ascii="宋体" w:hAnsi="宋体" w:cs="宋体"/>
                <w:kern w:val="0"/>
              </w:rPr>
              <w:t>飞轮重量：9kgs</w:t>
            </w:r>
          </w:p>
          <w:p>
            <w:pPr>
              <w:widowControl/>
              <w:jc w:val="left"/>
              <w:rPr>
                <w:rFonts w:ascii="宋体" w:hAnsi="宋体" w:cs="宋体"/>
                <w:kern w:val="0"/>
              </w:rPr>
            </w:pPr>
            <w:r>
              <w:rPr>
                <w:rFonts w:hint="eastAsia" w:ascii="宋体" w:hAnsi="宋体" w:cs="宋体"/>
                <w:kern w:val="0"/>
              </w:rPr>
              <w:t>座管/滑动管/导轨：4轨道铁管+铝片</w:t>
            </w:r>
          </w:p>
          <w:p>
            <w:pPr>
              <w:widowControl/>
              <w:jc w:val="left"/>
              <w:rPr>
                <w:rFonts w:ascii="宋体" w:hAnsi="宋体" w:cs="宋体"/>
                <w:kern w:val="0"/>
              </w:rPr>
            </w:pPr>
            <w:r>
              <w:rPr>
                <w:rFonts w:hint="eastAsia" w:ascii="宋体" w:hAnsi="宋体" w:cs="宋体"/>
                <w:kern w:val="0"/>
              </w:rPr>
              <w:t>扬升坡度：20段</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净重/毛重：≥104kg/128kg</w:t>
            </w:r>
          </w:p>
          <w:p>
            <w:pPr>
              <w:widowControl/>
              <w:jc w:val="left"/>
              <w:rPr>
                <w:rFonts w:ascii="宋体" w:hAnsi="宋体" w:cs="宋体"/>
                <w:kern w:val="0"/>
              </w:rPr>
            </w:pPr>
            <w:r>
              <w:rPr>
                <w:rFonts w:hint="eastAsia" w:ascii="宋体" w:hAnsi="宋体" w:cs="宋体"/>
                <w:kern w:val="0"/>
              </w:rPr>
              <w:t>组立尺寸（mm）：1900*660*1700</w:t>
            </w:r>
          </w:p>
          <w:p>
            <w:pPr>
              <w:widowControl/>
              <w:jc w:val="left"/>
              <w:rPr>
                <w:rFonts w:ascii="宋体" w:hAnsi="宋体" w:cs="宋体"/>
                <w:kern w:val="0"/>
              </w:rPr>
            </w:pPr>
            <w:r>
              <w:rPr>
                <w:rFonts w:hint="eastAsia" w:ascii="宋体" w:hAnsi="宋体" w:cs="宋体"/>
                <w:kern w:val="0"/>
              </w:rPr>
              <w:t>外箱尺寸（mm）：1980*600*920</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4</w:t>
            </w:r>
          </w:p>
        </w:tc>
        <w:tc>
          <w:tcPr>
            <w:tcW w:w="1560" w:type="dxa"/>
            <w:vAlign w:val="center"/>
          </w:tcPr>
          <w:p>
            <w:pPr>
              <w:widowControl/>
              <w:jc w:val="left"/>
              <w:rPr>
                <w:rFonts w:ascii="宋体" w:hAnsi="宋体"/>
              </w:rPr>
            </w:pPr>
            <w:r>
              <w:rPr>
                <w:rFonts w:hint="eastAsia" w:ascii="宋体" w:hAnsi="宋体"/>
              </w:rPr>
              <w:t>康力源健身器材（军霞）</w:t>
            </w:r>
          </w:p>
          <w:p>
            <w:pPr>
              <w:rPr>
                <w:rFonts w:ascii="宋体" w:hAnsi="宋体"/>
              </w:rPr>
            </w:pPr>
            <w:r>
              <w:rPr>
                <w:rFonts w:hint="eastAsia" w:ascii="宋体" w:hAnsi="宋体"/>
              </w:rPr>
              <w:t>、迈宝赫</w:t>
            </w:r>
          </w:p>
          <w:p>
            <w:pPr>
              <w:pStyle w:val="21"/>
              <w:spacing w:before="156" w:after="156"/>
              <w:ind w:firstLine="0" w:firstLineChars="0"/>
              <w:rPr>
                <w:sz w:val="21"/>
                <w:szCs w:val="21"/>
              </w:rPr>
            </w:pPr>
            <w:r>
              <w:rPr>
                <w:rFonts w:hint="eastAsia" w:asciiTheme="majorEastAsia" w:hAnsiTheme="majorEastAsia" w:eastAsiaTheme="majorEastAsia" w:cstheme="majorEastAsia"/>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rPr>
            </w:pPr>
            <w:r>
              <w:rPr>
                <w:rStyle w:val="59"/>
                <w:rFonts w:hint="default"/>
              </w:rPr>
              <w:t>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蝴蝶机夹胸训练器</w:t>
            </w:r>
          </w:p>
        </w:tc>
        <w:tc>
          <w:tcPr>
            <w:tcW w:w="5812" w:type="dxa"/>
            <w:vAlign w:val="center"/>
          </w:tcPr>
          <w:p>
            <w:pPr>
              <w:widowControl/>
              <w:jc w:val="left"/>
              <w:rPr>
                <w:rFonts w:ascii="宋体" w:hAnsi="宋体" w:cs="宋体"/>
              </w:rPr>
            </w:pPr>
            <w:r>
              <w:rPr>
                <w:rFonts w:hint="eastAsia" w:ascii="宋体" w:hAnsi="宋体" w:cs="宋体"/>
              </w:rPr>
              <w:t xml:space="preserve">1、主管材为40*137*3.0mm平椭管或50*50*3.0mm以上 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7.占地面积：1130*1050*2050mm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8.净重：≥234kg 毛重：≥252KG  </w:t>
            </w:r>
          </w:p>
          <w:p>
            <w:pPr>
              <w:widowControl/>
              <w:jc w:val="left"/>
              <w:rPr>
                <w:rFonts w:ascii="宋体" w:hAnsi="宋体" w:cs="宋体"/>
              </w:rPr>
            </w:pPr>
            <w:r>
              <w:rPr>
                <w:rFonts w:hint="eastAsia" w:ascii="宋体" w:hAnsi="宋体" w:cs="宋体"/>
              </w:rPr>
              <w:t>9、可调式插销设计，满足不同运动强度、不同身高人群训练需求</w:t>
            </w:r>
          </w:p>
          <w:p>
            <w:pPr>
              <w:widowControl/>
              <w:jc w:val="left"/>
              <w:rPr>
                <w:rFonts w:ascii="宋体" w:hAnsi="宋体" w:cs="宋体"/>
              </w:rPr>
            </w:pPr>
            <w:r>
              <w:rPr>
                <w:rFonts w:hint="eastAsia" w:ascii="宋体" w:hAnsi="宋体" w:cs="宋体"/>
              </w:rPr>
              <w:t>10、全自动激光切割机加工、机械手自动焊接，配以精致打磨，表面双层烤漆：闪银粉体喷涂＋罩光</w:t>
            </w:r>
          </w:p>
          <w:p>
            <w:pPr>
              <w:widowControl/>
              <w:jc w:val="left"/>
              <w:rPr>
                <w:rFonts w:ascii="宋体" w:hAnsi="宋体" w:cs="宋体"/>
              </w:rPr>
            </w:pPr>
            <w:r>
              <w:rPr>
                <w:rFonts w:hint="eastAsia" w:ascii="宋体" w:hAnsi="宋体" w:cs="宋体"/>
              </w:rPr>
              <w:t xml:space="preserve">11、绳索规格强度：≥φ6钢丝绳 ，可承受力≥750KG 件数：2件                  包装尺寸：纸箱A：1465*840*260         纸箱B：1467*750*390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12、标准配重不少于110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、迈宝赫</w:t>
            </w:r>
          </w:p>
          <w:p>
            <w:pPr>
              <w:widowControl/>
              <w:jc w:val="left"/>
              <w:rPr>
                <w:rFonts w:ascii="宋体" w:hAnsi="宋体" w:cs="宋体"/>
              </w:rPr>
            </w:pPr>
            <w:r>
              <w:rPr>
                <w:rFonts w:hint="eastAsia" w:ascii="宋体" w:hAnsi="宋体" w:cs="宋体"/>
              </w:rPr>
              <w:t>宝德龙</w:t>
            </w:r>
          </w:p>
        </w:tc>
        <w:tc>
          <w:tcPr>
            <w:tcW w:w="1134" w:type="dxa"/>
            <w:vAlign w:val="center"/>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c>
          <w:tcPr>
            <w:tcW w:w="1134" w:type="dxa"/>
          </w:tcPr>
          <w:p>
            <w:pPr>
              <w:widowControl/>
              <w:jc w:val="center"/>
              <w:textAlignment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坐姿推胸训练器</w:t>
            </w:r>
          </w:p>
        </w:tc>
        <w:tc>
          <w:tcPr>
            <w:tcW w:w="5812" w:type="dxa"/>
            <w:vAlign w:val="center"/>
          </w:tcPr>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1、主管材为137*40*3.0mm平椭管</w:t>
            </w:r>
            <w:r>
              <w:rPr>
                <w:rFonts w:hint="eastAsia" w:ascii="宋体" w:hAnsi="宋体" w:cs="宋体"/>
              </w:rPr>
              <w:t xml:space="preserve">或50*50*3.0mm 以上的方管，管材壁厚不小于3mm </w:t>
            </w:r>
            <w:r>
              <w:rPr>
                <w:rFonts w:hint="eastAsia" w:asciiTheme="minorEastAsia" w:hAnsiTheme="minorEastAsia" w:eastAsiaTheme="minorEastAsia" w:cstheme="minorEastAsia"/>
              </w:rPr>
              <w:t xml:space="preserve"> ;                </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靠背多位置调节，适合不同使用者的需要，手把采用软质PVC挤压成形相对橡胶挤压成形更耐磨损。                                                         3、采用高强度铝合金端盖，美观大方，经久耐用，永不退色。                                        </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4、坐靠垫采用人体工程原理一次成型设计，贴合人体曲线，舒适感强且经久耐用。                                                                                                   5、运动轨迹为向心及离心轨迹，符合人体生物力学原理。</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占地面积：1412*1131*1527mm    </w:t>
            </w: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净重：≥217kg</w:t>
            </w:r>
          </w:p>
          <w:p>
            <w:pPr>
              <w:pStyle w:val="21"/>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6、标准配重不少于110</w:t>
            </w:r>
            <w:r>
              <w:rPr>
                <w:rFonts w:hint="eastAsia" w:asciiTheme="minorEastAsia" w:hAnsiTheme="minorEastAsia" w:eastAsiaTheme="minorEastAsia" w:cstheme="minorEastAsia"/>
                <w:sz w:val="21"/>
                <w:szCs w:val="21"/>
              </w:rPr>
              <w:t>kg，</w:t>
            </w:r>
            <w:r>
              <w:rPr>
                <w:rFonts w:hint="eastAsia" w:asciiTheme="minorEastAsia" w:hAnsiTheme="minorEastAsia" w:eastAsiaTheme="minorEastAsia" w:cstheme="minorEastAsia"/>
                <w:kern w:val="0"/>
                <w:sz w:val="21"/>
                <w:szCs w:val="21"/>
              </w:rPr>
              <w:t>材质冷拉钢板，经久耐用</w:t>
            </w:r>
          </w:p>
        </w:tc>
        <w:tc>
          <w:tcPr>
            <w:tcW w:w="850" w:type="dxa"/>
            <w:vAlign w:val="center"/>
          </w:tcPr>
          <w:p>
            <w:pPr>
              <w:jc w:val="center"/>
              <w:rPr>
                <w:rFonts w:asciiTheme="minorEastAsia" w:hAnsiTheme="minorEastAsia" w:eastAsiaTheme="minorEastAsia" w:cstheme="minorEastAsia"/>
                <w:position w:val="6"/>
              </w:rPr>
            </w:pPr>
            <w:r>
              <w:rPr>
                <w:rFonts w:hint="eastAsia" w:asciiTheme="minorEastAsia" w:hAnsiTheme="minorEastAsia" w:eastAsiaTheme="minorEastAsia" w:cstheme="minorEastAsia"/>
                <w:position w:val="6"/>
              </w:rPr>
              <w:t>台</w:t>
            </w:r>
          </w:p>
        </w:tc>
        <w:tc>
          <w:tcPr>
            <w:tcW w:w="992" w:type="dxa"/>
            <w:vAlign w:val="center"/>
          </w:tcPr>
          <w:p>
            <w:pPr>
              <w:widowControl/>
              <w:jc w:val="center"/>
              <w:textAlignment w:val="center"/>
              <w:rPr>
                <w:rFonts w:asciiTheme="minorEastAsia" w:hAnsiTheme="minorEastAsia" w:eastAsiaTheme="minorEastAsia" w:cstheme="minorEastAsia"/>
                <w:kern w:val="0"/>
                <w:position w:val="6"/>
              </w:rPr>
            </w:pPr>
            <w:r>
              <w:rPr>
                <w:rFonts w:hint="eastAsia" w:asciiTheme="minorEastAsia" w:hAnsiTheme="minorEastAsia" w:eastAsiaTheme="minorEastAsia" w:cstheme="minorEastAsia"/>
                <w:kern w:val="0"/>
              </w:rPr>
              <w:t>1</w:t>
            </w:r>
          </w:p>
        </w:tc>
        <w:tc>
          <w:tcPr>
            <w:tcW w:w="1560" w:type="dxa"/>
            <w:vAlign w:val="center"/>
          </w:tcPr>
          <w:p>
            <w:pPr>
              <w:shd w:val="clear" w:color="auto" w:fill="FFFFFF"/>
              <w:jc w:val="left"/>
              <w:rPr>
                <w:rFonts w:asciiTheme="minorEastAsia" w:hAnsiTheme="minorEastAsia" w:eastAsiaTheme="minorEastAsia" w:cstheme="minorEastAsia"/>
              </w:rPr>
            </w:pPr>
            <w:r>
              <w:rPr>
                <w:rFonts w:hint="eastAsia" w:asciiTheme="minorEastAsia" w:hAnsiTheme="minorEastAsia" w:eastAsiaTheme="minorEastAsia" w:cstheme="minorEastAsia"/>
              </w:rPr>
              <w:t>康力源健身器材（军霞）</w:t>
            </w:r>
          </w:p>
          <w:p>
            <w:pPr>
              <w:shd w:val="clear" w:color="auto" w:fill="FFFFFF"/>
              <w:jc w:val="left"/>
              <w:rPr>
                <w:rFonts w:asciiTheme="minorEastAsia" w:hAnsiTheme="minorEastAsia" w:eastAsiaTheme="minorEastAsia" w:cstheme="minorEastAsia"/>
              </w:rPr>
            </w:pPr>
            <w:r>
              <w:rPr>
                <w:rFonts w:hint="eastAsia" w:asciiTheme="minorEastAsia" w:hAnsiTheme="minorEastAsia" w:eastAsiaTheme="minorEastAsia" w:cstheme="minorEastAsia"/>
              </w:rPr>
              <w:t>、</w:t>
            </w:r>
          </w:p>
          <w:p>
            <w:pPr>
              <w:rPr>
                <w:rFonts w:asciiTheme="minorEastAsia" w:hAnsiTheme="minorEastAsia" w:eastAsiaTheme="minorEastAsia" w:cstheme="minorEastAsia"/>
              </w:rPr>
            </w:pPr>
            <w:r>
              <w:rPr>
                <w:rFonts w:hint="eastAsia" w:asciiTheme="minorEastAsia" w:hAnsiTheme="minorEastAsia" w:eastAsiaTheme="minorEastAsia" w:cstheme="minorEastAsia"/>
              </w:rPr>
              <w:t>迈宝赫</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坐姿推肩训练器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占地面积：1556*1532*1527mm         </w:t>
            </w:r>
            <w:r>
              <w:rPr>
                <w:rFonts w:hint="eastAsia" w:ascii="宋体" w:hAnsi="宋体" w:cs="宋体"/>
                <w:kern w:val="0"/>
                <w:shd w:val="clear" w:color="auto" w:fill="FFFFFF"/>
              </w:rPr>
              <w:t>★</w:t>
            </w:r>
            <w:r>
              <w:rPr>
                <w:rFonts w:hint="eastAsia" w:ascii="宋体" w:hAnsi="宋体" w:cs="宋体"/>
              </w:rPr>
              <w:t>净重：≥235kg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坐姿高/低拉双功能训练器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占地面积：1424*1502*1827mm</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净重：≥225kg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助力单双杠训练器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占地面积：1272*1158*2268mm        </w:t>
            </w:r>
            <w:r>
              <w:rPr>
                <w:rFonts w:hint="eastAsia" w:ascii="宋体" w:hAnsi="宋体" w:cs="宋体"/>
                <w:kern w:val="0"/>
                <w:shd w:val="clear" w:color="auto" w:fill="FFFFFF"/>
              </w:rPr>
              <w:t>★</w:t>
            </w:r>
            <w:r>
              <w:rPr>
                <w:rFonts w:hint="eastAsia" w:ascii="宋体" w:hAnsi="宋体" w:cs="宋体"/>
              </w:rPr>
              <w:t>净重：≥196kg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6、标准配重不少于60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上斜推胸训练器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1、主管材为50*120*3.0mm平椭管或50*50*3.0mm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占地面积：1600*1830*1800mm      </w:t>
            </w:r>
            <w:r>
              <w:rPr>
                <w:rFonts w:hint="eastAsia" w:ascii="宋体" w:hAnsi="宋体" w:cs="宋体"/>
                <w:kern w:val="0"/>
                <w:shd w:val="clear" w:color="auto" w:fill="FFFFFF"/>
              </w:rPr>
              <w:t>★</w:t>
            </w:r>
            <w:r>
              <w:rPr>
                <w:rFonts w:hint="eastAsia" w:ascii="宋体" w:hAnsi="宋体" w:cs="宋体"/>
              </w:rPr>
              <w:t xml:space="preserve"> 净重：≥250kg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大飞鸟龙门架综合训练器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占地面积：4045*640*2450mm        </w:t>
            </w:r>
            <w:r>
              <w:rPr>
                <w:rFonts w:hint="eastAsia" w:ascii="宋体" w:hAnsi="宋体" w:cs="宋体"/>
                <w:kern w:val="0"/>
                <w:shd w:val="clear" w:color="auto" w:fill="FFFFFF"/>
              </w:rPr>
              <w:t>★</w:t>
            </w:r>
            <w:r>
              <w:rPr>
                <w:rFonts w:hint="eastAsia" w:ascii="宋体" w:hAnsi="宋体" w:cs="宋体"/>
              </w:rPr>
              <w:t>净重：≥420kg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6、标准配重不少于110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斯密斯机综合训练器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主管材为50*50*3.0mm 以上的方管，管材壁厚不小于3mm</w:t>
            </w:r>
          </w:p>
          <w:p>
            <w:pPr>
              <w:widowControl/>
              <w:jc w:val="left"/>
              <w:rPr>
                <w:rFonts w:ascii="宋体" w:hAnsi="宋体" w:cs="宋体"/>
              </w:rPr>
            </w:pPr>
            <w:r>
              <w:rPr>
                <w:rFonts w:hint="eastAsia" w:ascii="宋体" w:hAnsi="宋体" w:cs="宋体"/>
              </w:rPr>
              <w:t>占地面积：2069mm*1585.5*2414mm</w:t>
            </w:r>
          </w:p>
          <w:p>
            <w:pPr>
              <w:widowControl/>
              <w:jc w:val="left"/>
              <w:rPr>
                <w:rFonts w:ascii="宋体" w:hAnsi="宋体" w:cs="宋体"/>
              </w:rPr>
            </w:pPr>
            <w:r>
              <w:rPr>
                <w:rFonts w:hint="eastAsia" w:ascii="宋体" w:hAnsi="宋体" w:cs="宋体"/>
              </w:rPr>
              <w:t xml:space="preserve">最大训练荷载：100kg                 </w:t>
            </w:r>
          </w:p>
          <w:p>
            <w:pPr>
              <w:widowControl/>
              <w:jc w:val="left"/>
              <w:rPr>
                <w:rFonts w:ascii="宋体" w:hAnsi="宋体" w:cs="宋体"/>
              </w:rPr>
            </w:pPr>
            <w:r>
              <w:rPr>
                <w:rFonts w:hint="eastAsia" w:ascii="宋体" w:hAnsi="宋体" w:cs="宋体"/>
              </w:rPr>
              <w:t xml:space="preserve">最大配重:300kg                                                    </w:t>
            </w:r>
          </w:p>
          <w:p>
            <w:pPr>
              <w:widowControl/>
              <w:jc w:val="left"/>
              <w:rPr>
                <w:rFonts w:ascii="宋体" w:hAnsi="宋体" w:cs="宋体"/>
              </w:rPr>
            </w:pPr>
            <w:r>
              <w:rPr>
                <w:rFonts w:hint="eastAsia" w:ascii="宋体" w:hAnsi="宋体" w:cs="宋体"/>
              </w:rPr>
              <w:t xml:space="preserve">阻力形式：杠铃                            </w:t>
            </w:r>
          </w:p>
          <w:p>
            <w:pPr>
              <w:widowControl/>
              <w:jc w:val="left"/>
              <w:rPr>
                <w:rFonts w:ascii="宋体" w:hAnsi="宋体" w:cs="宋体"/>
              </w:rPr>
            </w:pPr>
            <w:r>
              <w:rPr>
                <w:rFonts w:hint="eastAsia" w:ascii="宋体" w:hAnsi="宋体" w:cs="宋体"/>
              </w:rPr>
              <w:t xml:space="preserve">主立管规格：50mm*120mm*3mm(平椭管）  </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净重：≥260kg                            </w:t>
            </w:r>
          </w:p>
          <w:p>
            <w:pPr>
              <w:widowControl/>
              <w:jc w:val="left"/>
              <w:rPr>
                <w:rFonts w:ascii="宋体" w:hAnsi="宋体" w:cs="宋体"/>
              </w:rPr>
            </w:pPr>
            <w:r>
              <w:rPr>
                <w:rFonts w:hint="eastAsia" w:ascii="宋体" w:hAnsi="宋体" w:cs="宋体"/>
              </w:rPr>
              <w:t>通过GB17498-2008通用安全要求检测</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高档优质静音滑轨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内外夹腿训练器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占地面积：1621*800*1536mm        </w:t>
            </w:r>
            <w:r>
              <w:rPr>
                <w:rFonts w:hint="eastAsia" w:ascii="宋体" w:hAnsi="宋体" w:cs="宋体"/>
                <w:kern w:val="0"/>
                <w:shd w:val="clear" w:color="auto" w:fill="FFFFFF"/>
              </w:rPr>
              <w:t>★</w:t>
            </w:r>
            <w:r>
              <w:rPr>
                <w:rFonts w:hint="eastAsia" w:ascii="宋体" w:hAnsi="宋体" w:cs="宋体"/>
              </w:rPr>
              <w:t>净重：≥250kg</w:t>
            </w:r>
          </w:p>
          <w:p>
            <w:pPr>
              <w:pStyle w:val="21"/>
              <w:ind w:firstLine="0" w:firstLineChars="0"/>
              <w:rPr>
                <w:rFonts w:ascii="宋体" w:hAnsi="宋体" w:eastAsia="宋体" w:cs="宋体"/>
                <w:sz w:val="21"/>
                <w:szCs w:val="21"/>
              </w:rPr>
            </w:pPr>
            <w:r>
              <w:rPr>
                <w:rFonts w:hint="eastAsia" w:ascii="宋体" w:hAnsi="宋体" w:cs="宋体"/>
                <w:kern w:val="0"/>
                <w:shd w:val="clear" w:color="auto" w:fill="FFFFFF"/>
              </w:rPr>
              <w:t>★</w:t>
            </w:r>
            <w:r>
              <w:rPr>
                <w:rFonts w:hint="eastAsia" w:ascii="宋体" w:hAnsi="宋体" w:eastAsia="宋体" w:cs="宋体"/>
                <w:kern w:val="0"/>
                <w:sz w:val="21"/>
                <w:szCs w:val="21"/>
              </w:rPr>
              <w:t>6、标准配重不少于60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划船机阻力训练器</w:t>
            </w:r>
          </w:p>
        </w:tc>
        <w:tc>
          <w:tcPr>
            <w:tcW w:w="5812" w:type="dxa"/>
            <w:vAlign w:val="center"/>
          </w:tcPr>
          <w:p>
            <w:pPr>
              <w:widowControl/>
              <w:jc w:val="left"/>
              <w:rPr>
                <w:rFonts w:ascii="宋体" w:hAnsi="宋体" w:cs="宋体"/>
                <w:kern w:val="0"/>
              </w:rPr>
            </w:pPr>
            <w:r>
              <w:rPr>
                <w:rFonts w:hint="eastAsia" w:ascii="宋体" w:hAnsi="宋体" w:cs="宋体"/>
                <w:kern w:val="0"/>
              </w:rPr>
              <w:t>1. 阻力方式：水阻力划船训练器材</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2. 净重≥49KG,毛重≥55KG.   </w:t>
            </w:r>
          </w:p>
          <w:p>
            <w:pPr>
              <w:widowControl/>
              <w:jc w:val="left"/>
              <w:rPr>
                <w:rFonts w:ascii="宋体" w:hAnsi="宋体" w:cs="宋体"/>
                <w:kern w:val="0"/>
              </w:rPr>
            </w:pPr>
            <w:r>
              <w:rPr>
                <w:rFonts w:hint="eastAsia" w:ascii="宋体" w:hAnsi="宋体" w:cs="宋体"/>
                <w:kern w:val="0"/>
              </w:rPr>
              <w:t>3. 传动方式：皮带传动方式，超静音设计</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4. 主立管材质尺寸：≥120*50*2.5mm</w:t>
            </w:r>
          </w:p>
          <w:p>
            <w:pPr>
              <w:widowControl/>
              <w:jc w:val="left"/>
              <w:rPr>
                <w:rFonts w:ascii="宋体" w:hAnsi="宋体" w:cs="宋体"/>
                <w:kern w:val="0"/>
              </w:rPr>
            </w:pPr>
            <w:r>
              <w:rPr>
                <w:rFonts w:hint="eastAsia" w:ascii="宋体" w:hAnsi="宋体" w:cs="宋体"/>
                <w:kern w:val="0"/>
              </w:rPr>
              <w:t>5. 导轨：全铝合金导轨</w:t>
            </w:r>
          </w:p>
          <w:p>
            <w:pPr>
              <w:widowControl/>
              <w:jc w:val="left"/>
              <w:rPr>
                <w:rFonts w:ascii="宋体" w:hAnsi="宋体" w:cs="宋体"/>
                <w:kern w:val="0"/>
              </w:rPr>
            </w:pPr>
            <w:r>
              <w:rPr>
                <w:rFonts w:hint="eastAsia" w:ascii="宋体" w:hAnsi="宋体" w:cs="宋体"/>
                <w:kern w:val="0"/>
              </w:rPr>
              <w:t xml:space="preserve">6. 展开尺寸：≥2280X565X760mm             </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45倒蹬训练器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w:t>
            </w:r>
            <w:r>
              <w:rPr>
                <w:rFonts w:hint="eastAsia" w:ascii="宋体" w:hAnsi="宋体" w:cs="宋体"/>
                <w:kern w:val="0"/>
                <w:shd w:val="clear" w:color="auto" w:fill="FFFFFF"/>
              </w:rPr>
              <w:t>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占地面积：2400*1350*1450mm       </w:t>
            </w:r>
            <w:r>
              <w:rPr>
                <w:rFonts w:hint="eastAsia" w:ascii="宋体" w:hAnsi="宋体" w:cs="宋体"/>
                <w:kern w:val="0"/>
                <w:shd w:val="clear" w:color="auto" w:fill="FFFFFF"/>
              </w:rPr>
              <w:t>★</w:t>
            </w:r>
            <w:r>
              <w:rPr>
                <w:rFonts w:hint="eastAsia" w:ascii="宋体" w:hAnsi="宋体" w:cs="宋体"/>
                <w:kern w:val="0"/>
              </w:rPr>
              <w:t>净重：≥220kg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w:t>
            </w:r>
            <w:r>
              <w:rPr>
                <w:rFonts w:hint="eastAsia" w:ascii="宋体" w:hAnsi="宋体" w:cs="宋体"/>
                <w:kern w:val="0"/>
                <w:shd w:val="clear" w:color="auto" w:fill="FFFFFF"/>
              </w:rPr>
              <w:t>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占地面积：936*1373*1527mm        </w:t>
            </w:r>
            <w:r>
              <w:rPr>
                <w:rFonts w:hint="eastAsia" w:ascii="宋体" w:hAnsi="宋体" w:cs="宋体"/>
                <w:kern w:val="0"/>
                <w:shd w:val="clear" w:color="auto" w:fill="FFFFFF"/>
              </w:rPr>
              <w:t>★</w:t>
            </w:r>
            <w:r>
              <w:rPr>
                <w:rFonts w:hint="eastAsia" w:ascii="宋体" w:hAnsi="宋体" w:cs="宋体"/>
                <w:kern w:val="0"/>
              </w:rPr>
              <w:t xml:space="preserve"> 净重：≥250kg配重≥100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Style w:val="59"/>
                <w:rFonts w:hint="default"/>
                <w:color w:val="auto"/>
              </w:rPr>
              <w:t>18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三头肌下压训练器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1、主管材为137*40*3.0mm平椭管或</w:t>
            </w:r>
            <w:r>
              <w:rPr>
                <w:rFonts w:hint="eastAsia" w:ascii="宋体" w:hAnsi="宋体" w:cs="宋体"/>
              </w:rPr>
              <w:t>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占地面积：1067*1496*1527mm        </w:t>
            </w:r>
            <w:r>
              <w:rPr>
                <w:rFonts w:hint="eastAsia" w:ascii="宋体" w:hAnsi="宋体" w:cs="宋体"/>
                <w:kern w:val="0"/>
                <w:shd w:val="clear" w:color="auto" w:fill="FFFFFF"/>
              </w:rPr>
              <w:t>★</w:t>
            </w:r>
            <w:r>
              <w:rPr>
                <w:rFonts w:hint="eastAsia" w:ascii="宋体" w:hAnsi="宋体" w:cs="宋体"/>
                <w:kern w:val="0"/>
              </w:rPr>
              <w:t>净重：≥218kg配重≥100</w:t>
            </w:r>
            <w:r>
              <w:rPr>
                <w:rFonts w:hint="eastAsia" w:ascii="宋体" w:hAnsi="宋体" w:cs="宋体"/>
              </w:rPr>
              <w:t>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19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坐姿蹬腿力量训练器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1、主管材为137*40*3.0mm平椭管或50*50*3.0mm 以上的方管，管材壁厚不小于3mm;                </w:t>
            </w:r>
          </w:p>
          <w:p>
            <w:pPr>
              <w:widowControl/>
              <w:jc w:val="left"/>
              <w:rPr>
                <w:rFonts w:ascii="宋体" w:hAnsi="宋体" w:cs="宋体"/>
              </w:rPr>
            </w:pPr>
            <w:r>
              <w:rPr>
                <w:rFonts w:hint="eastAsia" w:ascii="宋体" w:hAnsi="宋体" w:cs="宋体"/>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rPr>
            </w:pPr>
            <w:r>
              <w:rPr>
                <w:rFonts w:hint="eastAsia" w:ascii="宋体" w:hAnsi="宋体" w:cs="宋体"/>
              </w:rPr>
              <w:t>4、坐靠垫采用人体工程原理一次成型设计，贴合人体曲线，舒适感强且经久耐用。                                                                                                   5、运动轨迹为向心及离心轨迹，符合人体生物力学原理。</w:t>
            </w:r>
          </w:p>
          <w:p>
            <w:pPr>
              <w:widowControl/>
              <w:jc w:val="left"/>
              <w:rPr>
                <w:rFonts w:ascii="宋体" w:hAnsi="宋体" w:cs="宋体"/>
              </w:rPr>
            </w:pPr>
            <w:r>
              <w:rPr>
                <w:rFonts w:hint="eastAsia" w:ascii="宋体" w:hAnsi="宋体" w:cs="宋体"/>
              </w:rPr>
              <w:t xml:space="preserve">占地面积：1023*1848*1527mm         </w:t>
            </w:r>
            <w:r>
              <w:rPr>
                <w:rFonts w:hint="eastAsia" w:ascii="宋体" w:hAnsi="宋体" w:cs="宋体"/>
                <w:kern w:val="0"/>
                <w:shd w:val="clear" w:color="auto" w:fill="FFFFFF"/>
              </w:rPr>
              <w:t>★</w:t>
            </w:r>
            <w:r>
              <w:rPr>
                <w:rFonts w:hint="eastAsia" w:ascii="宋体" w:hAnsi="宋体" w:cs="宋体"/>
              </w:rPr>
              <w:t>净重：≥226kg</w:t>
            </w:r>
          </w:p>
          <w:p>
            <w:pPr>
              <w:pStyle w:val="21"/>
              <w:ind w:firstLine="0" w:firstLineChars="0"/>
              <w:rPr>
                <w:rFonts w:ascii="宋体" w:hAnsi="宋体" w:eastAsia="宋体" w:cs="宋体"/>
                <w:b/>
                <w:bCs/>
                <w:sz w:val="21"/>
                <w:szCs w:val="21"/>
              </w:rPr>
            </w:pPr>
            <w:r>
              <w:rPr>
                <w:rFonts w:hint="eastAsia" w:ascii="宋体" w:hAnsi="宋体" w:eastAsia="宋体" w:cs="宋体"/>
                <w:kern w:val="0"/>
                <w:sz w:val="21"/>
                <w:szCs w:val="21"/>
              </w:rPr>
              <w:t>6、标准配重≥110</w:t>
            </w:r>
            <w:r>
              <w:rPr>
                <w:rFonts w:hint="eastAsia" w:ascii="宋体" w:hAnsi="宋体" w:eastAsia="宋体" w:cs="宋体"/>
                <w:sz w:val="21"/>
                <w:szCs w:val="21"/>
              </w:rPr>
              <w:t>kg，</w:t>
            </w:r>
            <w:r>
              <w:rPr>
                <w:rFonts w:hint="eastAsia" w:ascii="宋体" w:hAnsi="宋体" w:eastAsia="宋体" w:cs="宋体"/>
                <w:kern w:val="0"/>
                <w:sz w:val="21"/>
                <w:szCs w:val="21"/>
              </w:rPr>
              <w:t>材质冷拉钢板，经久耐用</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right"/>
              <w:textAlignment w:val="center"/>
              <w:rPr>
                <w:rStyle w:val="59"/>
                <w:rFonts w:hint="default"/>
                <w:color w:val="auto"/>
              </w:rPr>
            </w:pPr>
            <w:r>
              <w:rPr>
                <w:rFonts w:hint="eastAsia" w:ascii="宋体" w:hAnsi="宋体" w:cs="宋体"/>
                <w:kern w:val="0"/>
              </w:rPr>
              <w:t>20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杠铃架</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占地面积：920*825*1445mm      </w:t>
            </w:r>
            <w:r>
              <w:rPr>
                <w:rFonts w:hint="eastAsia" w:ascii="宋体" w:hAnsi="宋体" w:cs="宋体"/>
                <w:kern w:val="0"/>
                <w:shd w:val="clear" w:color="auto" w:fill="FFFFFF"/>
              </w:rPr>
              <w:t>★</w:t>
            </w:r>
            <w:r>
              <w:rPr>
                <w:rFonts w:hint="eastAsia" w:ascii="宋体" w:hAnsi="宋体" w:cs="宋体"/>
                <w:kern w:val="0"/>
              </w:rPr>
              <w:t>净重：≥72kg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二头肌训练架</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1、主管材为50*120*3.0mm平椭管</w:t>
            </w:r>
            <w:r>
              <w:rPr>
                <w:rFonts w:hint="eastAsia" w:ascii="宋体" w:hAnsi="宋体" w:cs="宋体"/>
              </w:rPr>
              <w:t>或50*50*3.0mm 以上的方管，管材壁厚不小于3mm</w:t>
            </w:r>
            <w:r>
              <w:rPr>
                <w:rFonts w:hint="eastAsia" w:ascii="宋体" w:hAnsi="宋体" w:cs="宋体"/>
                <w:kern w:val="0"/>
              </w:rPr>
              <w:t xml:space="preserve"> ; </w:t>
            </w:r>
          </w:p>
          <w:p>
            <w:pPr>
              <w:widowControl/>
              <w:jc w:val="left"/>
              <w:rPr>
                <w:rFonts w:ascii="宋体" w:hAnsi="宋体" w:cs="宋体"/>
                <w:kern w:val="0"/>
              </w:rPr>
            </w:pPr>
            <w:r>
              <w:rPr>
                <w:rFonts w:hint="eastAsia" w:ascii="宋体" w:hAnsi="宋体" w:cs="宋体"/>
                <w:kern w:val="0"/>
              </w:rPr>
              <w:t>2、 靠背多位置调节，适合不同使用者的需要，手把采用软质PVC挤压成形相对橡胶挤压成形更耐磨损。                                                         3、采用高强度铝合金端盖，美观大方，经久耐用，永不退色。                                        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占地面积：1140*690*910mm      </w:t>
            </w:r>
            <w:r>
              <w:rPr>
                <w:rFonts w:hint="eastAsia" w:ascii="宋体" w:hAnsi="宋体" w:cs="宋体"/>
                <w:kern w:val="0"/>
                <w:shd w:val="clear" w:color="auto" w:fill="FFFFFF"/>
              </w:rPr>
              <w:t>★</w:t>
            </w:r>
            <w:r>
              <w:rPr>
                <w:rFonts w:hint="eastAsia" w:ascii="宋体" w:hAnsi="宋体" w:cs="宋体"/>
                <w:kern w:val="0"/>
              </w:rPr>
              <w:t xml:space="preserve"> 净重：≥45kg</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奥林匹克上斜举重床</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占地面积：1700*1830*1330mm       </w:t>
            </w:r>
            <w:r>
              <w:rPr>
                <w:rFonts w:hint="eastAsia" w:ascii="宋体" w:hAnsi="宋体" w:cs="宋体"/>
                <w:kern w:val="0"/>
                <w:shd w:val="clear" w:color="auto" w:fill="FFFFFF"/>
              </w:rPr>
              <w:t>★</w:t>
            </w:r>
            <w:r>
              <w:rPr>
                <w:rFonts w:hint="eastAsia" w:ascii="宋体" w:hAnsi="宋体" w:cs="宋体"/>
                <w:kern w:val="0"/>
              </w:rPr>
              <w:t>净重：≥102kg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杠铃片架</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占地面积：773*1166*1050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widowControl/>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rPr>
            </w:pPr>
            <w:r>
              <w:rPr>
                <w:rFonts w:hint="eastAsia" w:ascii="宋体" w:hAnsi="宋体" w:cs="宋体"/>
                <w:kern w:val="0"/>
              </w:rPr>
              <w:t>24</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小腿训练器</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kern w:val="0"/>
              </w:rPr>
              <w:t>1、主管材为137*40*3.0平椭管</w:t>
            </w:r>
            <w:r>
              <w:rPr>
                <w:rFonts w:hint="eastAsia" w:ascii="宋体" w:hAnsi="宋体" w:cs="宋体"/>
              </w:rPr>
              <w:t>或50*50*3.0mm 以上的方管，管材壁厚不小于3mm</w:t>
            </w:r>
            <w:r>
              <w:rPr>
                <w:rFonts w:hint="eastAsia" w:ascii="宋体" w:hAnsi="宋体" w:cs="宋体"/>
                <w:kern w:val="0"/>
              </w:rPr>
              <w:t>;                                                                2、手把采用软质PVC挤压成形相对橡胶挤压成形更耐磨损。                                                         3、采用高强度铝合金端盖，美观大方，经久耐用，永不退色。                                            4.力量系列中非常适合新手使用的设备，但是强大的结构和功能设计也能满足高级用户的需求。</w:t>
            </w:r>
          </w:p>
          <w:p>
            <w:pPr>
              <w:widowControl/>
              <w:jc w:val="left"/>
              <w:rPr>
                <w:rFonts w:ascii="宋体" w:hAnsi="宋体" w:cs="宋体"/>
                <w:kern w:val="0"/>
              </w:rPr>
            </w:pPr>
            <w:r>
              <w:rPr>
                <w:rFonts w:hint="eastAsia" w:ascii="宋体" w:hAnsi="宋体" w:cs="宋体"/>
                <w:kern w:val="0"/>
              </w:rPr>
              <w:t>专注打造科学的生物力学和自然的运动轨迹，更加有效地帮助用户提高力量。 一如既往的设计理念为专业运动员打造可以信赖的力量训练设备</w:t>
            </w:r>
          </w:p>
          <w:p>
            <w:pPr>
              <w:widowControl/>
              <w:jc w:val="left"/>
              <w:rPr>
                <w:rFonts w:ascii="宋体" w:hAnsi="宋体" w:cs="宋体"/>
                <w:kern w:val="0"/>
              </w:rPr>
            </w:pPr>
            <w:r>
              <w:rPr>
                <w:rFonts w:hint="eastAsia" w:ascii="宋体" w:hAnsi="宋体" w:cs="宋体"/>
                <w:kern w:val="0"/>
              </w:rPr>
              <w:t>占地面积： 1580*1050*720mm</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净重：≥206kg 配重≥100</w:t>
            </w:r>
            <w:r>
              <w:rPr>
                <w:rFonts w:hint="eastAsia" w:ascii="宋体" w:hAnsi="宋体" w:cs="宋体"/>
              </w:rPr>
              <w:t>kg</w:t>
            </w:r>
          </w:p>
          <w:p>
            <w:pPr>
              <w:widowControl/>
              <w:jc w:val="left"/>
              <w:rPr>
                <w:rFonts w:ascii="宋体" w:hAnsi="宋体" w:cs="宋体"/>
                <w:kern w:val="0"/>
              </w:rPr>
            </w:pPr>
            <w:r>
              <w:rPr>
                <w:rFonts w:hint="eastAsia" w:ascii="宋体" w:hAnsi="宋体" w:cs="宋体"/>
                <w:kern w:val="0"/>
              </w:rPr>
              <w:t>包装尺寸：纸箱A：1465*840*260mm</w:t>
            </w:r>
          </w:p>
          <w:p>
            <w:pPr>
              <w:widowControl/>
              <w:jc w:val="left"/>
              <w:rPr>
                <w:rFonts w:ascii="宋体" w:hAnsi="宋体" w:cs="宋体"/>
                <w:kern w:val="0"/>
              </w:rPr>
            </w:pPr>
            <w:r>
              <w:rPr>
                <w:rFonts w:hint="eastAsia" w:ascii="宋体" w:hAnsi="宋体" w:cs="宋体"/>
                <w:kern w:val="0"/>
              </w:rPr>
              <w:t>纸箱B：1700*1100*420mm</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kern w:val="0"/>
              </w:rPr>
            </w:pPr>
            <w:r>
              <w:rPr>
                <w:rFonts w:hint="eastAsia" w:ascii="宋体" w:hAnsi="宋体" w:cs="宋体"/>
              </w:rPr>
              <w:t>康</w:t>
            </w:r>
            <w:r>
              <w:rPr>
                <w:rFonts w:hint="eastAsia" w:ascii="宋体" w:hAnsi="宋体" w:cs="宋体"/>
                <w:kern w:val="0"/>
              </w:rPr>
              <w:t>力源健身器材（军霞）</w:t>
            </w:r>
          </w:p>
          <w:p>
            <w:pPr>
              <w:widowControl/>
              <w:jc w:val="left"/>
              <w:rPr>
                <w:rFonts w:ascii="宋体" w:hAnsi="宋体" w:cs="宋体"/>
              </w:rPr>
            </w:pPr>
            <w:r>
              <w:rPr>
                <w:rFonts w:hint="eastAsia" w:ascii="宋体" w:hAnsi="宋体" w:cs="宋体"/>
                <w:kern w:val="0"/>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25</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哈克深蹲训练器</w:t>
            </w:r>
          </w:p>
        </w:tc>
        <w:tc>
          <w:tcPr>
            <w:tcW w:w="5812" w:type="dxa"/>
            <w:vAlign w:val="center"/>
          </w:tcPr>
          <w:p>
            <w:pPr>
              <w:widowControl/>
              <w:numPr>
                <w:ilvl w:val="0"/>
                <w:numId w:val="6"/>
              </w:numPr>
              <w:jc w:val="left"/>
              <w:rPr>
                <w:rFonts w:ascii="宋体" w:hAnsi="宋体" w:cs="宋体"/>
                <w:kern w:val="0"/>
              </w:rPr>
            </w:pPr>
            <w:r>
              <w:rPr>
                <w:rFonts w:hint="eastAsia" w:ascii="宋体" w:hAnsi="宋体" w:cs="宋体"/>
                <w:kern w:val="0"/>
              </w:rPr>
              <w:t>尺寸：2010*1630*1470mm</w:t>
            </w:r>
          </w:p>
          <w:p>
            <w:pPr>
              <w:widowControl/>
              <w:ind w:left="210"/>
              <w:jc w:val="left"/>
              <w:rPr>
                <w:rFonts w:ascii="宋体" w:hAnsi="宋体" w:cs="宋体"/>
                <w:kern w:val="0"/>
              </w:rPr>
            </w:pPr>
            <w:r>
              <w:rPr>
                <w:rFonts w:hint="eastAsia" w:ascii="宋体" w:hAnsi="宋体" w:cs="宋体"/>
                <w:kern w:val="0"/>
                <w:shd w:val="clear" w:color="auto" w:fill="FFFFFF"/>
              </w:rPr>
              <w:t>★2、</w:t>
            </w:r>
            <w:r>
              <w:rPr>
                <w:rFonts w:hint="eastAsia" w:ascii="宋体" w:hAnsi="宋体" w:cs="宋体"/>
                <w:kern w:val="0"/>
              </w:rPr>
              <w:t>重量：≥196kg</w:t>
            </w:r>
          </w:p>
          <w:p>
            <w:pPr>
              <w:widowControl/>
              <w:ind w:left="210"/>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rPr>
              <w:t>3、</w:t>
            </w:r>
            <w:r>
              <w:rPr>
                <w:rFonts w:hint="eastAsia" w:ascii="宋体" w:hAnsi="宋体" w:cs="宋体"/>
                <w:kern w:val="0"/>
              </w:rPr>
              <w:t>管材：采用50.8*76.2mm、50.8*50.8mm、38*38mm方管管材。50.8mm圆管，管壁厚度3.0mm</w:t>
            </w:r>
          </w:p>
          <w:p>
            <w:pPr>
              <w:widowControl/>
              <w:jc w:val="left"/>
              <w:rPr>
                <w:rFonts w:ascii="宋体" w:hAnsi="宋体" w:cs="宋体"/>
                <w:kern w:val="0"/>
              </w:rPr>
            </w:pPr>
            <w:r>
              <w:rPr>
                <w:rFonts w:hint="eastAsia" w:ascii="宋体" w:hAnsi="宋体" w:cs="宋体"/>
                <w:kern w:val="0"/>
              </w:rPr>
              <w:t>坐垫：采用高密度泡沫材质填充</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26</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奥林匹克卧推举重床</w:t>
            </w:r>
          </w:p>
        </w:tc>
        <w:tc>
          <w:tcPr>
            <w:tcW w:w="5812" w:type="dxa"/>
            <w:vAlign w:val="center"/>
          </w:tcPr>
          <w:p>
            <w:pPr>
              <w:widowControl/>
              <w:jc w:val="left"/>
              <w:rPr>
                <w:rFonts w:ascii="宋体" w:hAnsi="宋体" w:cs="宋体"/>
                <w:kern w:val="0"/>
              </w:rPr>
            </w:pPr>
            <w:r>
              <w:rPr>
                <w:rFonts w:hint="eastAsia" w:ascii="宋体" w:hAnsi="宋体" w:cs="宋体"/>
                <w:kern w:val="0"/>
              </w:rPr>
              <w:t xml:space="preserve">1、  充满活力的造型设计，激发锻炼。                                                   </w:t>
            </w:r>
          </w:p>
          <w:p>
            <w:pPr>
              <w:widowControl/>
              <w:jc w:val="left"/>
              <w:rPr>
                <w:rFonts w:ascii="宋体" w:hAnsi="宋体" w:cs="宋体"/>
                <w:kern w:val="0"/>
              </w:rPr>
            </w:pPr>
            <w:r>
              <w:rPr>
                <w:rFonts w:hint="eastAsia" w:ascii="宋体" w:hAnsi="宋体" w:cs="宋体"/>
                <w:kern w:val="0"/>
              </w:rPr>
              <w:t xml:space="preserve">2、  多把位手柄，软质PVC挤压成形相对橡胶挤压成形更耐磨损。      </w:t>
            </w:r>
          </w:p>
          <w:p>
            <w:pPr>
              <w:widowControl/>
              <w:jc w:val="left"/>
              <w:rPr>
                <w:rFonts w:ascii="宋体" w:hAnsi="宋体" w:cs="宋体"/>
                <w:kern w:val="0"/>
              </w:rPr>
            </w:pPr>
            <w:r>
              <w:rPr>
                <w:rFonts w:hint="eastAsia" w:ascii="宋体" w:hAnsi="宋体" w:cs="宋体"/>
                <w:kern w:val="0"/>
              </w:rPr>
              <w:t xml:space="preserve">3、  采用高强度铝合金端盖，美观大方，经久耐用，永不退色。          </w:t>
            </w:r>
          </w:p>
          <w:p>
            <w:pPr>
              <w:widowControl/>
              <w:jc w:val="left"/>
              <w:rPr>
                <w:rFonts w:ascii="宋体" w:hAnsi="宋体" w:cs="宋体"/>
                <w:kern w:val="0"/>
              </w:rPr>
            </w:pPr>
            <w:r>
              <w:rPr>
                <w:rFonts w:hint="eastAsia" w:ascii="宋体" w:hAnsi="宋体" w:cs="宋体"/>
                <w:kern w:val="0"/>
              </w:rPr>
              <w:t xml:space="preserve">4、  主框架采用大规格50*120*3.0平椭圆型钢管制造，电脑切割整体焊接技术。                                                                                            </w:t>
            </w:r>
          </w:p>
          <w:p>
            <w:pPr>
              <w:widowControl/>
              <w:jc w:val="left"/>
              <w:rPr>
                <w:rFonts w:ascii="宋体" w:hAnsi="宋体" w:cs="宋体"/>
                <w:kern w:val="0"/>
              </w:rPr>
            </w:pPr>
            <w:r>
              <w:rPr>
                <w:rFonts w:hint="eastAsia" w:ascii="宋体" w:hAnsi="宋体" w:cs="宋体"/>
                <w:kern w:val="0"/>
              </w:rPr>
              <w:t xml:space="preserve">5、坐靠垫采用人体工程原理一次成型设计，贴合人体曲线，舒适感强且经久耐用。                                                                                            </w:t>
            </w:r>
          </w:p>
          <w:p>
            <w:pPr>
              <w:widowControl/>
              <w:jc w:val="left"/>
              <w:rPr>
                <w:rFonts w:ascii="宋体" w:hAnsi="宋体" w:cs="宋体"/>
                <w:kern w:val="0"/>
              </w:rPr>
            </w:pPr>
            <w:r>
              <w:rPr>
                <w:rFonts w:hint="eastAsia" w:ascii="宋体" w:hAnsi="宋体" w:cs="宋体"/>
                <w:kern w:val="0"/>
              </w:rPr>
              <w:t>6、  运动轨迹为向心及离心轨迹，符合人体生物力学原理。</w:t>
            </w:r>
          </w:p>
          <w:p>
            <w:pPr>
              <w:widowControl/>
              <w:jc w:val="left"/>
              <w:rPr>
                <w:rFonts w:ascii="宋体" w:hAnsi="宋体" w:cs="宋体"/>
                <w:kern w:val="0"/>
              </w:rPr>
            </w:pPr>
            <w:r>
              <w:rPr>
                <w:rFonts w:hint="eastAsia" w:ascii="宋体" w:hAnsi="宋体" w:cs="宋体"/>
                <w:kern w:val="0"/>
              </w:rPr>
              <w:t>占地面积：1958mm*1866mm*1189mm</w:t>
            </w:r>
          </w:p>
          <w:p>
            <w:pPr>
              <w:widowControl/>
              <w:jc w:val="left"/>
              <w:rPr>
                <w:rFonts w:ascii="宋体" w:hAnsi="宋体" w:cs="宋体"/>
                <w:kern w:val="0"/>
              </w:rPr>
            </w:pPr>
            <w:r>
              <w:rPr>
                <w:rFonts w:hint="eastAsia" w:ascii="宋体" w:hAnsi="宋体" w:cs="宋体"/>
                <w:kern w:val="0"/>
              </w:rPr>
              <w:t xml:space="preserve">允许使用者最大人体质量：100kg              </w:t>
            </w:r>
          </w:p>
          <w:p>
            <w:pPr>
              <w:widowControl/>
              <w:jc w:val="left"/>
              <w:rPr>
                <w:rFonts w:ascii="宋体" w:hAnsi="宋体" w:cs="宋体"/>
                <w:kern w:val="0"/>
              </w:rPr>
            </w:pPr>
            <w:r>
              <w:rPr>
                <w:rFonts w:hint="eastAsia" w:ascii="宋体" w:hAnsi="宋体" w:cs="宋体"/>
                <w:kern w:val="0"/>
              </w:rPr>
              <w:t xml:space="preserve">最大训练荷载：300kg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 xml:space="preserve">净重：≥90kg                             </w:t>
            </w:r>
          </w:p>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通过GB17498-2008通用安全要求检测</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27</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哑铃平凳</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1</w:t>
            </w:r>
            <w:r>
              <w:rPr>
                <w:rFonts w:hint="eastAsia" w:ascii="宋体" w:hAnsi="宋体" w:cs="宋体"/>
                <w:kern w:val="0"/>
              </w:rPr>
              <w:t>、主管材为50*120*3.0mm平椭管</w:t>
            </w:r>
            <w:r>
              <w:rPr>
                <w:rFonts w:hint="eastAsia" w:ascii="宋体" w:hAnsi="宋体" w:cs="宋体"/>
              </w:rPr>
              <w:t>或50*50*3.0mm 以上的方管，管材壁厚不小于3mm</w:t>
            </w:r>
            <w:r>
              <w:rPr>
                <w:rFonts w:hint="eastAsia" w:ascii="宋体" w:hAnsi="宋体" w:cs="宋体"/>
                <w:kern w:val="0"/>
              </w:rPr>
              <w:t xml:space="preserve">;                </w:t>
            </w:r>
          </w:p>
          <w:p>
            <w:pPr>
              <w:widowControl/>
              <w:jc w:val="left"/>
              <w:rPr>
                <w:rFonts w:ascii="宋体" w:hAnsi="宋体" w:cs="宋体"/>
                <w:kern w:val="0"/>
              </w:rPr>
            </w:pPr>
            <w:r>
              <w:rPr>
                <w:rFonts w:hint="eastAsia" w:ascii="宋体" w:hAnsi="宋体" w:cs="宋体"/>
                <w:kern w:val="0"/>
              </w:rPr>
              <w:t xml:space="preserve">2、 靠背多位置调节，适合不同使用者的需要，手把采用软质PVC挤压成形相对橡胶挤压成形更耐磨损。                                                         3、采用高强度铝合金端盖，美观大方，经久耐用，永不退色。                                        </w:t>
            </w:r>
          </w:p>
          <w:p>
            <w:pPr>
              <w:widowControl/>
              <w:jc w:val="left"/>
              <w:rPr>
                <w:rFonts w:ascii="宋体" w:hAnsi="宋体" w:cs="宋体"/>
                <w:kern w:val="0"/>
              </w:rPr>
            </w:pPr>
            <w:r>
              <w:rPr>
                <w:rFonts w:hint="eastAsia" w:ascii="宋体" w:hAnsi="宋体" w:cs="宋体"/>
                <w:kern w:val="0"/>
              </w:rPr>
              <w:t>4、坐靠垫采用人体工程原理一次成型设计，贴合人体曲线，舒适感强且经久耐用。                                                                                                   5、运动轨迹为向心及离心轨迹，符合人体生物力学原理。</w:t>
            </w:r>
          </w:p>
          <w:p>
            <w:pPr>
              <w:widowControl/>
              <w:jc w:val="left"/>
              <w:rPr>
                <w:rFonts w:ascii="宋体" w:hAnsi="宋体" w:cs="宋体"/>
                <w:kern w:val="0"/>
              </w:rPr>
            </w:pPr>
            <w:r>
              <w:rPr>
                <w:rFonts w:hint="eastAsia" w:ascii="宋体" w:hAnsi="宋体" w:cs="宋体"/>
                <w:kern w:val="0"/>
              </w:rPr>
              <w:t xml:space="preserve">占地面积：1345*540*460mm         </w:t>
            </w:r>
            <w:r>
              <w:rPr>
                <w:rFonts w:hint="eastAsia" w:ascii="宋体" w:hAnsi="宋体" w:cs="宋体"/>
                <w:kern w:val="0"/>
                <w:shd w:val="clear" w:color="auto" w:fill="FFFFFF"/>
              </w:rPr>
              <w:t>★</w:t>
            </w:r>
            <w:r>
              <w:rPr>
                <w:rFonts w:hint="eastAsia" w:ascii="宋体" w:hAnsi="宋体" w:cs="宋体"/>
                <w:kern w:val="0"/>
              </w:rPr>
              <w:t xml:space="preserve"> 净重：≥25kg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rPr>
              <w:t>28</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可调式哑铃椅</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1.主架管采用50*120*3.0mm平椭圆管，管材设计圆润，外观高端大气。</w:t>
            </w:r>
          </w:p>
          <w:p>
            <w:pPr>
              <w:widowControl/>
              <w:jc w:val="left"/>
              <w:rPr>
                <w:rFonts w:ascii="宋体" w:hAnsi="宋体" w:cs="宋体"/>
                <w:kern w:val="0"/>
              </w:rPr>
            </w:pPr>
            <w:r>
              <w:rPr>
                <w:rFonts w:hint="eastAsia" w:ascii="宋体" w:hAnsi="宋体" w:cs="宋体"/>
                <w:kern w:val="0"/>
              </w:rPr>
              <w:t xml:space="preserve">2.座垫：一次PU成型技术，根据人体工学原理设计的垫子硬度，硬度控制在65度正负5度，确保软硬适中，适合绝大多数使用者 外层包敷皮革，皮革可通过500g砝码来回摩擦8000次不脱皮不掉色。      </w:t>
            </w:r>
          </w:p>
          <w:p>
            <w:pPr>
              <w:widowControl/>
              <w:jc w:val="left"/>
              <w:rPr>
                <w:rFonts w:ascii="宋体" w:hAnsi="宋体" w:cs="宋体"/>
                <w:kern w:val="0"/>
              </w:rPr>
            </w:pPr>
            <w:r>
              <w:rPr>
                <w:rFonts w:hint="eastAsia" w:ascii="宋体" w:hAnsi="宋体" w:cs="宋体"/>
                <w:kern w:val="0"/>
              </w:rPr>
              <w:t>3.辅助杠铃片悬挂架：部分器械配有辅助性杠铃片悬挂架，用于放置更多规格的杠铃片，方便使用。</w:t>
            </w:r>
          </w:p>
          <w:p>
            <w:pPr>
              <w:widowControl/>
              <w:jc w:val="left"/>
              <w:rPr>
                <w:rFonts w:ascii="宋体" w:hAnsi="宋体" w:cs="宋体"/>
                <w:kern w:val="0"/>
              </w:rPr>
            </w:pPr>
            <w:r>
              <w:rPr>
                <w:rFonts w:hint="eastAsia" w:ascii="宋体" w:hAnsi="宋体" w:cs="宋体"/>
                <w:kern w:val="0"/>
              </w:rPr>
              <w:t>占地面积：1378mm*535.5*501mm</w:t>
            </w:r>
          </w:p>
          <w:p>
            <w:pPr>
              <w:widowControl/>
              <w:jc w:val="left"/>
              <w:rPr>
                <w:rFonts w:ascii="宋体" w:hAnsi="宋体" w:cs="宋体"/>
                <w:kern w:val="0"/>
              </w:rPr>
            </w:pPr>
            <w:r>
              <w:rPr>
                <w:rFonts w:hint="eastAsia" w:ascii="宋体" w:hAnsi="宋体" w:cs="宋体"/>
                <w:kern w:val="0"/>
              </w:rPr>
              <w:t xml:space="preserve">最大训练荷载：100kg                      </w:t>
            </w:r>
            <w:r>
              <w:rPr>
                <w:rFonts w:hint="eastAsia" w:ascii="宋体" w:hAnsi="宋体" w:cs="宋体"/>
                <w:kern w:val="0"/>
                <w:shd w:val="clear" w:color="auto" w:fill="FFFFFF"/>
              </w:rPr>
              <w:t>★</w:t>
            </w:r>
            <w:r>
              <w:rPr>
                <w:rFonts w:hint="eastAsia" w:ascii="宋体" w:hAnsi="宋体" w:cs="宋体"/>
                <w:kern w:val="0"/>
              </w:rPr>
              <w:t>净重：≥47kg</w:t>
            </w:r>
          </w:p>
        </w:tc>
        <w:tc>
          <w:tcPr>
            <w:tcW w:w="850" w:type="dxa"/>
            <w:vAlign w:val="center"/>
          </w:tcPr>
          <w:p>
            <w:pPr>
              <w:jc w:val="center"/>
              <w:rPr>
                <w:rFonts w:ascii="宋体" w:hAnsi="宋体" w:cs="宋体"/>
                <w:position w:val="6"/>
              </w:rPr>
            </w:pPr>
            <w:r>
              <w:rPr>
                <w:rFonts w:hint="eastAsia" w:ascii="宋体" w:hAnsi="宋体" w:cs="宋体"/>
                <w:position w:val="6"/>
              </w:rPr>
              <w:t>张</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shd w:val="clear" w:color="auto" w:fill="FFFFFF"/>
              <w:jc w:val="left"/>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29</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商用哑铃架</w:t>
            </w:r>
          </w:p>
        </w:tc>
        <w:tc>
          <w:tcPr>
            <w:tcW w:w="5812" w:type="dxa"/>
            <w:vAlign w:val="center"/>
          </w:tcPr>
          <w:p>
            <w:pPr>
              <w:widowControl/>
              <w:jc w:val="left"/>
              <w:rPr>
                <w:rFonts w:ascii="宋体" w:hAnsi="宋体" w:cs="宋体"/>
              </w:rPr>
            </w:pPr>
            <w:r>
              <w:rPr>
                <w:rFonts w:hint="eastAsia" w:ascii="宋体" w:hAnsi="宋体" w:cs="宋体"/>
              </w:rPr>
              <w:t>外形尺寸：2230*720*700</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主立管规格：50*120*3mm  </w:t>
            </w:r>
          </w:p>
          <w:p>
            <w:pPr>
              <w:widowControl/>
              <w:jc w:val="left"/>
              <w:rPr>
                <w:rFonts w:ascii="宋体" w:hAnsi="宋体" w:cs="宋体"/>
              </w:rPr>
            </w:pPr>
            <w:r>
              <w:rPr>
                <w:rFonts w:hint="eastAsia" w:ascii="宋体" w:hAnsi="宋体" w:cs="宋体"/>
              </w:rPr>
              <w:t xml:space="preserve">最大承受荷载：600kg       </w:t>
            </w:r>
            <w:r>
              <w:rPr>
                <w:rFonts w:hint="eastAsia" w:ascii="宋体" w:hAnsi="宋体" w:cs="宋体"/>
                <w:kern w:val="0"/>
                <w:shd w:val="clear" w:color="auto" w:fill="FFFFFF"/>
              </w:rPr>
              <w:t>★</w:t>
            </w:r>
            <w:r>
              <w:rPr>
                <w:rFonts w:hint="eastAsia" w:ascii="宋体" w:hAnsi="宋体" w:cs="宋体"/>
              </w:rPr>
              <w:t xml:space="preserve"> 净重：≥88kg</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至少可存放12副哑铃，双层或三层</w:t>
            </w:r>
          </w:p>
        </w:tc>
        <w:tc>
          <w:tcPr>
            <w:tcW w:w="850"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rPr>
                <w:rFonts w:ascii="宋体" w:hAnsi="宋体" w:cs="宋体"/>
                <w:position w:val="6"/>
              </w:rPr>
            </w:pPr>
          </w:p>
        </w:tc>
        <w:tc>
          <w:tcPr>
            <w:tcW w:w="1134" w:type="dxa"/>
          </w:tcPr>
          <w:p>
            <w:pPr>
              <w:rPr>
                <w:rFonts w:ascii="宋体" w:hAnsi="宋体" w:cs="宋体"/>
                <w:position w:val="6"/>
              </w:rPr>
            </w:pPr>
          </w:p>
        </w:tc>
        <w:tc>
          <w:tcPr>
            <w:tcW w:w="1134" w:type="dxa"/>
          </w:tcPr>
          <w:p>
            <w:pP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30</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杠铃片</w:t>
            </w:r>
          </w:p>
        </w:tc>
        <w:tc>
          <w:tcPr>
            <w:tcW w:w="5812" w:type="dxa"/>
            <w:vAlign w:val="center"/>
          </w:tcPr>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外包胶、橡胶材质环保、耐磨、抗摔</w:t>
            </w:r>
          </w:p>
          <w:p>
            <w:pPr>
              <w:widowControl/>
              <w:jc w:val="left"/>
              <w:rPr>
                <w:rFonts w:ascii="宋体" w:hAnsi="宋体" w:cs="宋体"/>
              </w:rPr>
            </w:pPr>
            <w:r>
              <w:rPr>
                <w:rFonts w:hint="eastAsia" w:ascii="宋体" w:hAnsi="宋体" w:cs="宋体"/>
              </w:rPr>
              <w:t>三孔杠铃片，内嵌不锈钢钢圈，美观实用；</w:t>
            </w:r>
          </w:p>
          <w:p>
            <w:pPr>
              <w:widowControl/>
              <w:jc w:val="left"/>
              <w:rPr>
                <w:rFonts w:ascii="宋体" w:hAnsi="宋体" w:cs="宋体"/>
              </w:rPr>
            </w:pPr>
            <w:r>
              <w:rPr>
                <w:rFonts w:hint="eastAsia" w:ascii="宋体" w:hAnsi="宋体" w:cs="宋体"/>
                <w:kern w:val="0"/>
                <w:shd w:val="clear" w:color="auto" w:fill="FFFFFF"/>
              </w:rPr>
              <w:t>★</w:t>
            </w:r>
            <w:r>
              <w:rPr>
                <w:rFonts w:hint="eastAsia" w:ascii="宋体" w:hAnsi="宋体" w:cs="宋体"/>
              </w:rPr>
              <w:t xml:space="preserve">规格为：2.5KG  5KG  10KG  15KG  20KG </w:t>
            </w:r>
          </w:p>
          <w:p>
            <w:pPr>
              <w:pStyle w:val="21"/>
              <w:ind w:firstLine="0" w:firstLineChars="0"/>
              <w:rPr>
                <w:rFonts w:ascii="宋体" w:hAnsi="宋体" w:eastAsia="宋体" w:cs="宋体"/>
                <w:sz w:val="21"/>
                <w:szCs w:val="21"/>
              </w:rPr>
            </w:pPr>
            <w:r>
              <w:rPr>
                <w:rFonts w:hint="eastAsia" w:ascii="宋体" w:hAnsi="宋体" w:eastAsia="宋体" w:cs="宋体"/>
                <w:kern w:val="0"/>
                <w:sz w:val="21"/>
                <w:szCs w:val="21"/>
              </w:rPr>
              <w:t>大孔配奥杆用</w:t>
            </w:r>
          </w:p>
        </w:tc>
        <w:tc>
          <w:tcPr>
            <w:tcW w:w="850" w:type="dxa"/>
            <w:vAlign w:val="center"/>
          </w:tcPr>
          <w:p>
            <w:pP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2000</w:t>
            </w:r>
          </w:p>
        </w:tc>
        <w:tc>
          <w:tcPr>
            <w:tcW w:w="1560" w:type="dxa"/>
            <w:vAlign w:val="center"/>
          </w:tcPr>
          <w:p>
            <w:pPr>
              <w:widowControl/>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4" w:type="dxa"/>
            <w:vAlign w:val="center"/>
          </w:tcPr>
          <w:p>
            <w:pPr>
              <w:widowControl/>
              <w:jc w:val="right"/>
              <w:textAlignment w:val="center"/>
              <w:rPr>
                <w:rFonts w:ascii="宋体" w:hAnsi="宋体" w:cs="宋体"/>
              </w:rPr>
            </w:pPr>
            <w:r>
              <w:rPr>
                <w:rFonts w:hint="eastAsia" w:ascii="宋体" w:hAnsi="宋体" w:cs="宋体"/>
                <w:kern w:val="0"/>
              </w:rPr>
              <w:t>31</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圆头包胶哑铃</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规格为：2.5KG--30KG(每2.5KG一个级别递增）</w:t>
            </w:r>
          </w:p>
        </w:tc>
        <w:tc>
          <w:tcPr>
            <w:tcW w:w="850" w:type="dxa"/>
            <w:vAlign w:val="center"/>
          </w:tcPr>
          <w:p>
            <w:pPr>
              <w:jc w:val="center"/>
              <w:rPr>
                <w:rFonts w:ascii="宋体" w:hAnsi="宋体" w:cs="宋体"/>
                <w:position w:val="6"/>
              </w:rPr>
            </w:pPr>
            <w:r>
              <w:rPr>
                <w:rFonts w:hint="eastAsia" w:ascii="宋体" w:hAnsi="宋体" w:cs="宋体"/>
                <w:kern w:val="0"/>
              </w:rPr>
              <w:t>KG</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390</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44" w:type="dxa"/>
            <w:vAlign w:val="center"/>
          </w:tcPr>
          <w:p>
            <w:pPr>
              <w:widowControl/>
              <w:jc w:val="right"/>
              <w:textAlignment w:val="center"/>
              <w:rPr>
                <w:rFonts w:ascii="宋体" w:hAnsi="宋体" w:cs="宋体"/>
              </w:rPr>
            </w:pPr>
            <w:r>
              <w:rPr>
                <w:rFonts w:hint="eastAsia" w:ascii="宋体" w:hAnsi="宋体" w:cs="宋体"/>
                <w:kern w:val="0"/>
              </w:rPr>
              <w:t>32</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杠铃杆</w:t>
            </w:r>
          </w:p>
        </w:tc>
        <w:tc>
          <w:tcPr>
            <w:tcW w:w="5812" w:type="dxa"/>
            <w:vAlign w:val="center"/>
          </w:tcPr>
          <w:p>
            <w:pPr>
              <w:pStyle w:val="21"/>
              <w:ind w:firstLine="0" w:firstLineChars="0"/>
              <w:rPr>
                <w:rFonts w:ascii="宋体" w:hAnsi="宋体" w:eastAsia="宋体" w:cs="宋体"/>
                <w:sz w:val="21"/>
                <w:szCs w:val="21"/>
              </w:rPr>
            </w:pPr>
            <w:r>
              <w:rPr>
                <w:rFonts w:hint="eastAsia" w:ascii="宋体" w:hAnsi="宋体" w:eastAsia="宋体" w:cs="宋体"/>
                <w:kern w:val="0"/>
                <w:szCs w:val="21"/>
                <w:shd w:val="clear" w:color="auto" w:fill="FFFFFF"/>
              </w:rPr>
              <w:t>★</w:t>
            </w:r>
            <w:r>
              <w:rPr>
                <w:rFonts w:hint="eastAsia" w:ascii="宋体" w:hAnsi="宋体" w:eastAsia="宋体" w:cs="宋体"/>
                <w:sz w:val="21"/>
                <w:szCs w:val="21"/>
              </w:rPr>
              <w:t>农夫行走异型杆，承重≥200kg，奥杆配大孔片。</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奥林匹克杠铃直杆，总长1.2m，承重≥100kg，总重6.3kg。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奥林匹克杠铃直杆，总长2.2m，承重≥300kg，总重≥20kg。</w:t>
            </w:r>
          </w:p>
          <w:p>
            <w:pPr>
              <w:pStyle w:val="21"/>
              <w:ind w:firstLine="0" w:firstLineChars="0"/>
              <w:rPr>
                <w:rFonts w:ascii="宋体" w:hAnsi="宋体" w:eastAsia="宋体" w:cs="宋体"/>
                <w:sz w:val="21"/>
                <w:szCs w:val="21"/>
              </w:rPr>
            </w:pPr>
            <w:r>
              <w:rPr>
                <w:rFonts w:hint="eastAsia" w:ascii="宋体" w:hAnsi="宋体" w:eastAsia="宋体" w:cs="宋体"/>
                <w:sz w:val="21"/>
                <w:szCs w:val="21"/>
              </w:rPr>
              <w:t>奥林匹克杠铃曲杠，总长1.2m，承重≥100k。</w:t>
            </w:r>
          </w:p>
        </w:tc>
        <w:tc>
          <w:tcPr>
            <w:tcW w:w="850" w:type="dxa"/>
            <w:vAlign w:val="center"/>
          </w:tcPr>
          <w:p>
            <w:pPr>
              <w:jc w:val="center"/>
              <w:rPr>
                <w:rFonts w:ascii="宋体" w:hAnsi="宋体" w:cs="宋体"/>
                <w:position w:val="6"/>
              </w:rPr>
            </w:pPr>
            <w:r>
              <w:rPr>
                <w:rFonts w:hint="eastAsia" w:ascii="宋体" w:hAnsi="宋体" w:cs="宋体"/>
                <w:kern w:val="0"/>
              </w:rPr>
              <w:t>根</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position w:val="6"/>
              </w:rPr>
              <w:t>4（各一根）</w:t>
            </w:r>
          </w:p>
        </w:tc>
        <w:tc>
          <w:tcPr>
            <w:tcW w:w="1560" w:type="dxa"/>
            <w:vAlign w:val="center"/>
          </w:tcPr>
          <w:p>
            <w:pPr>
              <w:shd w:val="clear" w:color="auto" w:fill="FFFFFF"/>
              <w:jc w:val="left"/>
              <w:rPr>
                <w:rFonts w:ascii="宋体" w:hAnsi="宋体" w:cs="宋体"/>
              </w:rPr>
            </w:pPr>
            <w:r>
              <w:rPr>
                <w:rFonts w:hint="eastAsia" w:ascii="宋体" w:hAnsi="宋体" w:cs="宋体"/>
              </w:rPr>
              <w:t>康力源健身器材（军霞）</w:t>
            </w:r>
          </w:p>
          <w:p>
            <w:pPr>
              <w:rPr>
                <w:rFonts w:ascii="宋体" w:hAnsi="宋体" w:cs="宋体"/>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ascii="宋体" w:hAnsi="宋体" w:cs="宋体"/>
              </w:rPr>
            </w:pPr>
            <w:r>
              <w:rPr>
                <w:rFonts w:hint="eastAsia" w:ascii="宋体" w:hAnsi="宋体" w:cs="宋体"/>
                <w:kern w:val="0"/>
              </w:rPr>
              <w:t>33</w:t>
            </w:r>
          </w:p>
        </w:tc>
        <w:tc>
          <w:tcPr>
            <w:tcW w:w="1549" w:type="dxa"/>
            <w:vAlign w:val="center"/>
          </w:tcPr>
          <w:p>
            <w:pPr>
              <w:widowControl/>
              <w:jc w:val="center"/>
              <w:textAlignment w:val="center"/>
              <w:rPr>
                <w:rFonts w:ascii="宋体" w:hAnsi="宋体" w:cs="宋体"/>
                <w:kern w:val="0"/>
              </w:rPr>
            </w:pPr>
            <w:r>
              <w:rPr>
                <w:rFonts w:hint="eastAsia" w:ascii="宋体" w:hAnsi="宋体" w:cs="宋体"/>
                <w:kern w:val="0"/>
              </w:rPr>
              <w:t>减震垫</w:t>
            </w:r>
          </w:p>
        </w:tc>
        <w:tc>
          <w:tcPr>
            <w:tcW w:w="5812" w:type="dxa"/>
            <w:vAlign w:val="center"/>
          </w:tcPr>
          <w:p>
            <w:pPr>
              <w:widowControl/>
              <w:jc w:val="left"/>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3.0cm 500*500 健身房自由重量区商用</w:t>
            </w:r>
          </w:p>
        </w:tc>
        <w:tc>
          <w:tcPr>
            <w:tcW w:w="850" w:type="dxa"/>
            <w:vAlign w:val="center"/>
          </w:tcPr>
          <w:p>
            <w:pPr>
              <w:jc w:val="center"/>
              <w:rPr>
                <w:rFonts w:ascii="宋体" w:hAnsi="宋体" w:cs="宋体"/>
                <w:position w:val="6"/>
              </w:rPr>
            </w:pPr>
            <w:r>
              <w:rPr>
                <w:rFonts w:hint="eastAsia" w:ascii="宋体" w:hAnsi="宋体" w:cs="宋体"/>
                <w:kern w:val="0"/>
              </w:rPr>
              <w:t>平米</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100</w:t>
            </w:r>
          </w:p>
        </w:tc>
        <w:tc>
          <w:tcPr>
            <w:tcW w:w="1560" w:type="dxa"/>
          </w:tcPr>
          <w:p>
            <w:pPr>
              <w:rPr>
                <w:rFonts w:ascii="宋体" w:hAnsi="宋体" w:cs="宋体"/>
                <w:position w:val="6"/>
              </w:rPr>
            </w:pPr>
            <w:r>
              <w:rPr>
                <w:rFonts w:hint="eastAsia" w:ascii="宋体" w:hAnsi="宋体" w:cs="宋体"/>
              </w:rPr>
              <w:t>迈宝赫、宝德龙</w:t>
            </w: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44" w:type="dxa"/>
            <w:vAlign w:val="center"/>
          </w:tcPr>
          <w:p>
            <w:pPr>
              <w:widowControl/>
              <w:jc w:val="right"/>
              <w:textAlignment w:val="center"/>
              <w:rPr>
                <w:rFonts w:hint="eastAsia" w:ascii="宋体" w:hAnsi="宋体" w:cs="宋体"/>
                <w:kern w:val="0"/>
              </w:rPr>
            </w:pPr>
          </w:p>
        </w:tc>
        <w:tc>
          <w:tcPr>
            <w:tcW w:w="1549" w:type="dxa"/>
            <w:vAlign w:val="center"/>
          </w:tcPr>
          <w:p>
            <w:pPr>
              <w:widowControl/>
              <w:jc w:val="center"/>
              <w:textAlignment w:val="center"/>
              <w:rPr>
                <w:rFonts w:hint="eastAsia" w:ascii="宋体" w:hAnsi="宋体" w:eastAsia="宋体" w:cs="宋体"/>
                <w:kern w:val="0"/>
                <w:lang w:eastAsia="zh-CN"/>
              </w:rPr>
            </w:pPr>
            <w:r>
              <w:rPr>
                <w:rFonts w:hint="eastAsia" w:ascii="宋体" w:hAnsi="宋体" w:cs="宋体"/>
                <w:kern w:val="0"/>
                <w:highlight w:val="yellow"/>
                <w:lang w:eastAsia="zh-CN"/>
              </w:rPr>
              <w:t>合计</w:t>
            </w:r>
          </w:p>
        </w:tc>
        <w:tc>
          <w:tcPr>
            <w:tcW w:w="5812" w:type="dxa"/>
            <w:vAlign w:val="center"/>
          </w:tcPr>
          <w:p>
            <w:pPr>
              <w:widowControl/>
              <w:jc w:val="left"/>
              <w:rPr>
                <w:rFonts w:hint="eastAsia" w:ascii="宋体" w:hAnsi="宋体" w:cs="宋体"/>
                <w:kern w:val="0"/>
                <w:shd w:val="clear" w:color="auto" w:fill="FFFFFF"/>
              </w:rPr>
            </w:pPr>
          </w:p>
        </w:tc>
        <w:tc>
          <w:tcPr>
            <w:tcW w:w="850" w:type="dxa"/>
            <w:vAlign w:val="center"/>
          </w:tcPr>
          <w:p>
            <w:pPr>
              <w:jc w:val="center"/>
              <w:rPr>
                <w:rFonts w:hint="eastAsia" w:ascii="宋体" w:hAnsi="宋体" w:cs="宋体"/>
                <w:kern w:val="0"/>
              </w:rPr>
            </w:pPr>
          </w:p>
        </w:tc>
        <w:tc>
          <w:tcPr>
            <w:tcW w:w="992" w:type="dxa"/>
            <w:vAlign w:val="center"/>
          </w:tcPr>
          <w:p>
            <w:pPr>
              <w:widowControl/>
              <w:jc w:val="center"/>
              <w:textAlignment w:val="center"/>
              <w:rPr>
                <w:rFonts w:hint="eastAsia" w:ascii="宋体" w:hAnsi="宋体" w:cs="宋体"/>
                <w:kern w:val="0"/>
              </w:rPr>
            </w:pPr>
          </w:p>
        </w:tc>
        <w:tc>
          <w:tcPr>
            <w:tcW w:w="1560" w:type="dxa"/>
          </w:tcPr>
          <w:p>
            <w:pPr>
              <w:rPr>
                <w:rFonts w:hint="eastAsia" w:ascii="宋体" w:hAnsi="宋体" w:cs="宋体"/>
              </w:rPr>
            </w:pPr>
          </w:p>
        </w:tc>
        <w:tc>
          <w:tcPr>
            <w:tcW w:w="1134" w:type="dxa"/>
            <w:vAlign w:val="center"/>
          </w:tcPr>
          <w:p>
            <w:pPr>
              <w:jc w:val="center"/>
              <w:rPr>
                <w:rFonts w:ascii="宋体" w:hAnsi="宋体" w:cs="宋体"/>
                <w:position w:val="6"/>
              </w:rPr>
            </w:pPr>
          </w:p>
        </w:tc>
        <w:tc>
          <w:tcPr>
            <w:tcW w:w="1134" w:type="dxa"/>
          </w:tcPr>
          <w:p>
            <w:pPr>
              <w:jc w:val="center"/>
              <w:rPr>
                <w:rFonts w:ascii="宋体" w:hAnsi="宋体" w:cs="宋体"/>
                <w:position w:val="6"/>
              </w:rPr>
            </w:pPr>
          </w:p>
        </w:tc>
        <w:tc>
          <w:tcPr>
            <w:tcW w:w="1134" w:type="dxa"/>
          </w:tcPr>
          <w:p>
            <w:pPr>
              <w:jc w:val="center"/>
              <w:rPr>
                <w:rFonts w:ascii="宋体" w:hAnsi="宋体" w:cs="宋体"/>
                <w:position w:val="6"/>
              </w:rPr>
            </w:pPr>
          </w:p>
        </w:tc>
      </w:tr>
    </w:tbl>
    <w:p>
      <w:pPr>
        <w:pStyle w:val="2"/>
        <w:rPr>
          <w:sz w:val="32"/>
          <w:szCs w:val="32"/>
        </w:rPr>
      </w:pPr>
      <w:r>
        <w:rPr>
          <w:rFonts w:hint="eastAsia" w:ascii="宋体" w:hAnsi="宋体" w:cs="宋体"/>
          <w:b/>
          <w:bCs/>
          <w:position w:val="6"/>
          <w:sz w:val="32"/>
          <w:szCs w:val="32"/>
        </w:rPr>
        <w:t>5、体操房</w:t>
      </w:r>
    </w:p>
    <w:tbl>
      <w:tblPr>
        <w:tblStyle w:val="23"/>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5242"/>
        <w:gridCol w:w="711"/>
        <w:gridCol w:w="992"/>
        <w:gridCol w:w="1560"/>
        <w:gridCol w:w="1134"/>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b/>
                <w:bCs/>
              </w:rPr>
            </w:pPr>
            <w:r>
              <w:rPr>
                <w:rFonts w:hint="eastAsia" w:ascii="宋体" w:hAnsi="宋体" w:cs="宋体"/>
                <w:b/>
                <w:bCs/>
                <w:kern w:val="0"/>
              </w:rPr>
              <w:t>序号</w:t>
            </w:r>
          </w:p>
        </w:tc>
        <w:tc>
          <w:tcPr>
            <w:tcW w:w="2258" w:type="dxa"/>
            <w:vAlign w:val="center"/>
          </w:tcPr>
          <w:p>
            <w:pPr>
              <w:widowControl/>
              <w:jc w:val="center"/>
              <w:textAlignment w:val="center"/>
              <w:rPr>
                <w:rFonts w:ascii="宋体" w:hAnsi="宋体" w:cs="宋体"/>
                <w:b/>
                <w:bCs/>
              </w:rPr>
            </w:pPr>
            <w:r>
              <w:rPr>
                <w:rFonts w:hint="eastAsia" w:ascii="宋体" w:hAnsi="宋体" w:cs="宋体"/>
                <w:b/>
                <w:bCs/>
                <w:kern w:val="0"/>
              </w:rPr>
              <w:t>货物名称</w:t>
            </w:r>
          </w:p>
        </w:tc>
        <w:tc>
          <w:tcPr>
            <w:tcW w:w="5242" w:type="dxa"/>
            <w:vAlign w:val="center"/>
          </w:tcPr>
          <w:p>
            <w:pPr>
              <w:widowControl/>
              <w:jc w:val="center"/>
              <w:textAlignment w:val="center"/>
              <w:rPr>
                <w:rFonts w:ascii="宋体" w:hAnsi="宋体" w:cs="宋体"/>
                <w:b/>
                <w:bCs/>
              </w:rPr>
            </w:pPr>
            <w:r>
              <w:rPr>
                <w:rFonts w:hint="eastAsia" w:ascii="宋体" w:hAnsi="宋体" w:cs="宋体"/>
                <w:b/>
                <w:bCs/>
                <w:kern w:val="0"/>
              </w:rPr>
              <w:t>技术参数</w:t>
            </w:r>
          </w:p>
        </w:tc>
        <w:tc>
          <w:tcPr>
            <w:tcW w:w="711" w:type="dxa"/>
            <w:vAlign w:val="center"/>
          </w:tcPr>
          <w:p>
            <w:pPr>
              <w:widowControl/>
              <w:jc w:val="center"/>
              <w:textAlignment w:val="center"/>
              <w:rPr>
                <w:rFonts w:ascii="宋体" w:hAnsi="宋体" w:cs="宋体"/>
                <w:b/>
                <w:bCs/>
              </w:rPr>
            </w:pPr>
            <w:r>
              <w:rPr>
                <w:rFonts w:hint="eastAsia" w:ascii="宋体" w:hAnsi="宋体" w:cs="宋体"/>
                <w:b/>
                <w:bCs/>
                <w:kern w:val="0"/>
              </w:rPr>
              <w:t>单位</w:t>
            </w:r>
          </w:p>
        </w:tc>
        <w:tc>
          <w:tcPr>
            <w:tcW w:w="992" w:type="dxa"/>
            <w:vAlign w:val="center"/>
          </w:tcPr>
          <w:p>
            <w:pPr>
              <w:widowControl/>
              <w:jc w:val="center"/>
              <w:textAlignment w:val="center"/>
              <w:rPr>
                <w:rFonts w:ascii="宋体" w:hAnsi="宋体" w:cs="宋体"/>
                <w:b/>
                <w:bCs/>
              </w:rPr>
            </w:pPr>
            <w:r>
              <w:rPr>
                <w:rFonts w:hint="eastAsia" w:ascii="宋体" w:hAnsi="宋体" w:cs="宋体"/>
                <w:b/>
                <w:bCs/>
                <w:kern w:val="0"/>
              </w:rPr>
              <w:t>数量</w:t>
            </w:r>
          </w:p>
        </w:tc>
        <w:tc>
          <w:tcPr>
            <w:tcW w:w="1560" w:type="dxa"/>
            <w:vAlign w:val="center"/>
          </w:tcPr>
          <w:p>
            <w:pPr>
              <w:widowControl/>
              <w:jc w:val="center"/>
              <w:textAlignment w:val="center"/>
              <w:rPr>
                <w:rFonts w:ascii="宋体" w:hAnsi="宋体" w:cs="宋体"/>
                <w:b/>
                <w:bCs/>
              </w:rPr>
            </w:pPr>
            <w:r>
              <w:rPr>
                <w:rFonts w:hint="eastAsia" w:ascii="宋体" w:hAnsi="宋体" w:cs="宋体"/>
                <w:b/>
                <w:bCs/>
                <w:kern w:val="0"/>
              </w:rPr>
              <w:t>参考品牌</w:t>
            </w:r>
          </w:p>
        </w:tc>
        <w:tc>
          <w:tcPr>
            <w:tcW w:w="1134" w:type="dxa"/>
            <w:vAlign w:val="center"/>
          </w:tcPr>
          <w:p>
            <w:pPr>
              <w:widowControl/>
              <w:jc w:val="center"/>
              <w:textAlignment w:val="center"/>
              <w:rPr>
                <w:rFonts w:ascii="宋体" w:hAnsi="宋体" w:cs="宋体"/>
                <w:b/>
                <w:bCs/>
              </w:rPr>
            </w:pPr>
            <w:r>
              <w:rPr>
                <w:rFonts w:hint="eastAsia" w:ascii="宋体" w:hAnsi="宋体" w:cs="宋体"/>
                <w:b/>
                <w:bCs/>
                <w:kern w:val="0"/>
              </w:rPr>
              <w:t>单价（元）</w:t>
            </w:r>
          </w:p>
        </w:tc>
        <w:tc>
          <w:tcPr>
            <w:tcW w:w="992" w:type="dxa"/>
          </w:tcPr>
          <w:p>
            <w:pPr>
              <w:widowControl/>
              <w:jc w:val="center"/>
              <w:textAlignment w:val="center"/>
              <w:rPr>
                <w:rFonts w:ascii="宋体" w:hAnsi="宋体" w:cs="宋体"/>
                <w:b/>
                <w:bCs/>
                <w:kern w:val="0"/>
              </w:rPr>
            </w:pPr>
            <w:r>
              <w:rPr>
                <w:rFonts w:hint="eastAsia" w:ascii="宋体" w:hAnsi="宋体" w:cs="宋体"/>
                <w:b/>
                <w:bCs/>
                <w:kern w:val="0"/>
              </w:rPr>
              <w:t>总价（元）</w:t>
            </w:r>
          </w:p>
        </w:tc>
        <w:tc>
          <w:tcPr>
            <w:tcW w:w="992" w:type="dxa"/>
          </w:tcPr>
          <w:p>
            <w:pPr>
              <w:widowControl/>
              <w:jc w:val="center"/>
              <w:textAlignment w:val="center"/>
              <w:rPr>
                <w:rFonts w:ascii="宋体" w:hAnsi="宋体" w:cs="宋体"/>
                <w:b/>
                <w:bCs/>
                <w:kern w:val="0"/>
              </w:rPr>
            </w:pPr>
            <w:r>
              <w:rPr>
                <w:rFonts w:hint="eastAsia" w:ascii="宋体" w:hAnsi="宋体" w:cs="宋体"/>
                <w:b/>
                <w:bCs/>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16*16自由体操场地</w:t>
            </w:r>
          </w:p>
        </w:tc>
        <w:tc>
          <w:tcPr>
            <w:tcW w:w="5242" w:type="dxa"/>
            <w:vAlign w:val="center"/>
          </w:tcPr>
          <w:p>
            <w:pPr>
              <w:widowControl/>
              <w:jc w:val="left"/>
              <w:rPr>
                <w:rFonts w:ascii="宋体" w:hAnsi="宋体" w:cs="宋体"/>
                <w:kern w:val="0"/>
              </w:rPr>
            </w:pPr>
            <w:r>
              <w:rPr>
                <w:rFonts w:hint="eastAsia" w:ascii="宋体" w:hAnsi="宋体" w:cs="宋体"/>
                <w:lang w:val="zh-CN"/>
              </w:rPr>
              <w:t>艺术体操场地与自由体操场地相近似。</w:t>
            </w:r>
            <w:r>
              <w:rPr>
                <w:rFonts w:hint="eastAsia" w:ascii="宋体" w:hAnsi="宋体" w:cs="宋体"/>
              </w:rPr>
              <w:t>▲</w:t>
            </w:r>
            <w:r>
              <w:rPr>
                <w:rFonts w:hint="eastAsia" w:ascii="宋体" w:hAnsi="宋体" w:cs="宋体"/>
                <w:lang w:val="zh-CN"/>
              </w:rPr>
              <w:t>场地上铺一层地毯，地毯下面有一层弹性适中的衬垫。</w:t>
            </w:r>
            <w:r>
              <w:rPr>
                <w:rFonts w:hint="eastAsia" w:ascii="宋体" w:hAnsi="宋体" w:cs="宋体"/>
                <w:kern w:val="0"/>
                <w:shd w:val="clear" w:color="auto" w:fill="FFFFFF"/>
              </w:rPr>
              <w:t>★</w:t>
            </w:r>
            <w:r>
              <w:rPr>
                <w:rFonts w:hint="eastAsia" w:ascii="宋体" w:hAnsi="宋体" w:cs="宋体"/>
                <w:lang w:val="zh-CN"/>
              </w:rPr>
              <w:t>比赛场地1</w:t>
            </w:r>
            <w:r>
              <w:rPr>
                <w:rFonts w:hint="eastAsia" w:ascii="宋体" w:hAnsi="宋体" w:cs="宋体"/>
              </w:rPr>
              <w:t>6</w:t>
            </w:r>
            <w:r>
              <w:rPr>
                <w:rFonts w:hint="eastAsia" w:ascii="宋体" w:hAnsi="宋体" w:cs="宋体"/>
                <w:lang w:val="zh-CN"/>
              </w:rPr>
              <w:t>米×1</w:t>
            </w:r>
            <w:r>
              <w:rPr>
                <w:rFonts w:hint="eastAsia" w:ascii="宋体" w:hAnsi="宋体" w:cs="宋体"/>
              </w:rPr>
              <w:t>6</w:t>
            </w:r>
            <w:r>
              <w:rPr>
                <w:rFonts w:hint="eastAsia" w:ascii="宋体" w:hAnsi="宋体" w:cs="宋体"/>
                <w:lang w:val="zh-CN"/>
              </w:rPr>
              <w:t>米，场地四周设有安全区域。</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pStyle w:val="4"/>
              <w:shd w:val="clear" w:color="auto" w:fill="FFFFFF"/>
              <w:tabs>
                <w:tab w:val="left" w:pos="576"/>
              </w:tabs>
              <w:spacing w:line="240" w:lineRule="auto"/>
              <w:jc w:val="left"/>
              <w:rPr>
                <w:rFonts w:ascii="宋体" w:hAnsi="宋体" w:eastAsia="宋体" w:cs="宋体"/>
                <w:b w:val="0"/>
                <w:sz w:val="21"/>
                <w:szCs w:val="21"/>
                <w:lang w:val="zh-CN"/>
              </w:rPr>
            </w:pPr>
            <w:r>
              <w:rPr>
                <w:rFonts w:hint="eastAsia" w:ascii="宋体" w:hAnsi="宋体" w:eastAsia="宋体" w:cs="宋体"/>
                <w:b w:val="0"/>
                <w:sz w:val="21"/>
                <w:szCs w:val="21"/>
                <w:lang w:val="zh-CN"/>
              </w:rPr>
              <w:t>金陵、</w:t>
            </w:r>
          </w:p>
          <w:p>
            <w:pPr>
              <w:pStyle w:val="4"/>
              <w:shd w:val="clear" w:color="auto" w:fill="FFFFFF"/>
              <w:tabs>
                <w:tab w:val="left" w:pos="576"/>
              </w:tabs>
              <w:spacing w:line="240" w:lineRule="auto"/>
              <w:jc w:val="left"/>
              <w:rPr>
                <w:rFonts w:ascii="宋体" w:hAnsi="宋体" w:eastAsia="宋体" w:cs="宋体"/>
                <w:sz w:val="21"/>
                <w:szCs w:val="21"/>
                <w:lang w:val="zh-CN"/>
              </w:rPr>
            </w:pPr>
            <w:r>
              <w:rPr>
                <w:rFonts w:hint="eastAsia" w:ascii="宋体" w:hAnsi="宋体" w:eastAsia="宋体" w:cs="宋体"/>
                <w:b w:val="0"/>
                <w:sz w:val="21"/>
                <w:szCs w:val="21"/>
                <w:lang w:val="zh-CN"/>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2</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可调节双杠</w:t>
            </w:r>
          </w:p>
        </w:tc>
        <w:tc>
          <w:tcPr>
            <w:tcW w:w="5242" w:type="dxa"/>
          </w:tcPr>
          <w:p>
            <w:pPr>
              <w:rPr>
                <w:rFonts w:ascii="宋体" w:hAnsi="宋体" w:cs="宋体"/>
                <w:kern w:val="0"/>
              </w:rPr>
            </w:pPr>
            <w:r>
              <w:rPr>
                <w:rFonts w:hint="eastAsia" w:ascii="宋体" w:hAnsi="宋体" w:cs="宋体"/>
                <w:kern w:val="0"/>
              </w:rPr>
              <w:t>动式分底座 立柱 杠面三部分。</w:t>
            </w:r>
            <w:r>
              <w:rPr>
                <w:rFonts w:hint="eastAsia" w:ascii="宋体" w:hAnsi="宋体" w:cs="宋体"/>
                <w:kern w:val="0"/>
                <w:shd w:val="clear" w:color="auto" w:fill="FFFFFF"/>
              </w:rPr>
              <w:t>★</w:t>
            </w:r>
            <w:r>
              <w:rPr>
                <w:rFonts w:hint="eastAsia" w:ascii="宋体" w:hAnsi="宋体" w:cs="宋体"/>
                <w:kern w:val="0"/>
              </w:rPr>
              <w:t>全套重≥145kg，可调高度1300--1700mm，两杠面间距420mm--620mm可调。</w:t>
            </w:r>
          </w:p>
          <w:p>
            <w:pPr>
              <w:rPr>
                <w:rFonts w:ascii="宋体" w:hAnsi="宋体" w:cs="宋体"/>
                <w:kern w:val="0"/>
              </w:rPr>
            </w:pPr>
            <w:r>
              <w:rPr>
                <w:rFonts w:hint="eastAsia" w:ascii="宋体" w:hAnsi="宋体" w:cs="宋体"/>
                <w:kern w:val="0"/>
              </w:rPr>
              <w:t>底座采用50mm*100mm的U型钢焊接而成，宽1200mm，长2800mm，厚4mm。立柱由铸件 钢管 实心钢组合而成。钢管直径42mm，厚3mm。内生降杆为直径30mm冷拔钢，长600mm，镀锌。</w:t>
            </w:r>
          </w:p>
          <w:p>
            <w:pPr>
              <w:widowControl/>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杠面长3500mm，重≥35kg。内附直径25mm弹簧钢，外包高压聚乙烯塑料，断面为鸭蛋圆形。</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rPr>
                <w:rFonts w:ascii="宋体" w:hAnsi="宋体" w:cs="宋体"/>
                <w:spacing w:val="-6"/>
              </w:rPr>
            </w:pPr>
            <w:r>
              <w:rPr>
                <w:rFonts w:hint="eastAsia" w:ascii="宋体" w:hAnsi="宋体" w:cs="宋体"/>
              </w:rPr>
              <w:t>金</w:t>
            </w:r>
            <w:r>
              <w:rPr>
                <w:rFonts w:hint="eastAsia" w:ascii="宋体" w:hAnsi="宋体" w:cs="宋体"/>
                <w:spacing w:val="-6"/>
              </w:rPr>
              <w:t>陵、</w:t>
            </w:r>
          </w:p>
          <w:p>
            <w:pPr>
              <w:rPr>
                <w:rFonts w:ascii="宋体" w:hAnsi="宋体" w:cs="宋体"/>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3</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高单杠</w:t>
            </w:r>
          </w:p>
        </w:tc>
        <w:tc>
          <w:tcPr>
            <w:tcW w:w="5242" w:type="dxa"/>
            <w:vAlign w:val="center"/>
          </w:tcPr>
          <w:p>
            <w:pPr>
              <w:rPr>
                <w:rFonts w:ascii="宋体" w:hAnsi="宋体" w:cs="宋体"/>
              </w:rPr>
            </w:pPr>
            <w:r>
              <w:rPr>
                <w:rFonts w:hint="eastAsia" w:ascii="宋体" w:hAnsi="宋体" w:cs="宋体"/>
              </w:rPr>
              <w:t>调节范围2.55～2.85m</w:t>
            </w:r>
          </w:p>
          <w:p>
            <w:pPr>
              <w:rPr>
                <w:rFonts w:ascii="宋体" w:hAnsi="宋体" w:cs="宋体"/>
              </w:rPr>
            </w:pPr>
            <w:r>
              <w:rPr>
                <w:rFonts w:hint="eastAsia" w:ascii="宋体" w:hAnsi="宋体" w:cs="宋体"/>
              </w:rPr>
              <w:t>预埋件另配（万向预埋件）4只/副</w:t>
            </w:r>
          </w:p>
          <w:p>
            <w:pPr>
              <w:rPr>
                <w:rFonts w:ascii="宋体" w:hAnsi="宋体" w:cs="宋体"/>
              </w:rPr>
            </w:pPr>
            <w:r>
              <w:rPr>
                <w:rFonts w:hint="eastAsia" w:ascii="宋体" w:hAnsi="宋体" w:cs="宋体"/>
              </w:rPr>
              <w:t>1、单杠为升降式，由杠面、内外立柱、底座和固定拉线等组成。</w:t>
            </w:r>
          </w:p>
          <w:p>
            <w:pPr>
              <w:rPr>
                <w:rFonts w:ascii="宋体" w:hAnsi="宋体" w:cs="宋体"/>
                <w:spacing w:val="-6"/>
              </w:rPr>
            </w:pPr>
            <w:r>
              <w:rPr>
                <w:rFonts w:hint="eastAsia" w:ascii="宋体" w:hAnsi="宋体" w:cs="宋体"/>
              </w:rPr>
              <w:t>2、</w:t>
            </w:r>
            <w:r>
              <w:rPr>
                <w:rFonts w:hint="eastAsia" w:ascii="宋体" w:hAnsi="宋体" w:cs="宋体"/>
                <w:spacing w:val="-6"/>
              </w:rPr>
              <w:t>单杠杠面长2430mm，采用Φ28弹簧钢制作，具有一定的弹性与韧性。</w:t>
            </w:r>
          </w:p>
          <w:p>
            <w:pPr>
              <w:rPr>
                <w:rFonts w:ascii="宋体" w:hAnsi="宋体" w:cs="宋体"/>
              </w:rPr>
            </w:pPr>
            <w:r>
              <w:rPr>
                <w:rFonts w:hint="eastAsia" w:ascii="宋体" w:hAnsi="宋体" w:cs="宋体"/>
              </w:rPr>
              <w:t>▲3、单杠立柱由内外立柱组成，外立柱采用Φ51×4无缝管制作，内立柱采用Φ40×5无缝管制作，外立柱设有调节锁紧机构，内立柱每100mm设一调节档，杠面高度调节范围：1500—2600mm之间。</w:t>
            </w:r>
          </w:p>
          <w:p>
            <w:pPr>
              <w:rPr>
                <w:rFonts w:ascii="宋体" w:hAnsi="宋体" w:cs="宋体"/>
              </w:rPr>
            </w:pPr>
            <w:r>
              <w:rPr>
                <w:rFonts w:hint="eastAsia" w:ascii="宋体" w:hAnsi="宋体" w:cs="宋体"/>
              </w:rPr>
              <w:t>4、单杠底座采用镀铬件，设置有橡胶垫块，保持产品在使用过程中有良好的平衡性和抗震性。</w:t>
            </w:r>
          </w:p>
          <w:p>
            <w:pPr>
              <w:rPr>
                <w:rFonts w:ascii="宋体" w:hAnsi="宋体" w:cs="宋体"/>
              </w:rPr>
            </w:pPr>
            <w:r>
              <w:rPr>
                <w:rFonts w:hint="eastAsia" w:ascii="宋体" w:hAnsi="宋体" w:cs="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rPr>
                <w:rFonts w:ascii="宋体" w:hAnsi="宋体" w:cs="宋体"/>
                <w:spacing w:val="-6"/>
              </w:rPr>
            </w:pPr>
            <w:r>
              <w:rPr>
                <w:rFonts w:hint="eastAsia" w:ascii="宋体" w:hAnsi="宋体" w:cs="宋体"/>
                <w:spacing w:val="-6"/>
              </w:rPr>
              <w:t>金陵、</w:t>
            </w:r>
          </w:p>
          <w:p>
            <w:pPr>
              <w:rPr>
                <w:rFonts w:ascii="宋体" w:hAnsi="宋体" w:cs="宋体"/>
                <w:position w:val="6"/>
              </w:rPr>
            </w:pPr>
            <w:r>
              <w:rPr>
                <w:rFonts w:hint="eastAsia" w:ascii="宋体" w:hAnsi="宋体" w:cs="宋体"/>
                <w:spacing w:val="-6"/>
              </w:rPr>
              <w:t>吉诺尔、新起点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4</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低单杠</w:t>
            </w:r>
          </w:p>
        </w:tc>
        <w:tc>
          <w:tcPr>
            <w:tcW w:w="5242" w:type="dxa"/>
            <w:vAlign w:val="center"/>
          </w:tcPr>
          <w:p>
            <w:pPr>
              <w:rPr>
                <w:rFonts w:ascii="宋体" w:hAnsi="宋体"/>
              </w:rPr>
            </w:pPr>
            <w:r>
              <w:rPr>
                <w:rFonts w:hint="eastAsia" w:ascii="宋体" w:hAnsi="宋体"/>
              </w:rPr>
              <w:t>调节范围1.5～2.6m</w:t>
            </w:r>
          </w:p>
          <w:p>
            <w:pPr>
              <w:rPr>
                <w:rFonts w:ascii="宋体" w:hAnsi="宋体"/>
              </w:rPr>
            </w:pPr>
            <w:r>
              <w:rPr>
                <w:rFonts w:hint="eastAsia" w:ascii="宋体" w:hAnsi="宋体"/>
              </w:rPr>
              <w:t>预埋件另配（万向预埋件）4只/副</w:t>
            </w:r>
          </w:p>
          <w:p>
            <w:pPr>
              <w:rPr>
                <w:rFonts w:ascii="宋体" w:hAnsi="宋体"/>
              </w:rPr>
            </w:pPr>
            <w:r>
              <w:rPr>
                <w:rFonts w:hint="eastAsia" w:ascii="宋体" w:hAnsi="宋体"/>
              </w:rPr>
              <w:t>1、单杠为升降式，由杠面、内外立柱、底座和固定拉线等组成。</w:t>
            </w:r>
          </w:p>
          <w:p>
            <w:pPr>
              <w:rPr>
                <w:rFonts w:ascii="宋体" w:hAnsi="宋体"/>
                <w:spacing w:val="-6"/>
              </w:rPr>
            </w:pPr>
            <w:r>
              <w:rPr>
                <w:rFonts w:hint="eastAsia" w:ascii="宋体" w:hAnsi="宋体" w:cs="宋体"/>
                <w:kern w:val="0"/>
                <w:shd w:val="clear" w:color="auto" w:fill="FFFFFF"/>
              </w:rPr>
              <w:t>★</w:t>
            </w:r>
            <w:r>
              <w:rPr>
                <w:rFonts w:hint="eastAsia" w:ascii="宋体" w:hAnsi="宋体"/>
              </w:rPr>
              <w:t>2、</w:t>
            </w:r>
            <w:r>
              <w:rPr>
                <w:rFonts w:hint="eastAsia" w:ascii="宋体" w:hAnsi="宋体"/>
                <w:spacing w:val="-6"/>
              </w:rPr>
              <w:t>单杠杠面长2430mm，采用Φ28弹簧钢制作，具有一定的弹性与韧性。</w:t>
            </w:r>
          </w:p>
          <w:p>
            <w:pPr>
              <w:rPr>
                <w:rFonts w:ascii="宋体" w:hAnsi="宋体"/>
              </w:rPr>
            </w:pPr>
            <w:r>
              <w:rPr>
                <w:rFonts w:hint="eastAsia"/>
                <w:sz w:val="24"/>
                <w:szCs w:val="24"/>
              </w:rPr>
              <w:t>▲</w:t>
            </w:r>
            <w:r>
              <w:rPr>
                <w:rFonts w:hint="eastAsia" w:ascii="宋体" w:hAnsi="宋体"/>
              </w:rPr>
              <w:t>3、单杠立柱由内外立柱组成，外立柱采用Φ51×4无缝管制作，内立柱采用Φ40×5无缝管制作，外立柱设有调节锁紧机构，内立柱每100mm设一调节档，杠面高度调节范围：1500</w:t>
            </w:r>
            <w:r>
              <w:rPr>
                <w:rFonts w:ascii="宋体" w:hAnsi="宋体"/>
              </w:rPr>
              <w:t>—</w:t>
            </w:r>
            <w:r>
              <w:rPr>
                <w:rFonts w:hint="eastAsia" w:ascii="宋体" w:hAnsi="宋体"/>
              </w:rPr>
              <w:t>2600mm之间。</w:t>
            </w:r>
          </w:p>
          <w:p>
            <w:pPr>
              <w:rPr>
                <w:rFonts w:ascii="宋体" w:hAnsi="宋体"/>
              </w:rPr>
            </w:pPr>
            <w:r>
              <w:rPr>
                <w:rFonts w:hint="eastAsia" w:ascii="宋体" w:hAnsi="宋体"/>
              </w:rPr>
              <w:t>4、单杠底座采用镀铬件，设置有橡胶垫块，保持产品在使用过程中有良好的平衡性和抗震性。</w:t>
            </w:r>
          </w:p>
          <w:p>
            <w:pPr>
              <w:rPr>
                <w:rFonts w:ascii="宋体" w:hAnsi="宋体"/>
              </w:rPr>
            </w:pPr>
            <w:r>
              <w:rPr>
                <w:rFonts w:hint="eastAsia" w:ascii="宋体" w:hAnsi="宋体"/>
              </w:rPr>
              <w:t>5、单杠经四根钢丝固定拉线与专用体操预埋件连接，拉线配有花篮螺丝，通过调节，使单杠立柱与地面垂直稳固。</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position w:val="6"/>
              </w:rPr>
            </w:pPr>
            <w:r>
              <w:rPr>
                <w:rFonts w:hint="eastAsia" w:ascii="宋体" w:hAnsi="宋体" w:cs="宋体"/>
                <w:position w:val="6"/>
              </w:rPr>
              <w:t>金陵、吉诺尔</w:t>
            </w:r>
          </w:p>
          <w:p>
            <w:pPr>
              <w:widowControl/>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5</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跳马（比赛款）</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1、跳马由马身、立柱和底座三部分组成，跳马整体高度可调，调节范围：1150-1500mm。</w:t>
            </w:r>
          </w:p>
          <w:p>
            <w:pPr>
              <w:autoSpaceDE w:val="0"/>
              <w:autoSpaceDN w:val="0"/>
              <w:adjustRightInd w:val="0"/>
              <w:rPr>
                <w:rFonts w:ascii="宋体" w:hAnsi="宋体" w:cs="宋体"/>
              </w:rPr>
            </w:pPr>
            <w:r>
              <w:rPr>
                <w:rFonts w:hint="eastAsia" w:ascii="宋体" w:hAnsi="宋体" w:cs="宋体"/>
                <w:kern w:val="0"/>
                <w:shd w:val="clear" w:color="auto" w:fill="FFFFFF"/>
              </w:rPr>
              <w:t>★</w:t>
            </w:r>
            <w:r>
              <w:rPr>
                <w:rFonts w:hint="eastAsia" w:ascii="宋体" w:hAnsi="宋体" w:cs="宋体"/>
              </w:rPr>
              <w:t>2、马身为弹性件，</w:t>
            </w:r>
            <w:r>
              <w:rPr>
                <w:rFonts w:hint="eastAsia" w:ascii="宋体" w:hAnsi="宋体" w:cs="宋体"/>
                <w:lang w:val="zh-CN"/>
              </w:rPr>
              <w:t>垫子厚约120mm,由玻璃钢层、EVA缓冲方块、EVA柔性层和表层皮革组成，</w:t>
            </w:r>
            <w:r>
              <w:rPr>
                <w:rFonts w:hint="eastAsia" w:ascii="宋体" w:hAnsi="宋体" w:cs="宋体"/>
              </w:rPr>
              <w:t>马身底部配有固定链子，通过花篮螺栓紧固，使跳马立于地板面不致以晃动。</w:t>
            </w:r>
          </w:p>
          <w:p>
            <w:pPr>
              <w:rPr>
                <w:rFonts w:ascii="宋体" w:hAnsi="宋体" w:cs="宋体"/>
              </w:rPr>
            </w:pPr>
            <w:r>
              <w:rPr>
                <w:rFonts w:hint="eastAsia" w:ascii="宋体" w:hAnsi="宋体" w:cs="宋体"/>
              </w:rPr>
              <w:t>3、跳马内外立柱均采用无缝管制作，设有高度调节和锁紧机构，具有调节灵活，锁紧可靠等优点。</w:t>
            </w:r>
          </w:p>
          <w:p>
            <w:pPr>
              <w:rPr>
                <w:rFonts w:ascii="宋体" w:hAnsi="宋体" w:cs="宋体"/>
              </w:rPr>
            </w:pPr>
            <w:r>
              <w:rPr>
                <w:rFonts w:hint="eastAsia" w:ascii="宋体" w:hAnsi="宋体" w:cs="宋体"/>
              </w:rPr>
              <w:t>4、跳马底座采用矩形方管制作，底部设有4个调节脚，可微调，便于因地坪不平整而影响跳马的整体稳定性。</w:t>
            </w:r>
          </w:p>
          <w:p>
            <w:pPr>
              <w:pStyle w:val="21"/>
              <w:ind w:firstLine="0" w:firstLineChars="0"/>
              <w:rPr>
                <w:rFonts w:ascii="宋体" w:hAnsi="宋体" w:eastAsia="宋体" w:cs="宋体"/>
                <w:sz w:val="21"/>
                <w:szCs w:val="21"/>
              </w:rPr>
            </w:pPr>
            <w:r>
              <w:rPr>
                <w:rFonts w:hint="eastAsia" w:ascii="宋体" w:hAnsi="宋体" w:eastAsia="宋体" w:cs="宋体"/>
                <w:sz w:val="21"/>
                <w:szCs w:val="21"/>
              </w:rPr>
              <w:t>5、外型为国际体联认定形状。</w:t>
            </w:r>
          </w:p>
        </w:tc>
        <w:tc>
          <w:tcPr>
            <w:tcW w:w="711" w:type="dxa"/>
            <w:vAlign w:val="center"/>
          </w:tcPr>
          <w:p>
            <w:pPr>
              <w:jc w:val="center"/>
              <w:rPr>
                <w:rFonts w:ascii="宋体" w:hAnsi="宋体" w:cs="宋体"/>
                <w:position w:val="6"/>
              </w:rPr>
            </w:pPr>
            <w:r>
              <w:rPr>
                <w:rFonts w:hint="eastAsia" w:ascii="宋体" w:hAnsi="宋体" w:cs="宋体"/>
                <w:position w:val="6"/>
              </w:rPr>
              <w:t>台</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p>
          <w:p>
            <w:pPr>
              <w:widowControl/>
              <w:jc w:val="left"/>
              <w:rPr>
                <w:rFonts w:ascii="宋体" w:hAnsi="宋体" w:cs="宋体"/>
                <w:position w:val="6"/>
              </w:rPr>
            </w:pPr>
            <w:r>
              <w:rPr>
                <w:rFonts w:hint="eastAsia" w:ascii="宋体" w:hAnsi="宋体" w:cs="宋体"/>
                <w:position w:val="6"/>
              </w:rPr>
              <w:t>吉诺尔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6</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跳箱</w:t>
            </w:r>
          </w:p>
        </w:tc>
        <w:tc>
          <w:tcPr>
            <w:tcW w:w="5242" w:type="dxa"/>
            <w:vAlign w:val="center"/>
          </w:tcPr>
          <w:p>
            <w:pPr>
              <w:rPr>
                <w:rFonts w:ascii="宋体" w:hAnsi="宋体" w:cs="宋体"/>
              </w:rPr>
            </w:pPr>
            <w:r>
              <w:rPr>
                <w:rFonts w:hint="eastAsia"/>
                <w:sz w:val="24"/>
                <w:szCs w:val="24"/>
              </w:rPr>
              <w:t>▲</w:t>
            </w:r>
            <w:r>
              <w:rPr>
                <w:rFonts w:hint="eastAsia" w:ascii="宋体" w:hAnsi="宋体" w:cs="宋体"/>
              </w:rPr>
              <w:t>1、跳箱外形尺寸：长x宽x高=1300x780x1250mm。</w:t>
            </w:r>
          </w:p>
          <w:p>
            <w:pPr>
              <w:rPr>
                <w:rFonts w:ascii="宋体" w:hAnsi="宋体" w:cs="宋体"/>
              </w:rPr>
            </w:pPr>
            <w:r>
              <w:rPr>
                <w:rFonts w:hint="eastAsia" w:ascii="宋体" w:hAnsi="宋体" w:cs="宋体"/>
              </w:rPr>
              <w:t>2、箱体七级，长1300mm,从上至下逐渐增大成梯形，第一级含箱盖高为350mm，第二至第七级，每级高为150mm。</w:t>
            </w:r>
          </w:p>
          <w:p>
            <w:pPr>
              <w:rPr>
                <w:rFonts w:ascii="宋体" w:hAnsi="宋体" w:cs="宋体"/>
              </w:rPr>
            </w:pPr>
            <w:r>
              <w:rPr>
                <w:rFonts w:hint="eastAsia" w:ascii="宋体" w:hAnsi="宋体" w:cs="宋体"/>
              </w:rPr>
              <w:t>3、跳箱盖平整，软硬适宜，手感舒适，用重体海绵做成弧形，表面用优质人造革包制，泡钉封口，级间用内撑木插联组合。各层结合平直、稳定牢固，接地面平稳。</w:t>
            </w:r>
          </w:p>
          <w:p>
            <w:pPr>
              <w:rPr>
                <w:rFonts w:ascii="宋体" w:hAnsi="宋体" w:cs="宋体"/>
              </w:rPr>
            </w:pPr>
            <w:r>
              <w:rPr>
                <w:rFonts w:hint="eastAsia" w:ascii="宋体" w:hAnsi="宋体" w:cs="宋体"/>
              </w:rPr>
              <w:t>4、跳箱采用木质制成，之间拼装采用燕尾槽，每级箱体组合用4根20x20的木柱插接，木柱出头高45mm，箱体每级衔接平整、紧凑。</w:t>
            </w:r>
          </w:p>
          <w:p>
            <w:pPr>
              <w:rPr>
                <w:rFonts w:ascii="宋体" w:hAnsi="宋体" w:cs="宋体"/>
              </w:rPr>
            </w:pPr>
            <w:r>
              <w:rPr>
                <w:rFonts w:hint="eastAsia" w:ascii="宋体" w:hAnsi="宋体" w:cs="宋体"/>
              </w:rPr>
              <w:t>5、箱体材料均用18-20mm厚的层压板，表面作漆层处理。</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widowControl/>
              <w:jc w:val="left"/>
              <w:rPr>
                <w:rFonts w:ascii="宋体" w:hAnsi="宋体" w:cs="宋体"/>
                <w:position w:val="6"/>
              </w:rPr>
            </w:pPr>
            <w:r>
              <w:rPr>
                <w:rFonts w:hint="eastAsia" w:ascii="宋体" w:hAnsi="宋体" w:cs="宋体"/>
                <w:position w:val="6"/>
              </w:rPr>
              <w:t>金陵、</w:t>
            </w:r>
            <w:r>
              <w:rPr>
                <w:rFonts w:hint="eastAsia" w:ascii="宋体" w:hAnsi="宋体" w:cs="宋体"/>
                <w:b/>
                <w:position w:val="6"/>
              </w:rPr>
              <w:t>吉</w:t>
            </w:r>
            <w:r>
              <w:rPr>
                <w:rFonts w:hint="eastAsia" w:ascii="宋体" w:hAnsi="宋体" w:cs="宋体"/>
                <w:position w:val="6"/>
              </w:rPr>
              <w:t>诺尔</w:t>
            </w:r>
          </w:p>
          <w:p>
            <w:pPr>
              <w:widowControl/>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7</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山羊</w:t>
            </w:r>
          </w:p>
        </w:tc>
        <w:tc>
          <w:tcPr>
            <w:tcW w:w="5242" w:type="dxa"/>
            <w:vAlign w:val="center"/>
          </w:tcPr>
          <w:p>
            <w:pPr>
              <w:rPr>
                <w:rFonts w:ascii="宋体" w:hAnsi="宋体" w:cs="宋体"/>
              </w:rPr>
            </w:pPr>
            <w:r>
              <w:rPr>
                <w:rFonts w:hint="eastAsia"/>
                <w:sz w:val="24"/>
                <w:szCs w:val="24"/>
              </w:rPr>
              <w:t>▲</w:t>
            </w:r>
            <w:r>
              <w:rPr>
                <w:rFonts w:hint="eastAsia" w:ascii="宋体" w:hAnsi="宋体" w:cs="宋体"/>
              </w:rPr>
              <w:t>1、山羊由箱体和四脚构成，高度可调范围：1000-1300mm。</w:t>
            </w:r>
          </w:p>
          <w:p>
            <w:pPr>
              <w:rPr>
                <w:rFonts w:ascii="宋体" w:hAnsi="宋体" w:cs="宋体"/>
              </w:rPr>
            </w:pPr>
            <w:r>
              <w:rPr>
                <w:rFonts w:hint="eastAsia"/>
                <w:sz w:val="24"/>
                <w:szCs w:val="24"/>
              </w:rPr>
              <w:t>▲</w:t>
            </w:r>
            <w:r>
              <w:rPr>
                <w:rFonts w:hint="eastAsia" w:ascii="宋体" w:hAnsi="宋体" w:cs="宋体"/>
              </w:rPr>
              <w:t>2、箱体规格：长X宽X高=550x360x330（mm），箱体表面用重体50压缩海绵填充，外包优质人造革。</w:t>
            </w:r>
          </w:p>
          <w:p>
            <w:pPr>
              <w:rPr>
                <w:rFonts w:ascii="宋体" w:hAnsi="宋体" w:cs="宋体"/>
              </w:rPr>
            </w:pPr>
            <w:r>
              <w:rPr>
                <w:rFonts w:hint="eastAsia" w:ascii="宋体" w:hAnsi="宋体" w:cs="宋体"/>
              </w:rPr>
              <w:t>3、四脚由外脚管、固定管、活动管和羊脚组成，外脚管与箱体连接焊接，焊接夹角为60度，固定管采用φ57x3优质钢管，用M8锁紧螺栓与外脚管连接,活动管采用φ48x3的优质钢管,羊脚为铸铁,活动管上钻有调节孔,固定管上设有调节机构,通过调节螺栓可调节山羊高度，调节间距：50mm。</w:t>
            </w:r>
          </w:p>
        </w:tc>
        <w:tc>
          <w:tcPr>
            <w:tcW w:w="711" w:type="dxa"/>
            <w:vAlign w:val="center"/>
          </w:tcPr>
          <w:p>
            <w:pPr>
              <w:jc w:val="center"/>
              <w:rPr>
                <w:rFonts w:ascii="宋体" w:hAnsi="宋体" w:cs="宋体"/>
                <w:position w:val="6"/>
              </w:rPr>
            </w:pPr>
            <w:r>
              <w:rPr>
                <w:rFonts w:hint="eastAsia" w:ascii="宋体" w:hAnsi="宋体" w:cs="宋体"/>
                <w:position w:val="6"/>
              </w:rPr>
              <w:t>只</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8</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体操垫子</w:t>
            </w:r>
          </w:p>
        </w:tc>
        <w:tc>
          <w:tcPr>
            <w:tcW w:w="5242" w:type="dxa"/>
            <w:vAlign w:val="center"/>
          </w:tcPr>
          <w:p>
            <w:pPr>
              <w:rPr>
                <w:rFonts w:ascii="宋体" w:hAnsi="宋体" w:cs="宋体"/>
              </w:rPr>
            </w:pPr>
            <w:r>
              <w:rPr>
                <w:rFonts w:hint="eastAsia" w:ascii="宋体" w:hAnsi="宋体" w:cs="宋体"/>
              </w:rPr>
              <w:t>1.海绵垫主体由重泡海绵组成，弹力均衡，柔软适中。</w:t>
            </w:r>
          </w:p>
          <w:p>
            <w:pPr>
              <w:rPr>
                <w:rFonts w:ascii="宋体" w:hAnsi="宋体" w:cs="宋体"/>
              </w:rPr>
            </w:pPr>
            <w:r>
              <w:rPr>
                <w:rFonts w:hint="eastAsia"/>
                <w:sz w:val="24"/>
                <w:szCs w:val="24"/>
              </w:rPr>
              <w:t>▲</w:t>
            </w:r>
            <w:r>
              <w:rPr>
                <w:rFonts w:hint="eastAsia" w:ascii="宋体" w:hAnsi="宋体" w:cs="宋体"/>
              </w:rPr>
              <w:t>2.海绵垫基本尺寸：长x宽x厚=2×1×0.1（米）。</w:t>
            </w:r>
          </w:p>
          <w:p>
            <w:pPr>
              <w:rPr>
                <w:rFonts w:ascii="宋体" w:hAnsi="宋体" w:cs="宋体"/>
              </w:rPr>
            </w:pPr>
            <w:r>
              <w:rPr>
                <w:rFonts w:hint="eastAsia" w:ascii="宋体" w:hAnsi="宋体" w:cs="宋体"/>
              </w:rPr>
              <w:t>3.海绵垫表面罩PVC套，套子侧面装有拉链及拉手攀，且四周设有排气孔。</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20</w:t>
            </w:r>
          </w:p>
        </w:tc>
        <w:tc>
          <w:tcPr>
            <w:tcW w:w="1560" w:type="dxa"/>
            <w:vAlign w:val="center"/>
          </w:tcPr>
          <w:p>
            <w:pPr>
              <w:widowControl/>
              <w:jc w:val="left"/>
              <w:rPr>
                <w:rFonts w:ascii="宋体" w:hAnsi="宋体" w:cs="宋体"/>
                <w:bCs/>
                <w:position w:val="6"/>
              </w:rPr>
            </w:pPr>
            <w:r>
              <w:rPr>
                <w:rFonts w:hint="eastAsia" w:ascii="宋体" w:hAnsi="宋体" w:cs="宋体"/>
                <w:bCs/>
                <w:position w:val="6"/>
              </w:rPr>
              <w:t>金陵、</w:t>
            </w:r>
          </w:p>
          <w:p>
            <w:pPr>
              <w:widowControl/>
              <w:jc w:val="left"/>
              <w:rPr>
                <w:rFonts w:ascii="宋体" w:hAnsi="宋体" w:cs="宋体"/>
                <w:bCs/>
                <w:position w:val="6"/>
              </w:rPr>
            </w:pPr>
            <w:r>
              <w:rPr>
                <w:rFonts w:hint="eastAsia" w:ascii="宋体" w:hAnsi="宋体" w:cs="宋体"/>
                <w:bCs/>
                <w:position w:val="6"/>
              </w:rPr>
              <w:t>吉诺尔</w:t>
            </w:r>
          </w:p>
          <w:p>
            <w:pPr>
              <w:widowControl/>
              <w:jc w:val="left"/>
              <w:rPr>
                <w:rFonts w:ascii="宋体" w:hAnsi="宋体" w:cs="宋体"/>
                <w:bCs/>
                <w:position w:val="6"/>
              </w:rPr>
            </w:pPr>
            <w:r>
              <w:rPr>
                <w:rFonts w:hint="eastAsia" w:ascii="宋体" w:hAnsi="宋体" w:cs="宋体"/>
                <w:bCs/>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Fonts w:hint="eastAsia" w:ascii="宋体" w:hAnsi="宋体" w:cs="宋体"/>
                <w:kern w:val="0"/>
              </w:rPr>
              <w:t>9</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助跳板</w:t>
            </w:r>
          </w:p>
        </w:tc>
        <w:tc>
          <w:tcPr>
            <w:tcW w:w="5242" w:type="dxa"/>
            <w:vAlign w:val="center"/>
          </w:tcPr>
          <w:p>
            <w:pPr>
              <w:widowControl/>
              <w:jc w:val="left"/>
              <w:rPr>
                <w:rFonts w:ascii="宋体" w:hAnsi="宋体" w:cs="宋体"/>
              </w:rPr>
            </w:pPr>
            <w:r>
              <w:rPr>
                <w:rFonts w:hint="eastAsia"/>
                <w:sz w:val="24"/>
                <w:szCs w:val="24"/>
              </w:rPr>
              <w:t>▲</w:t>
            </w:r>
            <w:r>
              <w:rPr>
                <w:rFonts w:hint="eastAsia" w:ascii="宋体" w:hAnsi="宋体" w:cs="宋体"/>
              </w:rPr>
              <w:t>规格：1.2×0.6×0.2m</w:t>
            </w:r>
          </w:p>
          <w:p>
            <w:pPr>
              <w:widowControl/>
              <w:jc w:val="left"/>
              <w:rPr>
                <w:rFonts w:ascii="宋体" w:hAnsi="宋体" w:cs="宋体"/>
                <w:kern w:val="0"/>
              </w:rPr>
            </w:pPr>
            <w:r>
              <w:rPr>
                <w:rFonts w:hint="eastAsia" w:ascii="宋体" w:hAnsi="宋体" w:cs="宋体"/>
              </w:rPr>
              <w:t>优质木材。</w:t>
            </w:r>
          </w:p>
        </w:tc>
        <w:tc>
          <w:tcPr>
            <w:tcW w:w="711" w:type="dxa"/>
            <w:vAlign w:val="center"/>
          </w:tcPr>
          <w:p>
            <w:pPr>
              <w:jc w:val="center"/>
              <w:rPr>
                <w:rFonts w:ascii="宋体" w:hAnsi="宋体" w:cs="宋体"/>
                <w:position w:val="6"/>
              </w:rPr>
            </w:pPr>
            <w:r>
              <w:rPr>
                <w:rFonts w:hint="eastAsia" w:ascii="宋体" w:hAnsi="宋体" w:cs="宋体"/>
                <w:position w:val="6"/>
              </w:rPr>
              <w:t>块</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2</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rFonts w:hint="default"/>
                <w:color w:val="auto"/>
                <w:sz w:val="21"/>
                <w:szCs w:val="21"/>
              </w:rPr>
              <w:t>10</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助跑道</w:t>
            </w:r>
          </w:p>
        </w:tc>
        <w:tc>
          <w:tcPr>
            <w:tcW w:w="5242" w:type="dxa"/>
            <w:vAlign w:val="center"/>
          </w:tcPr>
          <w:p>
            <w:pPr>
              <w:rPr>
                <w:rFonts w:ascii="宋体" w:hAnsi="宋体" w:cs="宋体"/>
              </w:rPr>
            </w:pPr>
            <w:r>
              <w:rPr>
                <w:rFonts w:hint="eastAsia"/>
                <w:sz w:val="24"/>
                <w:szCs w:val="24"/>
              </w:rPr>
              <w:t>▲</w:t>
            </w:r>
            <w:r>
              <w:rPr>
                <w:rFonts w:hint="eastAsia" w:ascii="宋体" w:hAnsi="宋体" w:cs="宋体"/>
              </w:rPr>
              <w:t>1、助跑道规格：25x1m。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2、助跑道材质：EVA、地毯合成。</w:t>
            </w:r>
          </w:p>
          <w:p>
            <w:pPr>
              <w:rPr>
                <w:rFonts w:ascii="宋体" w:hAnsi="宋体" w:cs="宋体"/>
              </w:rPr>
            </w:pPr>
            <w:r>
              <w:rPr>
                <w:rFonts w:hint="eastAsia" w:ascii="宋体" w:hAnsi="宋体" w:cs="宋体"/>
              </w:rPr>
              <w:t xml:space="preserve">3、助跑道底部为EVA材质，上平面为地毯，整体平整无褶皱。 </w:t>
            </w:r>
          </w:p>
        </w:tc>
        <w:tc>
          <w:tcPr>
            <w:tcW w:w="711" w:type="dxa"/>
            <w:vAlign w:val="center"/>
          </w:tcPr>
          <w:p>
            <w:pPr>
              <w:jc w:val="center"/>
              <w:rPr>
                <w:rFonts w:ascii="宋体" w:hAnsi="宋体" w:cs="宋体"/>
                <w:position w:val="6"/>
              </w:rPr>
            </w:pPr>
            <w:r>
              <w:rPr>
                <w:rFonts w:hint="eastAsia" w:ascii="宋体" w:hAnsi="宋体" w:cs="宋体"/>
                <w:position w:val="6"/>
              </w:rPr>
              <w:t>条</w:t>
            </w:r>
          </w:p>
        </w:tc>
        <w:tc>
          <w:tcPr>
            <w:tcW w:w="992" w:type="dxa"/>
            <w:vAlign w:val="center"/>
          </w:tcPr>
          <w:p>
            <w:pPr>
              <w:widowControl/>
              <w:jc w:val="center"/>
              <w:textAlignment w:val="center"/>
              <w:rPr>
                <w:rFonts w:ascii="宋体" w:hAnsi="宋体" w:cs="宋体"/>
                <w:kern w:val="0"/>
                <w:position w:val="6"/>
              </w:rPr>
            </w:pPr>
            <w:r>
              <w:rPr>
                <w:rFonts w:hint="eastAsia" w:ascii="宋体" w:hAnsi="宋体" w:cs="宋体"/>
                <w:kern w:val="0"/>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w:t>
            </w:r>
          </w:p>
          <w:p>
            <w:pPr>
              <w:shd w:val="clear" w:color="auto" w:fill="FFFFFF"/>
              <w:jc w:val="left"/>
              <w:rPr>
                <w:rFonts w:ascii="宋体" w:hAnsi="宋体" w:cs="宋体"/>
                <w:position w:val="6"/>
              </w:rPr>
            </w:pPr>
            <w:r>
              <w:rPr>
                <w:rFonts w:hint="eastAsia" w:ascii="宋体" w:hAnsi="宋体" w:cs="宋体"/>
                <w:position w:val="6"/>
              </w:rPr>
              <w:t>吉诺尔</w:t>
            </w:r>
          </w:p>
          <w:p>
            <w:pPr>
              <w:shd w:val="clear" w:color="auto" w:fill="FFFFFF"/>
              <w:jc w:val="left"/>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color w:val="auto"/>
                <w:sz w:val="21"/>
                <w:szCs w:val="21"/>
              </w:rPr>
            </w:pPr>
            <w:r>
              <w:rPr>
                <w:rStyle w:val="59"/>
                <w:rFonts w:hint="default"/>
                <w:color w:val="auto"/>
                <w:sz w:val="21"/>
                <w:szCs w:val="21"/>
              </w:rPr>
              <w:t>11</w:t>
            </w:r>
          </w:p>
        </w:tc>
        <w:tc>
          <w:tcPr>
            <w:tcW w:w="2258" w:type="dxa"/>
            <w:vAlign w:val="center"/>
          </w:tcPr>
          <w:p>
            <w:pPr>
              <w:widowControl/>
              <w:jc w:val="center"/>
              <w:textAlignment w:val="center"/>
              <w:rPr>
                <w:rFonts w:ascii="宋体" w:hAnsi="宋体" w:cs="宋体"/>
                <w:kern w:val="0"/>
              </w:rPr>
            </w:pPr>
            <w:r>
              <w:rPr>
                <w:rFonts w:hint="eastAsia" w:ascii="宋体" w:hAnsi="宋体" w:cs="宋体"/>
                <w:kern w:val="0"/>
              </w:rPr>
              <w:t>双格肋木</w:t>
            </w:r>
          </w:p>
        </w:tc>
        <w:tc>
          <w:tcPr>
            <w:tcW w:w="5242" w:type="dxa"/>
            <w:vAlign w:val="center"/>
          </w:tcPr>
          <w:p>
            <w:pPr>
              <w:rPr>
                <w:rFonts w:ascii="宋体" w:hAnsi="宋体" w:cs="宋体"/>
              </w:rPr>
            </w:pPr>
            <w:r>
              <w:rPr>
                <w:rFonts w:hint="eastAsia"/>
                <w:sz w:val="24"/>
                <w:szCs w:val="24"/>
              </w:rPr>
              <w:t>▲</w:t>
            </w:r>
            <w:r>
              <w:rPr>
                <w:rFonts w:hint="eastAsia" w:ascii="宋体" w:hAnsi="宋体" w:cs="宋体"/>
              </w:rPr>
              <w:t>1.肋木基本尺寸：长x高=2170x2750（mm）；</w:t>
            </w:r>
          </w:p>
          <w:p>
            <w:pPr>
              <w:rPr>
                <w:rFonts w:ascii="宋体" w:hAnsi="宋体" w:cs="宋体"/>
              </w:rPr>
            </w:pPr>
            <w:r>
              <w:rPr>
                <w:rFonts w:hint="eastAsia" w:ascii="宋体" w:hAnsi="宋体" w:cs="宋体"/>
                <w:kern w:val="0"/>
                <w:shd w:val="clear" w:color="auto" w:fill="FFFFFF"/>
              </w:rPr>
              <w:t>★</w:t>
            </w:r>
            <w:r>
              <w:rPr>
                <w:rFonts w:hint="eastAsia" w:ascii="宋体" w:hAnsi="宋体" w:cs="宋体"/>
              </w:rPr>
              <w:t>2.肋木由3根立柱，1根横梁和12根横杆组成，立柱和横梁采用 优质水曲柳，通过特制M10螺栓连接，横杆采用Φ38水曲柳杠面，三根立柱两根侧立柱打单边孔，一根中立柱打双边通孔，立柱采用95X42优质水曲柳，通过专用连接板膨胀螺栓与墙体连接 。</w:t>
            </w:r>
          </w:p>
        </w:tc>
        <w:tc>
          <w:tcPr>
            <w:tcW w:w="711" w:type="dxa"/>
            <w:vAlign w:val="center"/>
          </w:tcPr>
          <w:p>
            <w:pPr>
              <w:jc w:val="center"/>
              <w:rPr>
                <w:rFonts w:ascii="宋体" w:hAnsi="宋体" w:cs="宋体"/>
                <w:position w:val="6"/>
              </w:rPr>
            </w:pPr>
            <w:r>
              <w:rPr>
                <w:rFonts w:hint="eastAsia" w:ascii="宋体" w:hAnsi="宋体" w:cs="宋体"/>
                <w:position w:val="6"/>
              </w:rPr>
              <w:t>套</w:t>
            </w:r>
          </w:p>
        </w:tc>
        <w:tc>
          <w:tcPr>
            <w:tcW w:w="992" w:type="dxa"/>
            <w:vAlign w:val="center"/>
          </w:tcPr>
          <w:p>
            <w:pPr>
              <w:shd w:val="clear" w:color="auto" w:fill="FFFFFF"/>
              <w:jc w:val="left"/>
              <w:rPr>
                <w:rFonts w:ascii="宋体" w:hAnsi="宋体" w:cs="宋体"/>
                <w:position w:val="6"/>
              </w:rPr>
            </w:pPr>
            <w:r>
              <w:rPr>
                <w:rFonts w:hint="eastAsia" w:ascii="宋体" w:hAnsi="宋体" w:cs="宋体"/>
                <w:position w:val="6"/>
              </w:rPr>
              <w:t>1</w:t>
            </w:r>
          </w:p>
        </w:tc>
        <w:tc>
          <w:tcPr>
            <w:tcW w:w="1560" w:type="dxa"/>
            <w:vAlign w:val="center"/>
          </w:tcPr>
          <w:p>
            <w:pPr>
              <w:shd w:val="clear" w:color="auto" w:fill="FFFFFF"/>
              <w:jc w:val="left"/>
              <w:rPr>
                <w:rFonts w:ascii="宋体" w:hAnsi="宋体" w:cs="宋体"/>
                <w:position w:val="6"/>
              </w:rPr>
            </w:pPr>
            <w:r>
              <w:rPr>
                <w:rFonts w:hint="eastAsia" w:ascii="宋体" w:hAnsi="宋体" w:cs="宋体"/>
                <w:position w:val="6"/>
              </w:rPr>
              <w:t>金陵、吉诺尔</w:t>
            </w:r>
          </w:p>
          <w:p>
            <w:pPr>
              <w:shd w:val="clear" w:color="auto" w:fill="FFFFFF"/>
              <w:jc w:val="left"/>
              <w:rPr>
                <w:rFonts w:ascii="宋体" w:hAnsi="宋体" w:cs="宋体"/>
                <w:position w:val="6"/>
              </w:rPr>
            </w:pPr>
            <w:r>
              <w:rPr>
                <w:rFonts w:hint="eastAsia" w:ascii="宋体" w:hAnsi="宋体" w:cs="宋体"/>
                <w:position w:val="6"/>
              </w:rPr>
              <w:t>新起点</w:t>
            </w: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4" w:type="dxa"/>
            <w:vAlign w:val="center"/>
          </w:tcPr>
          <w:p>
            <w:pPr>
              <w:widowControl/>
              <w:jc w:val="right"/>
              <w:textAlignment w:val="center"/>
              <w:rPr>
                <w:rStyle w:val="59"/>
                <w:rFonts w:hint="default"/>
                <w:color w:val="auto"/>
                <w:sz w:val="21"/>
                <w:szCs w:val="21"/>
              </w:rPr>
            </w:pPr>
          </w:p>
        </w:tc>
        <w:tc>
          <w:tcPr>
            <w:tcW w:w="2258" w:type="dxa"/>
            <w:vAlign w:val="center"/>
          </w:tcPr>
          <w:p>
            <w:pPr>
              <w:widowControl/>
              <w:jc w:val="center"/>
              <w:textAlignment w:val="center"/>
              <w:rPr>
                <w:rFonts w:hint="eastAsia" w:ascii="宋体" w:hAnsi="宋体" w:eastAsia="宋体" w:cs="宋体"/>
                <w:kern w:val="0"/>
                <w:lang w:eastAsia="zh-CN"/>
              </w:rPr>
            </w:pPr>
            <w:r>
              <w:rPr>
                <w:rFonts w:hint="eastAsia" w:ascii="宋体" w:hAnsi="宋体" w:cs="宋体"/>
                <w:kern w:val="0"/>
                <w:highlight w:val="yellow"/>
                <w:lang w:eastAsia="zh-CN"/>
              </w:rPr>
              <w:t>合计</w:t>
            </w:r>
          </w:p>
        </w:tc>
        <w:tc>
          <w:tcPr>
            <w:tcW w:w="5242" w:type="dxa"/>
            <w:vAlign w:val="center"/>
          </w:tcPr>
          <w:p>
            <w:pPr>
              <w:rPr>
                <w:rFonts w:hint="eastAsia" w:ascii="宋体" w:hAnsi="宋体" w:cs="宋体"/>
                <w:kern w:val="0"/>
                <w:shd w:val="clear" w:color="auto" w:fill="FFFFFF"/>
              </w:rPr>
            </w:pPr>
          </w:p>
        </w:tc>
        <w:tc>
          <w:tcPr>
            <w:tcW w:w="711" w:type="dxa"/>
            <w:vAlign w:val="center"/>
          </w:tcPr>
          <w:p>
            <w:pPr>
              <w:jc w:val="center"/>
              <w:rPr>
                <w:rFonts w:hint="eastAsia" w:ascii="宋体" w:hAnsi="宋体" w:cs="宋体"/>
                <w:position w:val="6"/>
              </w:rPr>
            </w:pPr>
          </w:p>
        </w:tc>
        <w:tc>
          <w:tcPr>
            <w:tcW w:w="992" w:type="dxa"/>
            <w:vAlign w:val="center"/>
          </w:tcPr>
          <w:p>
            <w:pPr>
              <w:shd w:val="clear" w:color="auto" w:fill="FFFFFF"/>
              <w:jc w:val="left"/>
              <w:rPr>
                <w:rFonts w:hint="eastAsia" w:ascii="宋体" w:hAnsi="宋体" w:cs="宋体"/>
                <w:position w:val="6"/>
              </w:rPr>
            </w:pPr>
          </w:p>
        </w:tc>
        <w:tc>
          <w:tcPr>
            <w:tcW w:w="1560" w:type="dxa"/>
            <w:vAlign w:val="center"/>
          </w:tcPr>
          <w:p>
            <w:pPr>
              <w:shd w:val="clear" w:color="auto" w:fill="FFFFFF"/>
              <w:jc w:val="left"/>
              <w:rPr>
                <w:rFonts w:hint="eastAsia" w:ascii="宋体" w:hAnsi="宋体" w:cs="宋体"/>
                <w:position w:val="6"/>
              </w:rPr>
            </w:pPr>
          </w:p>
        </w:tc>
        <w:tc>
          <w:tcPr>
            <w:tcW w:w="1134" w:type="dxa"/>
            <w:vAlign w:val="center"/>
          </w:tcPr>
          <w:p>
            <w:pPr>
              <w:jc w:val="center"/>
              <w:rPr>
                <w:rFonts w:ascii="宋体" w:hAnsi="宋体" w:cs="宋体"/>
                <w:position w:val="6"/>
              </w:rPr>
            </w:pPr>
          </w:p>
        </w:tc>
        <w:tc>
          <w:tcPr>
            <w:tcW w:w="992" w:type="dxa"/>
          </w:tcPr>
          <w:p>
            <w:pPr>
              <w:jc w:val="center"/>
              <w:rPr>
                <w:rFonts w:ascii="宋体" w:hAnsi="宋体" w:cs="宋体"/>
                <w:position w:val="6"/>
              </w:rPr>
            </w:pPr>
          </w:p>
        </w:tc>
        <w:tc>
          <w:tcPr>
            <w:tcW w:w="992" w:type="dxa"/>
          </w:tcPr>
          <w:p>
            <w:pPr>
              <w:jc w:val="center"/>
              <w:rPr>
                <w:rFonts w:ascii="宋体" w:hAnsi="宋体" w:cs="宋体"/>
                <w:position w:val="6"/>
              </w:rPr>
            </w:pPr>
          </w:p>
        </w:tc>
      </w:tr>
    </w:tbl>
    <w:p/>
    <w:p>
      <w:r>
        <w:rPr>
          <w:rFonts w:hint="eastAsia" w:ascii="楷体" w:hAnsi="楷体" w:eastAsia="楷体"/>
          <w:b/>
          <w:sz w:val="32"/>
          <w:szCs w:val="32"/>
        </w:rPr>
        <w:t>体育馆看台座椅</w:t>
      </w:r>
    </w:p>
    <w:tbl>
      <w:tblPr>
        <w:tblStyle w:val="23"/>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2258"/>
        <w:gridCol w:w="5328"/>
        <w:gridCol w:w="650"/>
        <w:gridCol w:w="970"/>
        <w:gridCol w:w="1560"/>
        <w:gridCol w:w="1140"/>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2258"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5328"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650" w:type="dxa"/>
            <w:vAlign w:val="center"/>
          </w:tcPr>
          <w:p>
            <w:pPr>
              <w:widowControl/>
              <w:jc w:val="center"/>
              <w:textAlignment w:val="center"/>
              <w:rPr>
                <w:rFonts w:cs="宋体"/>
                <w:b/>
                <w:bCs/>
                <w:color w:val="000000"/>
              </w:rPr>
            </w:pPr>
            <w:r>
              <w:rPr>
                <w:rFonts w:hint="eastAsia" w:cs="宋体"/>
                <w:b/>
                <w:bCs/>
                <w:color w:val="000000"/>
                <w:kern w:val="0"/>
              </w:rPr>
              <w:t>单位</w:t>
            </w:r>
          </w:p>
        </w:tc>
        <w:tc>
          <w:tcPr>
            <w:tcW w:w="970" w:type="dxa"/>
            <w:vAlign w:val="center"/>
          </w:tcPr>
          <w:p>
            <w:pPr>
              <w:widowControl/>
              <w:jc w:val="center"/>
              <w:textAlignment w:val="center"/>
              <w:rPr>
                <w:rFonts w:cs="宋体"/>
                <w:b/>
                <w:bCs/>
                <w:color w:val="000000"/>
              </w:rPr>
            </w:pPr>
            <w:r>
              <w:rPr>
                <w:rFonts w:hint="eastAsia" w:cs="宋体"/>
                <w:b/>
                <w:bCs/>
                <w:color w:val="000000"/>
                <w:kern w:val="0"/>
              </w:rPr>
              <w:t>数量</w:t>
            </w:r>
          </w:p>
        </w:tc>
        <w:tc>
          <w:tcPr>
            <w:tcW w:w="1560" w:type="dxa"/>
            <w:vAlign w:val="center"/>
          </w:tcPr>
          <w:p>
            <w:pPr>
              <w:widowControl/>
              <w:jc w:val="center"/>
              <w:textAlignment w:val="center"/>
              <w:rPr>
                <w:rFonts w:cs="宋体"/>
                <w:b/>
                <w:bCs/>
                <w:color w:val="000000"/>
              </w:rPr>
            </w:pPr>
            <w:r>
              <w:rPr>
                <w:rFonts w:hint="eastAsia" w:ascii="宋体" w:hAnsi="宋体" w:cs="宋体"/>
                <w:b/>
                <w:bCs/>
                <w:color w:val="000000"/>
                <w:kern w:val="0"/>
              </w:rPr>
              <w:t>参考品牌</w:t>
            </w:r>
          </w:p>
        </w:tc>
        <w:tc>
          <w:tcPr>
            <w:tcW w:w="1140"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c>
          <w:tcPr>
            <w:tcW w:w="1140" w:type="dxa"/>
            <w:vAlign w:val="top"/>
          </w:tcPr>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总价</w:t>
            </w:r>
          </w:p>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（元）</w:t>
            </w:r>
          </w:p>
        </w:tc>
        <w:tc>
          <w:tcPr>
            <w:tcW w:w="1140" w:type="dxa"/>
            <w:vAlign w:val="top"/>
          </w:tcPr>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投标</w:t>
            </w:r>
          </w:p>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Style w:val="59"/>
                <w:rFonts w:hint="default" w:ascii="Times New Roman" w:hAnsi="Times New Roman"/>
                <w:color w:val="auto"/>
                <w:sz w:val="21"/>
                <w:szCs w:val="21"/>
              </w:rPr>
            </w:pPr>
            <w:r>
              <w:rPr>
                <w:rFonts w:hint="eastAsia" w:cs="宋体"/>
                <w:color w:val="000000"/>
                <w:kern w:val="0"/>
              </w:rPr>
              <w:t>1</w:t>
            </w:r>
          </w:p>
        </w:tc>
        <w:tc>
          <w:tcPr>
            <w:tcW w:w="2258" w:type="dxa"/>
            <w:vAlign w:val="center"/>
          </w:tcPr>
          <w:p>
            <w:pPr>
              <w:jc w:val="center"/>
            </w:pPr>
            <w:r>
              <w:rPr>
                <w:rFonts w:hint="eastAsia"/>
              </w:rPr>
              <w:t>低靠背中空塑料椅</w:t>
            </w:r>
          </w:p>
          <w:p>
            <w:pPr>
              <w:pStyle w:val="11"/>
            </w:pPr>
            <w:r>
              <w:drawing>
                <wp:inline distT="0" distB="0" distL="0" distR="0">
                  <wp:extent cx="920115" cy="331470"/>
                  <wp:effectExtent l="0" t="0" r="6985" b="11430"/>
                  <wp:docPr id="7" name="图片 7" descr="Z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ZKY-8"/>
                          <pic:cNvPicPr>
                            <a:picLocks noChangeAspect="1" noChangeArrowheads="1"/>
                          </pic:cNvPicPr>
                        </pic:nvPicPr>
                        <pic:blipFill>
                          <a:blip r:embed="rId7" cstate="print">
                            <a:extLst>
                              <a:ext uri="{28A0092B-C50C-407E-A947-70E740481C1C}">
                                <a14:useLocalDpi xmlns:a14="http://schemas.microsoft.com/office/drawing/2010/main" val="0"/>
                              </a:ext>
                            </a:extLst>
                          </a:blip>
                          <a:srcRect t="25107" b="21353"/>
                          <a:stretch>
                            <a:fillRect/>
                          </a:stretch>
                        </pic:blipFill>
                        <pic:spPr>
                          <a:xfrm>
                            <a:off x="0" y="0"/>
                            <a:ext cx="920115" cy="331470"/>
                          </a:xfrm>
                          <a:prstGeom prst="rect">
                            <a:avLst/>
                          </a:prstGeom>
                          <a:noFill/>
                          <a:ln>
                            <a:noFill/>
                          </a:ln>
                        </pic:spPr>
                      </pic:pic>
                    </a:graphicData>
                  </a:graphic>
                </wp:inline>
              </w:drawing>
            </w:r>
          </w:p>
        </w:tc>
        <w:tc>
          <w:tcPr>
            <w:tcW w:w="5328" w:type="dxa"/>
            <w:vAlign w:val="center"/>
          </w:tcPr>
          <w:p>
            <w:pPr>
              <w:numPr>
                <w:ilvl w:val="0"/>
                <w:numId w:val="7"/>
              </w:numPr>
            </w:pPr>
            <w:r>
              <w:rPr>
                <w:rFonts w:hint="eastAsia" w:cs="宋体"/>
                <w:position w:val="6"/>
              </w:rPr>
              <w:t>座宽（420±5mm），座深（420±5mm），背长（180±5㎜）</w:t>
            </w:r>
          </w:p>
          <w:p>
            <w:pPr>
              <w:rPr>
                <w:rFonts w:ascii="宋体" w:hAnsi="宋体"/>
              </w:rPr>
            </w:pPr>
            <w:r>
              <w:rPr>
                <w:rFonts w:hint="eastAsia" w:cs="宋体"/>
                <w:kern w:val="0"/>
              </w:rPr>
              <w:t>2、</w:t>
            </w:r>
            <w:r>
              <w:rPr>
                <w:rFonts w:hint="eastAsia" w:ascii="宋体" w:hAnsi="宋体"/>
              </w:rPr>
              <w:t>投标人必须在投标前到采购人处看样，保证投标产品的外形、尺寸、材料、质量等与采购人提供的样品一致。</w:t>
            </w:r>
          </w:p>
          <w:p>
            <w:pPr>
              <w:rPr>
                <w:rFonts w:cs="宋体"/>
                <w:kern w:val="0"/>
              </w:rPr>
            </w:pPr>
            <w:r>
              <w:rPr>
                <w:rFonts w:hint="eastAsia" w:ascii="宋体" w:hAnsi="宋体"/>
              </w:rPr>
              <w:t>3、投标人</w:t>
            </w:r>
            <w:r>
              <w:rPr>
                <w:rFonts w:hint="eastAsia" w:ascii="宋体" w:hAnsi="宋体"/>
                <w:b/>
                <w:bCs/>
                <w:highlight w:val="yellow"/>
              </w:rPr>
              <w:t>须承诺</w:t>
            </w:r>
            <w:r>
              <w:rPr>
                <w:rFonts w:hint="eastAsia" w:ascii="宋体" w:hAnsi="宋体"/>
              </w:rPr>
              <w:t>中标后无偿提供五种颜色椅面（不含底座）50座供采购人备用。</w:t>
            </w:r>
          </w:p>
        </w:tc>
        <w:tc>
          <w:tcPr>
            <w:tcW w:w="650" w:type="dxa"/>
            <w:vAlign w:val="center"/>
          </w:tcPr>
          <w:p>
            <w:pPr>
              <w:jc w:val="center"/>
              <w:rPr>
                <w:rFonts w:cs="宋体"/>
                <w:position w:val="6"/>
              </w:rPr>
            </w:pPr>
            <w:r>
              <w:rPr>
                <w:rFonts w:hint="eastAsia" w:cs="宋体"/>
                <w:position w:val="6"/>
              </w:rPr>
              <w:t>座</w:t>
            </w:r>
          </w:p>
        </w:tc>
        <w:tc>
          <w:tcPr>
            <w:tcW w:w="970" w:type="dxa"/>
            <w:vAlign w:val="center"/>
          </w:tcPr>
          <w:p>
            <w:pPr>
              <w:widowControl/>
              <w:jc w:val="center"/>
              <w:textAlignment w:val="center"/>
              <w:rPr>
                <w:rFonts w:cs="宋体"/>
                <w:kern w:val="0"/>
                <w:position w:val="6"/>
              </w:rPr>
            </w:pPr>
            <w:r>
              <w:rPr>
                <w:rFonts w:hint="eastAsia" w:cs="宋体"/>
                <w:kern w:val="0"/>
              </w:rPr>
              <w:t>2400</w:t>
            </w:r>
          </w:p>
        </w:tc>
        <w:tc>
          <w:tcPr>
            <w:tcW w:w="1560" w:type="dxa"/>
            <w:vAlign w:val="center"/>
          </w:tcPr>
          <w:p>
            <w:pPr>
              <w:pStyle w:val="4"/>
              <w:shd w:val="clear" w:color="auto" w:fill="FFFFFF"/>
              <w:tabs>
                <w:tab w:val="left" w:pos="576"/>
              </w:tabs>
              <w:spacing w:line="240" w:lineRule="auto"/>
              <w:jc w:val="left"/>
              <w:rPr>
                <w:rFonts w:ascii="Times New Roman" w:hAnsi="Times New Roman" w:eastAsia="宋体"/>
                <w:b w:val="0"/>
                <w:position w:val="6"/>
                <w:sz w:val="21"/>
                <w:szCs w:val="21"/>
              </w:rPr>
            </w:pPr>
          </w:p>
        </w:tc>
        <w:tc>
          <w:tcPr>
            <w:tcW w:w="1140" w:type="dxa"/>
            <w:vAlign w:val="center"/>
          </w:tcPr>
          <w:p>
            <w:pPr>
              <w:jc w:val="center"/>
              <w:rPr>
                <w:rFonts w:cs="宋体"/>
                <w:position w:val="6"/>
              </w:rPr>
            </w:pPr>
          </w:p>
        </w:tc>
        <w:tc>
          <w:tcPr>
            <w:tcW w:w="1140" w:type="dxa"/>
            <w:vAlign w:val="center"/>
          </w:tcPr>
          <w:p>
            <w:pPr>
              <w:jc w:val="center"/>
              <w:rPr>
                <w:rFonts w:cs="宋体"/>
                <w:position w:val="6"/>
              </w:rPr>
            </w:pPr>
          </w:p>
        </w:tc>
        <w:tc>
          <w:tcPr>
            <w:tcW w:w="1140" w:type="dxa"/>
            <w:vAlign w:val="center"/>
          </w:tcPr>
          <w:p>
            <w:pPr>
              <w:jc w:val="center"/>
              <w:rPr>
                <w:rFonts w:cs="宋体"/>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vAlign w:val="center"/>
          </w:tcPr>
          <w:p>
            <w:pPr>
              <w:widowControl/>
              <w:jc w:val="right"/>
              <w:textAlignment w:val="center"/>
              <w:rPr>
                <w:rFonts w:cs="宋体"/>
                <w:color w:val="000000"/>
                <w:kern w:val="0"/>
              </w:rPr>
            </w:pPr>
          </w:p>
        </w:tc>
        <w:tc>
          <w:tcPr>
            <w:tcW w:w="2258" w:type="dxa"/>
            <w:vAlign w:val="center"/>
          </w:tcPr>
          <w:p>
            <w:pPr>
              <w:jc w:val="center"/>
              <w:rPr>
                <w:rFonts w:cs="宋体"/>
                <w:position w:val="6"/>
              </w:rPr>
            </w:pPr>
            <w:r>
              <w:rPr>
                <w:rFonts w:hint="eastAsia" w:cs="宋体"/>
                <w:position w:val="6"/>
                <w:highlight w:val="yellow"/>
              </w:rPr>
              <w:t>合计</w:t>
            </w:r>
          </w:p>
        </w:tc>
        <w:tc>
          <w:tcPr>
            <w:tcW w:w="5328" w:type="dxa"/>
            <w:vAlign w:val="center"/>
          </w:tcPr>
          <w:p>
            <w:pPr>
              <w:widowControl/>
              <w:jc w:val="left"/>
              <w:rPr>
                <w:rFonts w:cs="宋体"/>
                <w:kern w:val="0"/>
              </w:rPr>
            </w:pPr>
          </w:p>
        </w:tc>
        <w:tc>
          <w:tcPr>
            <w:tcW w:w="650" w:type="dxa"/>
            <w:vAlign w:val="center"/>
          </w:tcPr>
          <w:p>
            <w:pPr>
              <w:jc w:val="center"/>
              <w:rPr>
                <w:rFonts w:cs="宋体"/>
                <w:position w:val="6"/>
              </w:rPr>
            </w:pPr>
          </w:p>
        </w:tc>
        <w:tc>
          <w:tcPr>
            <w:tcW w:w="970" w:type="dxa"/>
            <w:vAlign w:val="center"/>
          </w:tcPr>
          <w:p>
            <w:pPr>
              <w:widowControl/>
              <w:jc w:val="center"/>
              <w:textAlignment w:val="center"/>
              <w:rPr>
                <w:rFonts w:cs="宋体"/>
                <w:kern w:val="0"/>
              </w:rPr>
            </w:pPr>
          </w:p>
        </w:tc>
        <w:tc>
          <w:tcPr>
            <w:tcW w:w="1560" w:type="dxa"/>
            <w:vAlign w:val="center"/>
          </w:tcPr>
          <w:p>
            <w:pPr>
              <w:pStyle w:val="4"/>
              <w:shd w:val="clear" w:color="auto" w:fill="FFFFFF"/>
              <w:tabs>
                <w:tab w:val="left" w:pos="576"/>
              </w:tabs>
              <w:spacing w:line="240" w:lineRule="auto"/>
              <w:jc w:val="left"/>
              <w:rPr>
                <w:sz w:val="24"/>
              </w:rPr>
            </w:pPr>
          </w:p>
        </w:tc>
        <w:tc>
          <w:tcPr>
            <w:tcW w:w="1140" w:type="dxa"/>
            <w:vAlign w:val="center"/>
          </w:tcPr>
          <w:p>
            <w:pPr>
              <w:jc w:val="center"/>
              <w:rPr>
                <w:rFonts w:cs="宋体"/>
                <w:position w:val="6"/>
              </w:rPr>
            </w:pPr>
          </w:p>
        </w:tc>
        <w:tc>
          <w:tcPr>
            <w:tcW w:w="1140" w:type="dxa"/>
            <w:vAlign w:val="center"/>
          </w:tcPr>
          <w:p>
            <w:pPr>
              <w:jc w:val="center"/>
              <w:rPr>
                <w:rFonts w:cs="宋体"/>
                <w:position w:val="6"/>
              </w:rPr>
            </w:pPr>
          </w:p>
        </w:tc>
        <w:tc>
          <w:tcPr>
            <w:tcW w:w="1140" w:type="dxa"/>
            <w:vAlign w:val="center"/>
          </w:tcPr>
          <w:p>
            <w:pPr>
              <w:jc w:val="center"/>
              <w:rPr>
                <w:rFonts w:cs="宋体"/>
                <w:position w:val="6"/>
              </w:rPr>
            </w:pPr>
          </w:p>
        </w:tc>
      </w:tr>
    </w:tbl>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p>
    <w:p>
      <w:pPr>
        <w:pStyle w:val="13"/>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二标段产品需求清单报价：</w:t>
      </w:r>
    </w:p>
    <w:p>
      <w:pPr>
        <w:pStyle w:val="13"/>
        <w:spacing w:line="560" w:lineRule="exact"/>
        <w:ind w:firstLine="643" w:firstLineChars="200"/>
        <w:rPr>
          <w:rFonts w:ascii="Times New Roman" w:hAnsi="Times New Roman" w:eastAsia="黑体"/>
          <w:sz w:val="32"/>
          <w:szCs w:val="32"/>
        </w:rPr>
      </w:pPr>
      <w:r>
        <w:rPr>
          <w:rFonts w:hint="eastAsia" w:hAnsi="宋体"/>
          <w:b/>
          <w:bCs/>
          <w:kern w:val="0"/>
          <w:sz w:val="32"/>
          <w:szCs w:val="32"/>
        </w:rPr>
        <w:t>1、体测中心</w:t>
      </w:r>
    </w:p>
    <w:tbl>
      <w:tblPr>
        <w:tblStyle w:val="23"/>
        <w:tblW w:w="14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5686"/>
        <w:gridCol w:w="1134"/>
        <w:gridCol w:w="851"/>
        <w:gridCol w:w="1559"/>
        <w:gridCol w:w="1300"/>
        <w:gridCol w:w="125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序号</w:t>
            </w:r>
          </w:p>
        </w:tc>
        <w:tc>
          <w:tcPr>
            <w:tcW w:w="139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货物名称</w:t>
            </w:r>
          </w:p>
        </w:tc>
        <w:tc>
          <w:tcPr>
            <w:tcW w:w="5686"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技术参数</w:t>
            </w:r>
          </w:p>
        </w:tc>
        <w:tc>
          <w:tcPr>
            <w:tcW w:w="1134"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单位</w:t>
            </w:r>
          </w:p>
        </w:tc>
        <w:tc>
          <w:tcPr>
            <w:tcW w:w="851"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数量</w:t>
            </w:r>
          </w:p>
        </w:tc>
        <w:tc>
          <w:tcPr>
            <w:tcW w:w="1559"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参考品牌</w:t>
            </w:r>
          </w:p>
        </w:tc>
        <w:tc>
          <w:tcPr>
            <w:tcW w:w="1300" w:type="dxa"/>
            <w:vAlign w:val="center"/>
          </w:tcPr>
          <w:p>
            <w:pPr>
              <w:widowControl/>
              <w:jc w:val="center"/>
              <w:textAlignment w:val="center"/>
              <w:rPr>
                <w:rFonts w:ascii="宋体" w:hAnsi="宋体" w:cs="宋体"/>
                <w:b/>
                <w:bCs/>
                <w:color w:val="000000"/>
              </w:rPr>
            </w:pPr>
            <w:r>
              <w:rPr>
                <w:rFonts w:hint="eastAsia" w:ascii="宋体" w:hAnsi="宋体" w:cs="宋体"/>
                <w:b/>
                <w:bCs/>
                <w:color w:val="000000"/>
                <w:kern w:val="0"/>
              </w:rPr>
              <w:t>单价（元）</w:t>
            </w:r>
          </w:p>
        </w:tc>
        <w:tc>
          <w:tcPr>
            <w:tcW w:w="1252" w:type="dxa"/>
          </w:tcPr>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总价</w:t>
            </w:r>
          </w:p>
          <w:p>
            <w:pPr>
              <w:widowControl/>
              <w:jc w:val="center"/>
              <w:textAlignment w:val="center"/>
              <w:rPr>
                <w:rFonts w:ascii="宋体" w:hAnsi="宋体" w:cs="宋体"/>
                <w:b/>
                <w:bCs/>
                <w:color w:val="000000"/>
                <w:kern w:val="0"/>
              </w:rPr>
            </w:pPr>
            <w:r>
              <w:rPr>
                <w:rFonts w:hint="eastAsia" w:ascii="宋体" w:hAnsi="宋体" w:cs="宋体"/>
                <w:b/>
                <w:bCs/>
                <w:color w:val="000000"/>
                <w:kern w:val="0"/>
              </w:rPr>
              <w:t>（元）</w:t>
            </w:r>
          </w:p>
        </w:tc>
        <w:tc>
          <w:tcPr>
            <w:tcW w:w="1252" w:type="dxa"/>
          </w:tcPr>
          <w:p>
            <w:pPr>
              <w:widowControl/>
              <w:jc w:val="center"/>
              <w:textAlignment w:val="center"/>
              <w:rPr>
                <w:rFonts w:hint="eastAsia" w:ascii="宋体" w:hAnsi="宋体" w:cs="宋体"/>
                <w:b/>
                <w:bCs/>
                <w:color w:val="000000"/>
                <w:kern w:val="0"/>
              </w:rPr>
            </w:pPr>
            <w:r>
              <w:rPr>
                <w:rFonts w:hint="eastAsia" w:ascii="宋体" w:hAnsi="宋体" w:cs="宋体"/>
                <w:b/>
                <w:bCs/>
                <w:color w:val="000000"/>
                <w:kern w:val="0"/>
              </w:rPr>
              <w:t>投标</w:t>
            </w:r>
          </w:p>
          <w:p>
            <w:pPr>
              <w:widowControl/>
              <w:jc w:val="center"/>
              <w:textAlignment w:val="center"/>
              <w:rPr>
                <w:rFonts w:ascii="宋体" w:hAnsi="宋体" w:cs="宋体"/>
                <w:b/>
                <w:bCs/>
                <w:color w:val="000000"/>
                <w:kern w:val="0"/>
              </w:rPr>
            </w:pPr>
            <w:r>
              <w:rPr>
                <w:rFonts w:hint="eastAsia" w:ascii="宋体" w:hAnsi="宋体" w:cs="宋体"/>
                <w:b/>
                <w:bCs/>
                <w:color w:val="000000"/>
                <w:kern w:val="0"/>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1</w:t>
            </w:r>
          </w:p>
        </w:tc>
        <w:tc>
          <w:tcPr>
            <w:tcW w:w="1391" w:type="dxa"/>
            <w:vAlign w:val="center"/>
          </w:tcPr>
          <w:p>
            <w:pPr>
              <w:widowControl/>
              <w:jc w:val="center"/>
              <w:textAlignment w:val="center"/>
            </w:pPr>
            <w:r>
              <w:rPr>
                <w:rFonts w:hint="eastAsia"/>
              </w:rPr>
              <w:t>刷卡式自动测试设备</w:t>
            </w:r>
          </w:p>
          <w:p>
            <w:pPr>
              <w:pStyle w:val="21"/>
              <w:spacing w:before="156" w:after="156"/>
              <w:ind w:firstLine="0" w:firstLineChars="0"/>
              <w:rPr>
                <w:rFonts w:ascii="Times New Roman" w:hAnsi="宋体" w:eastAsia="宋体"/>
                <w:b/>
                <w:bCs/>
                <w:kern w:val="0"/>
                <w:sz w:val="21"/>
                <w:szCs w:val="21"/>
              </w:rPr>
            </w:pPr>
            <w:r>
              <w:rPr>
                <w:rFonts w:hint="eastAsia" w:ascii="Times New Roman" w:hAnsi="宋体" w:eastAsia="宋体"/>
                <w:b/>
                <w:bCs/>
                <w:color w:val="0000FF"/>
                <w:kern w:val="0"/>
                <w:sz w:val="21"/>
                <w:szCs w:val="21"/>
              </w:rPr>
              <w:t>(核心产品）</w:t>
            </w:r>
          </w:p>
          <w:p>
            <w:pPr>
              <w:pStyle w:val="2"/>
            </w:pPr>
          </w:p>
        </w:tc>
        <w:tc>
          <w:tcPr>
            <w:tcW w:w="5686" w:type="dxa"/>
            <w:vAlign w:val="center"/>
          </w:tcPr>
          <w:p>
            <w:pPr>
              <w:widowControl/>
              <w:jc w:val="left"/>
              <w:rPr>
                <w:rFonts w:ascii="宋体" w:hAnsi="宋体" w:cs="宋体"/>
                <w:color w:val="000000"/>
                <w:kern w:val="0"/>
              </w:rPr>
            </w:pPr>
            <w:r>
              <w:rPr>
                <w:rFonts w:hint="eastAsia" w:ascii="宋体" w:hAnsi="宋体" w:cs="宋体"/>
                <w:color w:val="000000"/>
              </w:rPr>
              <w:t>中心工作站</w:t>
            </w:r>
            <w:r>
              <w:rPr>
                <w:rFonts w:hint="eastAsia" w:ascii="宋体" w:hAnsi="宋体" w:cs="宋体"/>
                <w:color w:val="000000"/>
                <w:kern w:val="0"/>
              </w:rPr>
              <w:t>技术参数：</w:t>
            </w:r>
          </w:p>
          <w:p>
            <w:pPr>
              <w:widowControl/>
              <w:ind w:firstLine="420" w:firstLineChars="200"/>
              <w:jc w:val="left"/>
              <w:rPr>
                <w:rFonts w:ascii="宋体" w:hAnsi="宋体" w:cs="宋体"/>
                <w:color w:val="000000"/>
                <w:kern w:val="0"/>
              </w:rPr>
            </w:pPr>
            <w:r>
              <w:rPr>
                <w:rFonts w:ascii="宋体" w:hAnsi="宋体" w:cs="宋体"/>
                <w:color w:val="000000"/>
                <w:kern w:val="0"/>
              </w:rPr>
              <w:t>将监测得到的各项数据进行对比运算，根据运算结果给出受试者的形态、技能、素质类状况的单项指标、综合体之的评分和评价。并根据各项指标在综合评定中权重，给出相匹配的质综合评价报告和运动处方。并具有雷达</w:t>
            </w:r>
            <w:r>
              <w:rPr>
                <w:rFonts w:hint="eastAsia" w:ascii="宋体" w:hAnsi="宋体" w:cs="宋体"/>
                <w:color w:val="000000"/>
                <w:kern w:val="0"/>
              </w:rPr>
              <w:t>图分析、风险提示和重点关注项目提示功能。</w:t>
            </w:r>
          </w:p>
          <w:p>
            <w:pPr>
              <w:widowControl/>
              <w:ind w:firstLine="420" w:firstLineChars="200"/>
              <w:jc w:val="left"/>
              <w:rPr>
                <w:rFonts w:ascii="宋体" w:hAnsi="宋体" w:cs="宋体"/>
                <w:color w:val="000000"/>
                <w:kern w:val="0"/>
              </w:rPr>
            </w:pPr>
            <w:r>
              <w:rPr>
                <w:rFonts w:hint="eastAsia" w:ascii="宋体" w:hAnsi="宋体" w:cs="宋体"/>
                <w:color w:val="000000"/>
                <w:kern w:val="0"/>
              </w:rPr>
              <w:t>软件主要功能：名单管理、数据采集与评价包括：成人、学生、体质测定、电子问卷、人体成分分析仪、超声骨密度仪、自动血压计、功率自行车测试仪和平衡能力分析仪等设备连接并具有扩展功能，并能给出运动处方。具备数据管理与分项统计、打印与到处功能、测试数据可直接上报体质健康管理系统网络平台上管理，并可以于全国总工会职工健康管理网络平台对接。</w:t>
            </w:r>
          </w:p>
          <w:p>
            <w:pPr>
              <w:jc w:val="left"/>
              <w:rPr>
                <w:rFonts w:ascii="宋体" w:hAnsi="宋体" w:cs="宋体"/>
                <w:b/>
                <w:u w:val="single"/>
              </w:rPr>
            </w:pPr>
            <w:r>
              <w:rPr>
                <w:rFonts w:hint="eastAsia" w:ascii="宋体" w:hAnsi="宋体" w:cs="宋体"/>
              </w:rPr>
              <w:t>★</w:t>
            </w:r>
            <w:r>
              <w:rPr>
                <w:rFonts w:hint="eastAsia" w:ascii="宋体" w:hAnsi="宋体" w:cs="宋体"/>
                <w:bCs/>
                <w:kern w:val="0"/>
              </w:rPr>
              <w:t>工作站快捷按钮：提供十余个快捷功能按钮，包含：测试状态展示、注册、写卡、打印、统计、单位等。</w:t>
            </w:r>
            <w:r>
              <w:rPr>
                <w:rFonts w:hint="eastAsia" w:ascii="宋体" w:hAnsi="宋体" w:cs="宋体"/>
                <w:b/>
                <w:bCs/>
                <w:kern w:val="0"/>
              </w:rPr>
              <w:t>工作站内置身份证阅读器，</w:t>
            </w:r>
            <w:r>
              <w:rPr>
                <w:rFonts w:hint="eastAsia" w:ascii="宋体" w:hAnsi="宋体" w:cs="宋体"/>
                <w:b/>
                <w:u w:val="single"/>
              </w:rPr>
              <w:t>使测试前期的录入环节大大节约时间。</w:t>
            </w:r>
          </w:p>
          <w:p>
            <w:pPr>
              <w:tabs>
                <w:tab w:val="left" w:pos="1155"/>
              </w:tabs>
              <w:rPr>
                <w:rFonts w:ascii="宋体" w:hAnsi="宋体" w:cs="宋体"/>
                <w:b/>
                <w:bCs/>
                <w:kern w:val="0"/>
              </w:rPr>
            </w:pPr>
            <w:r>
              <w:rPr>
                <w:rFonts w:hint="eastAsia" w:ascii="宋体" w:hAnsi="宋体" w:cs="宋体"/>
                <w:b/>
                <w:color w:val="000000"/>
                <w:kern w:val="0"/>
                <w:u w:val="single"/>
              </w:rPr>
              <w:t>内置测试人员测试前期的电子问卷调查系统，保证每一位受试者在身体条件允许和安全的状态下进行测试</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双屏同步操作：支持工作人员操作和自助操作。</w:t>
            </w:r>
          </w:p>
          <w:p>
            <w:pPr>
              <w:widowControl/>
              <w:adjustRightInd w:val="0"/>
              <w:snapToGrid w:val="0"/>
              <w:jc w:val="left"/>
              <w:rPr>
                <w:rFonts w:ascii="宋体" w:hAnsi="宋体" w:cs="宋体"/>
                <w:bCs/>
                <w:kern w:val="0"/>
              </w:rPr>
            </w:pPr>
            <w:r>
              <w:rPr>
                <w:rFonts w:hint="eastAsia" w:ascii="宋体" w:hAnsi="宋体" w:cs="宋体"/>
                <w:bCs/>
                <w:kern w:val="0"/>
              </w:rPr>
              <w:t>数据采集方式：支持网络、蓝牙、无线等多种数据采集方式。</w:t>
            </w:r>
          </w:p>
          <w:p>
            <w:pPr>
              <w:widowControl/>
              <w:adjustRightInd w:val="0"/>
              <w:snapToGrid w:val="0"/>
              <w:ind w:firstLine="420" w:firstLineChars="200"/>
              <w:jc w:val="left"/>
              <w:rPr>
                <w:rFonts w:ascii="宋体" w:hAnsi="宋体" w:cs="宋体"/>
                <w:bCs/>
                <w:kern w:val="0"/>
              </w:rPr>
            </w:pPr>
            <w:r>
              <w:rPr>
                <w:rFonts w:hint="eastAsia" w:ascii="宋体" w:hAnsi="宋体" w:cs="宋体"/>
                <w:bCs/>
                <w:kern w:val="0"/>
              </w:rPr>
              <w:t>运动项目优先级自定义：可根据用户需要随时自行维护优先运动项目。</w:t>
            </w:r>
          </w:p>
          <w:p>
            <w:pPr>
              <w:widowControl/>
              <w:ind w:firstLine="420" w:firstLineChars="200"/>
              <w:jc w:val="left"/>
              <w:rPr>
                <w:rFonts w:ascii="宋体" w:hAnsi="宋体" w:cs="宋体"/>
                <w:color w:val="000000"/>
                <w:kern w:val="0"/>
              </w:rPr>
            </w:pPr>
            <w:r>
              <w:rPr>
                <w:rFonts w:hint="eastAsia" w:ascii="宋体" w:hAnsi="宋体" w:cs="宋体"/>
              </w:rPr>
              <w:t>★</w:t>
            </w:r>
            <w:r>
              <w:rPr>
                <w:rFonts w:hint="eastAsia" w:ascii="宋体" w:hAnsi="宋体" w:cs="Tahoma"/>
                <w:bCs/>
                <w:kern w:val="0"/>
              </w:rPr>
              <w:t>数据管理:具有数据统计、分析、导入、导出、数据备份(支持异地备份)、数据上传及上传云平台等管理功能。</w:t>
            </w:r>
          </w:p>
        </w:tc>
        <w:tc>
          <w:tcPr>
            <w:tcW w:w="1134" w:type="dxa"/>
            <w:vAlign w:val="center"/>
          </w:tcPr>
          <w:p>
            <w:pPr>
              <w:jc w:val="center"/>
              <w:rPr>
                <w:rFonts w:ascii="宋体" w:hAnsi="宋体" w:cs="宋体"/>
                <w:color w:val="000000"/>
                <w:kern w:val="0"/>
              </w:rPr>
            </w:pPr>
            <w:r>
              <w:rPr>
                <w:rFonts w:hint="eastAsia" w:ascii="宋体" w:hAnsi="宋体" w:cs="宋体"/>
                <w:position w:val="6"/>
              </w:rPr>
              <w:t>套</w:t>
            </w:r>
          </w:p>
        </w:tc>
        <w:tc>
          <w:tcPr>
            <w:tcW w:w="851" w:type="dxa"/>
            <w:vAlign w:val="center"/>
          </w:tcPr>
          <w:p>
            <w:pPr>
              <w:widowControl/>
              <w:ind w:firstLine="420" w:firstLineChars="200"/>
              <w:jc w:val="left"/>
              <w:rPr>
                <w:rFonts w:ascii="宋体" w:hAnsi="宋体" w:cs="宋体"/>
                <w:color w:val="000000"/>
                <w:kern w:val="0"/>
              </w:rPr>
            </w:pPr>
            <w:r>
              <w:rPr>
                <w:rFonts w:hint="eastAsia" w:ascii="宋体" w:hAnsi="宋体" w:cs="宋体"/>
                <w:color w:val="000000"/>
                <w:kern w:val="0"/>
              </w:rPr>
              <w:t>1</w:t>
            </w:r>
          </w:p>
        </w:tc>
        <w:tc>
          <w:tcPr>
            <w:tcW w:w="1559" w:type="dxa"/>
            <w:vAlign w:val="center"/>
          </w:tcPr>
          <w:p>
            <w:pPr>
              <w:widowControl/>
              <w:ind w:firstLine="420" w:firstLineChars="200"/>
              <w:jc w:val="left"/>
              <w:rPr>
                <w:rFonts w:ascii="宋体" w:hAnsi="宋体" w:cs="宋体"/>
                <w:color w:val="000000"/>
                <w:kern w:val="0"/>
              </w:rPr>
            </w:pPr>
          </w:p>
          <w:p>
            <w:pPr>
              <w:widowControl/>
              <w:ind w:firstLine="420" w:firstLineChars="200"/>
              <w:jc w:val="left"/>
              <w:rPr>
                <w:rFonts w:ascii="宋体" w:hAnsi="宋体" w:cs="宋体"/>
                <w:color w:val="000000"/>
                <w:kern w:val="0"/>
              </w:rPr>
            </w:pPr>
          </w:p>
          <w:p>
            <w:pPr>
              <w:widowControl/>
              <w:ind w:firstLine="420" w:firstLineChars="200"/>
              <w:rPr>
                <w:rFonts w:ascii="宋体" w:hAnsi="宋体" w:cs="宋体"/>
                <w:color w:val="000000"/>
                <w:kern w:val="0"/>
              </w:rPr>
            </w:pPr>
            <w:r>
              <w:rPr>
                <w:rFonts w:hint="eastAsia" w:ascii="宋体" w:hAnsi="宋体" w:cs="宋体"/>
                <w:color w:val="000000"/>
                <w:kern w:val="0"/>
              </w:rPr>
              <w:t>健民、</w:t>
            </w:r>
          </w:p>
          <w:p>
            <w:pPr>
              <w:widowControl/>
              <w:ind w:firstLine="420" w:firstLineChars="200"/>
              <w:rPr>
                <w:rFonts w:ascii="宋体" w:hAnsi="宋体" w:cs="宋体"/>
                <w:color w:val="000000"/>
                <w:kern w:val="0"/>
              </w:rPr>
            </w:pPr>
            <w:r>
              <w:rPr>
                <w:rFonts w:hint="eastAsia" w:ascii="宋体" w:hAnsi="宋体" w:cs="宋体"/>
                <w:color w:val="000000"/>
                <w:kern w:val="0"/>
              </w:rPr>
              <w:t>鑫美华</w:t>
            </w:r>
          </w:p>
          <w:p>
            <w:pPr>
              <w:widowControl/>
              <w:ind w:firstLine="420" w:firstLineChars="200"/>
              <w:rPr>
                <w:rFonts w:ascii="宋体" w:hAnsi="宋体" w:cs="宋体"/>
                <w:color w:val="000000"/>
                <w:kern w:val="0"/>
              </w:rPr>
            </w:pPr>
            <w:r>
              <w:rPr>
                <w:rFonts w:ascii="宋体" w:hAnsi="宋体" w:cs="宋体"/>
                <w:color w:val="000000"/>
                <w:kern w:val="0"/>
              </w:rPr>
              <w:t>滕顺</w:t>
            </w:r>
          </w:p>
          <w:p>
            <w:pPr>
              <w:widowControl/>
              <w:ind w:firstLine="420" w:firstLineChars="200"/>
              <w:rPr>
                <w:rFonts w:ascii="宋体" w:hAnsi="宋体" w:cs="宋体"/>
                <w:color w:val="000000"/>
                <w:kern w:val="0"/>
              </w:rPr>
            </w:pP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2</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坐位体前屈测试仪</w:t>
            </w:r>
          </w:p>
        </w:tc>
        <w:tc>
          <w:tcPr>
            <w:tcW w:w="5686" w:type="dxa"/>
            <w:vAlign w:val="center"/>
          </w:tcPr>
          <w:p>
            <w:pPr>
              <w:rPr>
                <w:rFonts w:ascii="宋体" w:hAnsi="宋体" w:cs="宋体"/>
                <w:kern w:val="0"/>
              </w:rPr>
            </w:pPr>
            <w:r>
              <w:rPr>
                <w:rFonts w:hint="eastAsia" w:ascii="宋体" w:hAnsi="宋体" w:cs="宋体"/>
                <w:kern w:val="0"/>
                <w:shd w:val="clear" w:color="auto" w:fill="FFFFFF"/>
              </w:rPr>
              <w:t>★</w:t>
            </w:r>
            <w:r>
              <w:rPr>
                <w:rFonts w:hint="eastAsia" w:ascii="宋体" w:hAnsi="宋体" w:cs="宋体"/>
                <w:kern w:val="0"/>
              </w:rPr>
              <w:t>量程：-20㎝～40㎝，分度值：0.1㎝，误差：±.1㎝</w:t>
            </w:r>
          </w:p>
          <w:p>
            <w:pPr>
              <w:widowControl/>
              <w:jc w:val="left"/>
              <w:rPr>
                <w:rFonts w:ascii="宋体" w:hAnsi="宋体"/>
              </w:rPr>
            </w:pPr>
            <w:r>
              <w:rPr>
                <w:rFonts w:hint="eastAsia" w:ascii="宋体" w:hAnsi="宋体"/>
              </w:rPr>
              <w:t>工作环境温度：-15～40℃，湿度：≤90%。</w:t>
            </w:r>
          </w:p>
          <w:p>
            <w:pPr>
              <w:spacing w:line="320" w:lineRule="exact"/>
              <w:rPr>
                <w:rFonts w:ascii="宋体" w:hAnsi="宋体"/>
              </w:rPr>
            </w:pPr>
            <w:r>
              <w:rPr>
                <w:rFonts w:hint="eastAsia" w:ascii="宋体" w:hAnsi="宋体"/>
              </w:rPr>
              <w:t>存储环境：温度：-30～50℃，湿度：≤75%。</w:t>
            </w:r>
          </w:p>
          <w:p>
            <w:pPr>
              <w:spacing w:line="320" w:lineRule="exact"/>
              <w:rPr>
                <w:rFonts w:ascii="宋体" w:hAnsi="宋体"/>
              </w:rPr>
            </w:pPr>
            <w:r>
              <w:rPr>
                <w:rFonts w:hint="eastAsia" w:ascii="宋体" w:hAnsi="宋体"/>
              </w:rPr>
              <w:t>测试人体腰、髋、柔韧性的测试器材，采用测试推拉板测试，无惯性；抗疲劳试验十万次以上。</w:t>
            </w:r>
          </w:p>
          <w:p>
            <w:pPr>
              <w:spacing w:before="64" w:beforeLines="20" w:after="64"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要求进行，只需输学号或者测试号就可完成测试。</w:t>
            </w:r>
          </w:p>
          <w:p>
            <w:pPr>
              <w:spacing w:line="320" w:lineRule="exact"/>
              <w:rPr>
                <w:rFonts w:ascii="宋体" w:hAnsi="宋体"/>
              </w:rPr>
            </w:pPr>
            <w:r>
              <w:rPr>
                <w:rFonts w:hint="eastAsia" w:ascii="宋体" w:hAnsi="宋体"/>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宋体" w:hAnsi="宋体"/>
              </w:rPr>
            </w:pPr>
            <w:r>
              <w:rPr>
                <w:rFonts w:hint="eastAsia" w:ascii="宋体" w:hAnsi="宋体" w:cs="宋体"/>
              </w:rPr>
              <w:t>▲</w:t>
            </w:r>
            <w:r>
              <w:rPr>
                <w:rFonts w:hint="eastAsia" w:ascii="宋体" w:hAnsi="宋体"/>
              </w:rPr>
              <w:t>2）主机三重备份数据功能，防止数据丢失，测试数据自动存储在主机里；并能储存40000条以上学生信息和成绩。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具有有线和无线网络数据实时或者集中批量传输功能，测试数据可实时传输至数据上报软件中。</w:t>
            </w:r>
          </w:p>
          <w:p>
            <w:pPr>
              <w:spacing w:line="320" w:lineRule="exact"/>
              <w:rPr>
                <w:rFonts w:ascii="宋体" w:hAnsi="宋体"/>
              </w:rPr>
            </w:pPr>
            <w:r>
              <w:rPr>
                <w:rFonts w:hint="eastAsia" w:ascii="宋体" w:hAnsi="宋体"/>
              </w:rPr>
              <w:t>4）主机材质为ABS白色塑料壳体，主机轮廓长≥32cm、宽≥27cm、高≥10cm，采用翻盖、防尘、便携设计、方便在任意地点分散测试，提高测试效率。</w:t>
            </w:r>
          </w:p>
          <w:p>
            <w:pPr>
              <w:spacing w:line="320" w:lineRule="exact"/>
              <w:rPr>
                <w:rFonts w:ascii="宋体" w:hAnsi="宋体"/>
              </w:rPr>
            </w:pPr>
            <w:r>
              <w:rPr>
                <w:rFonts w:hint="eastAsia" w:ascii="宋体" w:hAnsi="宋体"/>
              </w:rPr>
              <w:t>5）测试部件为高强度铝合金材质，安全性高，抗腐蚀，整体提高测试传感部件的寿命。</w:t>
            </w:r>
          </w:p>
          <w:p>
            <w:pPr>
              <w:spacing w:line="320" w:lineRule="exact"/>
              <w:rPr>
                <w:rFonts w:ascii="宋体" w:hAnsi="宋体"/>
              </w:rPr>
            </w:pPr>
            <w:r>
              <w:rPr>
                <w:rFonts w:hint="eastAsia" w:ascii="宋体" w:hAnsi="宋体"/>
              </w:rPr>
              <w:t>6）每台主机配备塑料便携工作桌，可拆卸，方便固定主机工作。</w:t>
            </w:r>
          </w:p>
          <w:p>
            <w:pPr>
              <w:spacing w:line="300" w:lineRule="exact"/>
              <w:rPr>
                <w:rFonts w:ascii="宋体" w:hAnsi="宋体"/>
              </w:rPr>
            </w:pPr>
            <w:r>
              <w:rPr>
                <w:rFonts w:hint="eastAsia" w:ascii="宋体" w:hAnsi="宋体"/>
              </w:rPr>
              <w:t>7）产品具有国家认可的检验报告及国体认证证书，且在有效期内。</w:t>
            </w:r>
          </w:p>
          <w:p>
            <w:pPr>
              <w:spacing w:line="320" w:lineRule="exact"/>
              <w:rPr>
                <w:rFonts w:ascii="宋体" w:hAnsi="宋体"/>
              </w:rPr>
            </w:pPr>
            <w:r>
              <w:rPr>
                <w:rFonts w:hint="eastAsia" w:ascii="宋体" w:hAnsi="宋体"/>
                <w:color w:val="000000"/>
              </w:rPr>
              <w:t>8）</w:t>
            </w:r>
            <w:r>
              <w:rPr>
                <w:rFonts w:hint="eastAsia" w:ascii="宋体" w:hAnsi="宋体"/>
              </w:rPr>
              <w:t>交直流两用。且在无交流情况下主机仍可连续工作10小时以上。</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宋体" w:hAnsi="宋体" w:cs="宋体"/>
                <w:color w:val="000000"/>
                <w:kern w:val="0"/>
              </w:rPr>
            </w:pPr>
            <w:r>
              <w:rPr>
                <w:rFonts w:hint="eastAsia" w:ascii="宋体" w:hAnsi="宋体" w:cs="宋体"/>
                <w:color w:val="000000"/>
                <w:kern w:val="0"/>
              </w:rPr>
              <w:t>健民、</w:t>
            </w:r>
          </w:p>
          <w:p>
            <w:pPr>
              <w:pStyle w:val="21"/>
              <w:spacing w:before="156" w:after="156"/>
              <w:ind w:firstLine="0" w:firstLineChars="0"/>
              <w:rPr>
                <w:rFonts w:ascii="宋体" w:hAnsi="宋体" w:eastAsia="宋体" w:cs="宋体"/>
                <w:sz w:val="21"/>
                <w:szCs w:val="21"/>
              </w:rPr>
            </w:pPr>
            <w:r>
              <w:rPr>
                <w:rFonts w:hint="eastAsia" w:ascii="宋体" w:hAnsi="宋体" w:eastAsia="宋体" w:cs="宋体"/>
                <w:sz w:val="21"/>
                <w:szCs w:val="21"/>
              </w:rPr>
              <w:t xml:space="preserve">鑫美华 </w:t>
            </w:r>
          </w:p>
          <w:p>
            <w:r>
              <w:rPr>
                <w:rFonts w:hint="eastAsia" w:ascii="宋体" w:hAnsi="宋体" w:cs="宋体"/>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color w:val="000000"/>
                <w:kern w:val="0"/>
              </w:rPr>
              <w:t>3</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仰卧起坐测试仪</w:t>
            </w:r>
          </w:p>
        </w:tc>
        <w:tc>
          <w:tcPr>
            <w:tcW w:w="5686" w:type="dxa"/>
            <w:vAlign w:val="center"/>
          </w:tcPr>
          <w:p>
            <w:pPr>
              <w:spacing w:before="64" w:beforeLines="20" w:after="64" w:afterLines="20" w:line="280" w:lineRule="exac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rPr>
              <w:t>量程：0-99次          精度值：1次            误差：</w:t>
            </w:r>
            <w:r>
              <w:rPr>
                <w:rFonts w:hint="eastAsia" w:asciiTheme="minorEastAsia" w:hAnsiTheme="minorEastAsia" w:eastAsiaTheme="minorEastAsia" w:cstheme="minorEastAsia"/>
                <w:kern w:val="0"/>
              </w:rPr>
              <w:t>±1次</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工作环境温度：-15～40℃，湿度：≤90%。</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存储环境：温度：-30～50℃，湿度：≤75%。</w:t>
            </w:r>
          </w:p>
          <w:p>
            <w:pPr>
              <w:spacing w:before="64" w:beforeLines="20" w:after="64" w:afterLines="20"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智能网络学生体质健康测试设备，其设计、生产完全符合GB/T 19851.12-2005</w:t>
            </w:r>
            <w:r>
              <w:rPr>
                <w:rFonts w:hint="eastAsia" w:asciiTheme="minorEastAsia" w:hAnsiTheme="minorEastAsia" w:eastAsiaTheme="minorEastAsia" w:cstheme="minorEastAsia"/>
                <w:kern w:val="0"/>
              </w:rPr>
              <w:t>标准</w:t>
            </w:r>
            <w:r>
              <w:rPr>
                <w:rFonts w:hint="eastAsia" w:asciiTheme="minorEastAsia" w:hAnsiTheme="minorEastAsia" w:eastAsiaTheme="minorEastAsia" w:cstheme="minorEastAsia"/>
              </w:rPr>
              <w:t>要求进行，只需输学号或者测试号就可完成测试。</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▲2）主机三重备份数据功能，防止数据丢失，测试数据自动存储在主机里；并能储存40000条以上学生信息和成绩。</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rPr>
              <w:t>具有有线和无线网络数据实时或者集中批量传输功能，测试数据可实时传输至数据上报软件中。</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4）主机材质为ABS白色塑料壳体，主机轮廓长≥32cm、宽≥27cm、高≥10cm，采用翻盖、防尘、便携设计、方便在任意地点分散测试，提高测试效率。</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5）测试部件为高强度铝合金材质，安全性高，抗腐蚀，整体提高测试传感部件的寿命。</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6）每台主机配备塑料便携工作桌，可拆卸，方便固定主机工作。</w:t>
            </w:r>
          </w:p>
          <w:p>
            <w:pPr>
              <w:spacing w:line="3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7）产品具有国家认可的检验报告及国体认证证书，且在有效期内。</w:t>
            </w:r>
          </w:p>
          <w:p>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r>
              <w:rPr>
                <w:rFonts w:hint="eastAsia" w:asciiTheme="minorEastAsia" w:hAnsiTheme="minorEastAsia" w:eastAsiaTheme="minorEastAsia" w:cstheme="minorEastAsia"/>
              </w:rPr>
              <w:t>交直流两用。且在无交流情况下主机仍可连续工作10小时以上。</w:t>
            </w:r>
          </w:p>
        </w:tc>
        <w:tc>
          <w:tcPr>
            <w:tcW w:w="1134"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position w:val="6"/>
              </w:rPr>
              <w:t>台</w:t>
            </w:r>
          </w:p>
        </w:tc>
        <w:tc>
          <w:tcPr>
            <w:tcW w:w="851"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kern w:val="0"/>
              </w:rPr>
              <w:t>20</w:t>
            </w:r>
          </w:p>
        </w:tc>
        <w:tc>
          <w:tcPr>
            <w:tcW w:w="1559" w:type="dxa"/>
            <w:vAlign w:val="center"/>
          </w:tcPr>
          <w:p>
            <w:pPr>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4</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身高体重测量仪</w:t>
            </w:r>
          </w:p>
        </w:tc>
        <w:tc>
          <w:tcPr>
            <w:tcW w:w="5686" w:type="dxa"/>
            <w:vAlign w:val="center"/>
          </w:tcPr>
          <w:p>
            <w:pPr>
              <w:widowControl/>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kern w:val="0"/>
              </w:rPr>
              <w:t>身高量程：90㎝～210㎝   分度值：0.1㎝  误差：±0.2㎝</w:t>
            </w:r>
          </w:p>
          <w:p>
            <w:pPr>
              <w:widowControl/>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hd w:val="clear" w:color="auto" w:fill="FFFFFF"/>
              </w:rPr>
              <w:t>★</w:t>
            </w:r>
            <w:r>
              <w:rPr>
                <w:rFonts w:hint="eastAsia" w:asciiTheme="minorEastAsia" w:hAnsiTheme="minorEastAsia" w:eastAsiaTheme="minorEastAsia" w:cstheme="minorEastAsia"/>
                <w:kern w:val="0"/>
              </w:rPr>
              <w:t>体重量程：5～200㎏      分度值：0.1㎏    误差：±0.3%</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工作环境温度：-15～40℃，湿度：≤90%。</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存储环境：温度：-30～50℃，湿度：≤75%。</w:t>
            </w:r>
          </w:p>
          <w:p>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rPr>
              <w:t>身高：水平压板自动升降控制，</w:t>
            </w:r>
          </w:p>
          <w:p>
            <w:pPr>
              <w:rPr>
                <w:rFonts w:asciiTheme="minorEastAsia" w:hAnsiTheme="minorEastAsia" w:eastAsiaTheme="minorEastAsia" w:cstheme="minorEastAsia"/>
              </w:rPr>
            </w:pPr>
            <w:r>
              <w:rPr>
                <w:rFonts w:hint="eastAsia" w:asciiTheme="minorEastAsia" w:hAnsiTheme="minorEastAsia" w:eastAsiaTheme="minorEastAsia" w:cstheme="minorEastAsia"/>
              </w:rPr>
              <w:t>体重平台为平面设计，保证任意一点都可测出受试者的体重，并所得数值一样。</w:t>
            </w:r>
          </w:p>
          <w:p>
            <w:pPr>
              <w:spacing w:before="64" w:beforeLines="20" w:after="64" w:afterLines="20" w:line="280" w:lineRule="exact"/>
              <w:rPr>
                <w:rFonts w:asciiTheme="minorEastAsia" w:hAnsiTheme="minorEastAsia" w:eastAsiaTheme="minorEastAsia" w:cstheme="minorEastAsia"/>
              </w:rPr>
            </w:pPr>
            <w:r>
              <w:rPr>
                <w:rFonts w:hint="eastAsia" w:asciiTheme="minorEastAsia" w:hAnsiTheme="minorEastAsia" w:eastAsiaTheme="minorEastAsia" w:cstheme="minorEastAsia"/>
              </w:rPr>
              <w:t>智能网络学生体质健康测试设备，其设计、生产完全符合GB/T 19851.12-2005</w:t>
            </w:r>
            <w:r>
              <w:rPr>
                <w:rFonts w:hint="eastAsia" w:asciiTheme="minorEastAsia" w:hAnsiTheme="minorEastAsia" w:eastAsiaTheme="minorEastAsia" w:cstheme="minorEastAsia"/>
                <w:kern w:val="0"/>
              </w:rPr>
              <w:t>标准</w:t>
            </w:r>
            <w:r>
              <w:rPr>
                <w:rFonts w:hint="eastAsia" w:asciiTheme="minorEastAsia" w:hAnsiTheme="minorEastAsia" w:eastAsiaTheme="minorEastAsia" w:cstheme="minorEastAsia"/>
              </w:rPr>
              <w:t>要求进行，只需输学号或者测试号就可完成测试。</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1）主机屏幕背光设计，可开关，适合任何光线下使用，中文显示测试者姓名、编号和测试成绩。测试过程全程语音提示，音量可调节或关闭，成绩可查询，测试次数可自主设定；输入测试号的位数可任意设定，最多20位。</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2）主机三重备份数据功能，防止数据丢失，测试数据自动存储在主机里；并能储存40000条以上学生信息和成绩。</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3）为预防电脑数据接受故障，主机预留大容量IC卡接口，可以连接数据专用接收和下载器导入学生信息</w:t>
            </w:r>
            <w:r>
              <w:rPr>
                <w:rFonts w:hint="eastAsia" w:asciiTheme="minorEastAsia" w:hAnsiTheme="minorEastAsia" w:eastAsiaTheme="minorEastAsia" w:cstheme="minorEastAsia"/>
                <w:color w:val="000000"/>
              </w:rPr>
              <w:t>；</w:t>
            </w:r>
            <w:r>
              <w:rPr>
                <w:rFonts w:hint="eastAsia" w:asciiTheme="minorEastAsia" w:hAnsiTheme="minorEastAsia" w:eastAsiaTheme="minorEastAsia" w:cstheme="minorEastAsia"/>
              </w:rPr>
              <w:t>具有有线和无线网络数据实时或者集中批量传输功能，测试数据可实时传输至数据上报软件中。</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4）主机材质为ABS白色塑料壳体，主机轮廓长≥32cm、宽≥27cm、高≥10cm，采用翻盖、防尘、便携设计、方便在任意地点分散测试，提高测试效率。</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5）测试部件为高强度铝合金材质，安全性高，抗腐蚀，整体提高测试传感部件的寿命。</w:t>
            </w:r>
          </w:p>
          <w:p>
            <w:pPr>
              <w:spacing w:line="320" w:lineRule="exact"/>
              <w:rPr>
                <w:rFonts w:asciiTheme="minorEastAsia" w:hAnsiTheme="minorEastAsia" w:eastAsiaTheme="minorEastAsia" w:cstheme="minorEastAsia"/>
              </w:rPr>
            </w:pPr>
            <w:r>
              <w:rPr>
                <w:rFonts w:hint="eastAsia" w:asciiTheme="minorEastAsia" w:hAnsiTheme="minorEastAsia" w:eastAsiaTheme="minorEastAsia" w:cstheme="minorEastAsia"/>
              </w:rPr>
              <w:t>6）每台主机配备塑料便携工作桌，可拆卸，方便固定主机工作。</w:t>
            </w:r>
          </w:p>
          <w:p>
            <w:pPr>
              <w:spacing w:line="3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7）产品具有国家认可的检验报告及国体认证证书，且在有效期内。</w:t>
            </w:r>
          </w:p>
          <w:p>
            <w:pP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r>
              <w:rPr>
                <w:rFonts w:hint="eastAsia" w:asciiTheme="minorEastAsia" w:hAnsiTheme="minorEastAsia" w:eastAsiaTheme="minorEastAsia" w:cstheme="minorEastAsia"/>
              </w:rPr>
              <w:t>交直流两用。且在无交流情况下主机仍可连续工作10小时以上。</w:t>
            </w:r>
          </w:p>
        </w:tc>
        <w:tc>
          <w:tcPr>
            <w:tcW w:w="1134"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position w:val="6"/>
              </w:rPr>
              <w:t>台</w:t>
            </w:r>
          </w:p>
        </w:tc>
        <w:tc>
          <w:tcPr>
            <w:tcW w:w="851" w:type="dxa"/>
            <w:vAlign w:val="center"/>
          </w:tcPr>
          <w:p>
            <w:pPr>
              <w:widowControl/>
              <w:jc w:val="center"/>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kern w:val="0"/>
              </w:rPr>
              <w:t>6</w:t>
            </w:r>
          </w:p>
        </w:tc>
        <w:tc>
          <w:tcPr>
            <w:tcW w:w="1559" w:type="dxa"/>
            <w:vAlign w:val="center"/>
          </w:tcPr>
          <w:p>
            <w:pPr>
              <w:jc w:val="left"/>
              <w:rPr>
                <w:rFonts w:asciiTheme="minorEastAsia" w:hAnsiTheme="minorEastAsia" w:eastAsiaTheme="minorEastAsia" w:cstheme="minorEastAsia"/>
              </w:rPr>
            </w:pPr>
          </w:p>
          <w:p>
            <w:pPr>
              <w:widowControl/>
              <w:jc w:val="left"/>
              <w:textAlignment w:val="center"/>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ascii="宋体" w:hAnsi="宋体" w:cs="宋体"/>
                <w:color w:val="000000"/>
                <w:kern w:val="0"/>
              </w:rPr>
            </w:pPr>
            <w:r>
              <w:rPr>
                <w:rFonts w:hint="eastAsia" w:ascii="宋体" w:hAnsi="宋体" w:cs="宋体"/>
                <w:kern w:val="0"/>
              </w:rPr>
              <w:t>5</w:t>
            </w:r>
          </w:p>
        </w:tc>
        <w:tc>
          <w:tcPr>
            <w:tcW w:w="1391" w:type="dxa"/>
            <w:vAlign w:val="center"/>
          </w:tcPr>
          <w:p>
            <w:pPr>
              <w:widowControl/>
              <w:jc w:val="center"/>
              <w:textAlignment w:val="center"/>
              <w:rPr>
                <w:rFonts w:ascii="宋体" w:hAnsi="宋体" w:cs="宋体"/>
                <w:kern w:val="0"/>
              </w:rPr>
            </w:pPr>
            <w:r>
              <w:rPr>
                <w:rFonts w:hint="eastAsia" w:ascii="宋体" w:hAnsi="宋体" w:cs="宋体"/>
                <w:kern w:val="0"/>
              </w:rPr>
              <w:t>肺活量测试仪</w:t>
            </w:r>
          </w:p>
        </w:tc>
        <w:tc>
          <w:tcPr>
            <w:tcW w:w="5686" w:type="dxa"/>
            <w:vAlign w:val="center"/>
          </w:tcPr>
          <w:p>
            <w:pPr>
              <w:rPr>
                <w:rFonts w:ascii="宋体" w:hAnsi="宋体"/>
              </w:rPr>
            </w:pPr>
            <w:r>
              <w:rPr>
                <w:rFonts w:ascii="宋体" w:hAnsi="宋体" w:cs="Arial"/>
                <w:color w:val="000000"/>
              </w:rPr>
              <w:t>肺活量是指一次深吸气后的最大呼出的气体容积</w:t>
            </w:r>
            <w:r>
              <w:rPr>
                <w:rFonts w:hint="eastAsia" w:ascii="宋体" w:hAnsi="宋体" w:cs="Arial"/>
                <w:color w:val="000000"/>
              </w:rPr>
              <w:t>，</w:t>
            </w:r>
            <w:r>
              <w:rPr>
                <w:rFonts w:hint="eastAsia" w:ascii="宋体" w:hAnsi="宋体"/>
              </w:rPr>
              <w:t>反映了肺的容积和扩张能力</w:t>
            </w:r>
          </w:p>
          <w:p>
            <w:pPr>
              <w:tabs>
                <w:tab w:val="left" w:pos="10605"/>
              </w:tabs>
              <w:spacing w:line="240" w:lineRule="exact"/>
              <w:rPr>
                <w:rFonts w:ascii="宋体" w:hAnsi="宋体"/>
                <w:bCs/>
              </w:rPr>
            </w:pPr>
            <w:r>
              <w:rPr>
                <w:rFonts w:hint="eastAsia" w:ascii="宋体" w:hAnsi="宋体"/>
              </w:rPr>
              <w:t>显示受试者的肺活量值并自动将此数值锁定，最终选取最优成绩；并能够测出人体吹气微小的余量。</w:t>
            </w:r>
          </w:p>
          <w:p>
            <w:pPr>
              <w:rPr>
                <w:rFonts w:ascii="宋体" w:hAnsi="宋体"/>
                <w:color w:val="000000"/>
              </w:rPr>
            </w:pPr>
            <w:r>
              <w:rPr>
                <w:rFonts w:hint="eastAsia" w:ascii="宋体" w:hAnsi="宋体" w:cs="宋体"/>
                <w:kern w:val="0"/>
                <w:shd w:val="clear" w:color="auto" w:fill="FFFFFF"/>
              </w:rPr>
              <w:t>★</w:t>
            </w:r>
            <w:r>
              <w:rPr>
                <w:rFonts w:hint="eastAsia" w:ascii="宋体" w:hAnsi="宋体"/>
                <w:color w:val="000000"/>
              </w:rPr>
              <w:t>量程：1</w:t>
            </w:r>
            <w:r>
              <w:rPr>
                <w:rFonts w:ascii="宋体" w:hAnsi="宋体"/>
                <w:color w:val="000000"/>
              </w:rPr>
              <w:t>0</w:t>
            </w:r>
            <w:r>
              <w:rPr>
                <w:rFonts w:hint="eastAsia" w:ascii="宋体" w:hAnsi="宋体"/>
                <w:color w:val="000000"/>
              </w:rPr>
              <w:t>mL～9999</w:t>
            </w:r>
            <w:r>
              <w:rPr>
                <w:rFonts w:ascii="宋体" w:hAnsi="宋体"/>
                <w:color w:val="000000"/>
              </w:rPr>
              <w:t xml:space="preserve">ml </w:t>
            </w:r>
            <w:r>
              <w:rPr>
                <w:rFonts w:hint="eastAsia" w:ascii="宋体" w:hAnsi="宋体"/>
                <w:color w:val="000000"/>
              </w:rPr>
              <w:t xml:space="preserve">     分度值：1</w:t>
            </w:r>
            <w:r>
              <w:rPr>
                <w:rFonts w:ascii="宋体" w:hAnsi="宋体"/>
                <w:color w:val="000000"/>
              </w:rPr>
              <w:t>ml</w:t>
            </w:r>
            <w:r>
              <w:rPr>
                <w:rFonts w:hint="eastAsia" w:ascii="宋体" w:hAnsi="宋体"/>
                <w:color w:val="000000"/>
              </w:rPr>
              <w:t xml:space="preserve">       精度：±2.5%</w:t>
            </w:r>
          </w:p>
          <w:p>
            <w:pPr>
              <w:widowControl/>
              <w:jc w:val="left"/>
              <w:rPr>
                <w:rFonts w:ascii="宋体" w:hAnsi="宋体"/>
              </w:rPr>
            </w:pPr>
            <w:r>
              <w:rPr>
                <w:rFonts w:hint="eastAsia" w:ascii="宋体" w:hAnsi="宋体"/>
              </w:rPr>
              <w:t>工作环境温度：-15～40℃，    湿度：≤90%。</w:t>
            </w:r>
          </w:p>
          <w:p>
            <w:pPr>
              <w:spacing w:line="320" w:lineRule="exact"/>
              <w:rPr>
                <w:rFonts w:ascii="宋体" w:hAnsi="宋体"/>
              </w:rPr>
            </w:pPr>
            <w:r>
              <w:rPr>
                <w:rFonts w:hint="eastAsia" w:ascii="宋体" w:hAnsi="宋体"/>
              </w:rPr>
              <w:t>存储环境：温度：-30～50℃，  湿度：≤75%。</w:t>
            </w:r>
          </w:p>
          <w:p>
            <w:pPr>
              <w:tabs>
                <w:tab w:val="left" w:pos="10605"/>
              </w:tabs>
              <w:spacing w:line="240" w:lineRule="exact"/>
              <w:rPr>
                <w:rFonts w:ascii="宋体" w:hAnsi="宋体"/>
                <w:bCs/>
              </w:rPr>
            </w:pPr>
            <w:r>
              <w:rPr>
                <w:rFonts w:hint="eastAsia" w:ascii="宋体" w:hAnsi="宋体"/>
                <w:bCs/>
              </w:rPr>
              <w:t>显　　示：中文显示　　　　　 无线数据传输距离≥200m</w:t>
            </w:r>
          </w:p>
          <w:p>
            <w:pPr>
              <w:spacing w:before="64" w:beforeLines="20" w:after="64" w:afterLines="20" w:line="280" w:lineRule="exact"/>
              <w:rPr>
                <w:rFonts w:ascii="宋体" w:hAnsi="宋体"/>
              </w:rPr>
            </w:pPr>
            <w:r>
              <w:rPr>
                <w:rFonts w:hint="eastAsia" w:ascii="宋体" w:hAnsi="宋体"/>
              </w:rPr>
              <w:t>智能网络学生体质健康测试设备，其设计、生产完全符合GB/T 19851.12-2005</w:t>
            </w:r>
            <w:r>
              <w:rPr>
                <w:rFonts w:hint="eastAsia" w:ascii="宋体" w:hAnsi="宋体" w:cs="宋体"/>
                <w:kern w:val="0"/>
              </w:rPr>
              <w:t>标准</w:t>
            </w:r>
            <w:r>
              <w:rPr>
                <w:rFonts w:hint="eastAsia" w:ascii="宋体" w:hAnsi="宋体"/>
              </w:rPr>
              <w:t>要求进行，只需输测试号或者刷非接触式射频卡就可完成测试，且测试号自动递增。可扩展扫描条形码录入，学校学生一卡通录入，指纹录入学生个人信息。</w:t>
            </w:r>
          </w:p>
          <w:p>
            <w:pPr>
              <w:spacing w:line="320" w:lineRule="exact"/>
              <w:rPr>
                <w:rFonts w:ascii="宋体" w:hAnsi="宋体"/>
              </w:rPr>
            </w:pPr>
            <w:r>
              <w:rPr>
                <w:rFonts w:hint="eastAsia" w:ascii="宋体" w:hAnsi="宋体"/>
              </w:rPr>
              <w:t>1）主机屏幕。7寸可触摸彩色液晶屏幕，背光设计，可开关，适合任何光线下使用，带有实时时钟，中文显示测试者姓名、编号和测试成绩。测试过程全程语音提示，音量可调节或关闭，成绩可查询，测试次数可自主设定；输入测试者编号的位数可任意设定，最多可达到20位。</w:t>
            </w:r>
          </w:p>
          <w:p>
            <w:pPr>
              <w:spacing w:line="320" w:lineRule="exact"/>
              <w:rPr>
                <w:rFonts w:ascii="宋体" w:hAnsi="宋体"/>
              </w:rPr>
            </w:pPr>
            <w:r>
              <w:rPr>
                <w:rFonts w:hint="eastAsia" w:ascii="宋体" w:hAnsi="宋体"/>
              </w:rPr>
              <w:t>2）主机开机自动标定，测试数据三重备份数据功能，防止数据丢失，测试数据自动存储在主机里；并能储存40000条以上学生信息和成绩。</w:t>
            </w:r>
          </w:p>
          <w:p>
            <w:pPr>
              <w:spacing w:line="320" w:lineRule="exact"/>
              <w:rPr>
                <w:rFonts w:ascii="宋体" w:hAnsi="宋体" w:cs="宋体"/>
              </w:rPr>
            </w:pPr>
            <w:r>
              <w:rPr>
                <w:rFonts w:hint="eastAsia" w:ascii="宋体" w:hAnsi="宋体"/>
              </w:rPr>
              <w:t>3）为预防电脑数据接受故障，主机预留大容量IC卡接口，可以连接数据专用接收和下载器导入学生信息</w:t>
            </w:r>
            <w:r>
              <w:rPr>
                <w:rFonts w:hint="eastAsia" w:ascii="宋体" w:hAnsi="宋体"/>
                <w:color w:val="000000"/>
              </w:rPr>
              <w:t>；</w:t>
            </w:r>
            <w:r>
              <w:rPr>
                <w:rFonts w:hint="eastAsia" w:ascii="宋体" w:hAnsi="宋体" w:cs="宋体"/>
              </w:rPr>
              <w:t>具有有线和无线网络数据实时或者集中批量传输功能，测试数据也可实时传输至数据采集软件中。</w:t>
            </w:r>
          </w:p>
          <w:p>
            <w:pPr>
              <w:spacing w:line="320" w:lineRule="exact"/>
              <w:rPr>
                <w:rFonts w:ascii="宋体" w:hAnsi="宋体"/>
              </w:rPr>
            </w:pPr>
            <w:r>
              <w:rPr>
                <w:rFonts w:hint="eastAsia" w:ascii="宋体" w:hAnsi="宋体"/>
              </w:rPr>
              <w:t>4）主机材质为ABS白色塑料壳体，主机轮廓长≥25cm、宽≥20cm、高≥8cm，采用便携设计、方便在任意地点分散测试，提高测试效率。</w:t>
            </w:r>
          </w:p>
          <w:p>
            <w:pPr>
              <w:spacing w:line="320" w:lineRule="exact"/>
              <w:rPr>
                <w:rFonts w:ascii="宋体" w:hAnsi="宋体"/>
              </w:rPr>
            </w:pPr>
            <w:r>
              <w:rPr>
                <w:rFonts w:hint="eastAsia" w:ascii="宋体" w:hAnsi="宋体"/>
              </w:rPr>
              <w:t>5）每台主机配备塑料便携工作桌，可拆卸，方便固定主机工作安全性高，抗腐蚀，整体提高测试传感部件的寿命。</w:t>
            </w:r>
          </w:p>
          <w:p>
            <w:pPr>
              <w:spacing w:line="300" w:lineRule="exact"/>
              <w:rPr>
                <w:rFonts w:ascii="宋体" w:hAnsi="宋体"/>
              </w:rPr>
            </w:pPr>
            <w:r>
              <w:rPr>
                <w:rFonts w:hint="eastAsia" w:ascii="宋体" w:hAnsi="宋体"/>
              </w:rPr>
              <w:t>6）产品具有国家认可的检验报告及国体认证证书，且在有效期内。</w:t>
            </w:r>
          </w:p>
          <w:p>
            <w:pPr>
              <w:spacing w:line="320" w:lineRule="exact"/>
              <w:rPr>
                <w:rFonts w:ascii="宋体" w:hAnsi="宋体"/>
              </w:rPr>
            </w:pPr>
            <w:r>
              <w:rPr>
                <w:rFonts w:hint="eastAsia" w:ascii="宋体" w:hAnsi="宋体"/>
                <w:color w:val="000000"/>
              </w:rPr>
              <w:t>7）</w:t>
            </w:r>
            <w:r>
              <w:rPr>
                <w:rFonts w:hint="eastAsia" w:ascii="宋体" w:hAnsi="宋体"/>
              </w:rPr>
              <w:t>交直流两用。且在无交流情况下主机仍可连续工作10小时以上。</w:t>
            </w:r>
          </w:p>
          <w:p>
            <w:pPr>
              <w:spacing w:line="320" w:lineRule="exact"/>
              <w:rPr>
                <w:rFonts w:ascii="宋体" w:hAnsi="宋体"/>
              </w:rPr>
            </w:pPr>
            <w:r>
              <w:rPr>
                <w:rFonts w:hint="eastAsia" w:ascii="宋体" w:hAnsi="宋体"/>
              </w:rPr>
              <w:t>8）主机测试传感器采用专用的医疗导流，导气白色塑料软导管，即插即拆式设计，便于消毒，清理积液。</w:t>
            </w:r>
          </w:p>
        </w:tc>
        <w:tc>
          <w:tcPr>
            <w:tcW w:w="1134" w:type="dxa"/>
            <w:vAlign w:val="center"/>
          </w:tcPr>
          <w:p>
            <w:pPr>
              <w:widowControl/>
              <w:jc w:val="center"/>
              <w:textAlignment w:val="center"/>
              <w:rPr>
                <w:rFonts w:ascii="宋体" w:hAnsi="宋体" w:cs="宋体"/>
                <w:color w:val="000000"/>
                <w:kern w:val="0"/>
              </w:rPr>
            </w:pPr>
            <w:r>
              <w:rPr>
                <w:rFonts w:hint="eastAsia" w:ascii="宋体" w:hAnsi="宋体" w:cs="宋体"/>
                <w:position w:val="6"/>
              </w:rPr>
              <w:t>台</w:t>
            </w:r>
          </w:p>
        </w:tc>
        <w:tc>
          <w:tcPr>
            <w:tcW w:w="851" w:type="dxa"/>
            <w:vAlign w:val="center"/>
          </w:tcPr>
          <w:p>
            <w:pPr>
              <w:widowControl/>
              <w:jc w:val="center"/>
              <w:textAlignment w:val="center"/>
              <w:rPr>
                <w:rFonts w:ascii="宋体" w:hAnsi="宋体" w:cs="宋体"/>
                <w:color w:val="000000"/>
                <w:kern w:val="0"/>
              </w:rPr>
            </w:pPr>
            <w:r>
              <w:rPr>
                <w:rFonts w:hint="eastAsia" w:ascii="宋体" w:hAnsi="宋体" w:cs="宋体"/>
                <w:kern w:val="0"/>
              </w:rPr>
              <w:t>6</w:t>
            </w:r>
          </w:p>
        </w:tc>
        <w:tc>
          <w:tcPr>
            <w:tcW w:w="1559" w:type="dxa"/>
            <w:vAlign w:val="center"/>
          </w:tcPr>
          <w:p>
            <w:pPr>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健民、</w:t>
            </w:r>
          </w:p>
          <w:p>
            <w:pPr>
              <w:pStyle w:val="21"/>
              <w:spacing w:before="156" w:after="156"/>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鑫美华</w:t>
            </w:r>
          </w:p>
          <w:p>
            <w:pPr>
              <w:pStyle w:val="21"/>
              <w:spacing w:before="156" w:after="156"/>
              <w:ind w:firstLine="0" w:firstLineChars="0"/>
            </w:pPr>
            <w:r>
              <w:rPr>
                <w:rFonts w:hint="eastAsia" w:asciiTheme="minorEastAsia" w:hAnsiTheme="minorEastAsia" w:eastAsiaTheme="minorEastAsia" w:cstheme="minorEastAsia"/>
                <w:sz w:val="21"/>
                <w:szCs w:val="21"/>
              </w:rPr>
              <w:t>滕顺</w:t>
            </w:r>
          </w:p>
        </w:tc>
        <w:tc>
          <w:tcPr>
            <w:tcW w:w="1300" w:type="dxa"/>
            <w:vAlign w:val="center"/>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c>
          <w:tcPr>
            <w:tcW w:w="1252" w:type="dxa"/>
          </w:tcPr>
          <w:p>
            <w:pPr>
              <w:widowControl/>
              <w:jc w:val="center"/>
              <w:textAlignment w:val="center"/>
              <w:rPr>
                <w:rFonts w:ascii="宋体" w:hAnsi="宋体" w:cs="宋体"/>
                <w:color w:val="000000"/>
                <w:kern w:val="0"/>
              </w:rPr>
            </w:pPr>
          </w:p>
        </w:tc>
      </w:tr>
    </w:tbl>
    <w:p>
      <w:pPr>
        <w:jc w:val="right"/>
      </w:pPr>
    </w:p>
    <w:p>
      <w:pPr>
        <w:pStyle w:val="2"/>
      </w:pPr>
      <w:r>
        <w:rPr>
          <w:rFonts w:hint="eastAsia" w:eastAsia="黑体" w:cs="宋体"/>
          <w:kern w:val="0"/>
          <w:sz w:val="28"/>
          <w:szCs w:val="28"/>
        </w:rPr>
        <w:t>2、运动解剖实训室</w:t>
      </w:r>
    </w:p>
    <w:tbl>
      <w:tblPr>
        <w:tblStyle w:val="23"/>
        <w:tblW w:w="1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391"/>
        <w:gridCol w:w="6263"/>
        <w:gridCol w:w="782"/>
        <w:gridCol w:w="880"/>
        <w:gridCol w:w="1530"/>
        <w:gridCol w:w="1050"/>
        <w:gridCol w:w="105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b/>
                <w:bCs/>
                <w:color w:val="000000"/>
              </w:rPr>
            </w:pPr>
            <w:r>
              <w:rPr>
                <w:rFonts w:hint="eastAsia" w:cs="宋体"/>
                <w:b/>
                <w:bCs/>
                <w:color w:val="000000"/>
                <w:kern w:val="0"/>
              </w:rPr>
              <w:t>序号</w:t>
            </w:r>
          </w:p>
        </w:tc>
        <w:tc>
          <w:tcPr>
            <w:tcW w:w="1391" w:type="dxa"/>
            <w:vAlign w:val="center"/>
          </w:tcPr>
          <w:p>
            <w:pPr>
              <w:widowControl/>
              <w:jc w:val="center"/>
              <w:textAlignment w:val="center"/>
              <w:rPr>
                <w:rFonts w:cs="宋体"/>
                <w:b/>
                <w:bCs/>
                <w:color w:val="000000"/>
              </w:rPr>
            </w:pPr>
            <w:r>
              <w:rPr>
                <w:rFonts w:hint="eastAsia" w:cs="宋体"/>
                <w:b/>
                <w:bCs/>
                <w:color w:val="000000"/>
                <w:kern w:val="0"/>
              </w:rPr>
              <w:t>货物名称</w:t>
            </w:r>
          </w:p>
        </w:tc>
        <w:tc>
          <w:tcPr>
            <w:tcW w:w="6263" w:type="dxa"/>
            <w:vAlign w:val="center"/>
          </w:tcPr>
          <w:p>
            <w:pPr>
              <w:widowControl/>
              <w:jc w:val="center"/>
              <w:textAlignment w:val="center"/>
              <w:rPr>
                <w:rFonts w:cs="宋体"/>
                <w:b/>
                <w:bCs/>
                <w:color w:val="000000"/>
              </w:rPr>
            </w:pPr>
            <w:r>
              <w:rPr>
                <w:rFonts w:hint="eastAsia" w:cs="宋体"/>
                <w:b/>
                <w:bCs/>
                <w:color w:val="000000"/>
                <w:kern w:val="0"/>
              </w:rPr>
              <w:t>技术参数</w:t>
            </w:r>
          </w:p>
        </w:tc>
        <w:tc>
          <w:tcPr>
            <w:tcW w:w="782" w:type="dxa"/>
            <w:vAlign w:val="center"/>
          </w:tcPr>
          <w:p>
            <w:pPr>
              <w:widowControl/>
              <w:jc w:val="center"/>
              <w:textAlignment w:val="center"/>
              <w:rPr>
                <w:rFonts w:cs="宋体"/>
                <w:b/>
                <w:bCs/>
                <w:color w:val="000000"/>
              </w:rPr>
            </w:pPr>
            <w:r>
              <w:rPr>
                <w:rFonts w:hint="eastAsia" w:cs="宋体"/>
                <w:b/>
                <w:bCs/>
                <w:color w:val="000000"/>
                <w:kern w:val="0"/>
              </w:rPr>
              <w:t>单位</w:t>
            </w:r>
          </w:p>
        </w:tc>
        <w:tc>
          <w:tcPr>
            <w:tcW w:w="880" w:type="dxa"/>
            <w:vAlign w:val="center"/>
          </w:tcPr>
          <w:p>
            <w:pPr>
              <w:widowControl/>
              <w:jc w:val="center"/>
              <w:textAlignment w:val="center"/>
              <w:rPr>
                <w:rFonts w:cs="宋体"/>
                <w:b/>
                <w:bCs/>
                <w:color w:val="000000"/>
              </w:rPr>
            </w:pPr>
            <w:r>
              <w:rPr>
                <w:rFonts w:hint="eastAsia" w:cs="宋体"/>
                <w:b/>
                <w:bCs/>
                <w:color w:val="000000"/>
                <w:kern w:val="0"/>
              </w:rPr>
              <w:t>数量</w:t>
            </w:r>
          </w:p>
        </w:tc>
        <w:tc>
          <w:tcPr>
            <w:tcW w:w="1530" w:type="dxa"/>
            <w:vAlign w:val="center"/>
          </w:tcPr>
          <w:p>
            <w:pPr>
              <w:widowControl/>
              <w:jc w:val="center"/>
              <w:textAlignment w:val="center"/>
              <w:rPr>
                <w:rFonts w:cs="宋体"/>
                <w:b/>
                <w:bCs/>
                <w:color w:val="000000"/>
              </w:rPr>
            </w:pPr>
            <w:r>
              <w:rPr>
                <w:rFonts w:hint="eastAsia" w:cs="宋体"/>
                <w:b/>
                <w:bCs/>
                <w:color w:val="000000"/>
                <w:kern w:val="0"/>
              </w:rPr>
              <w:t>参考品牌</w:t>
            </w:r>
          </w:p>
        </w:tc>
        <w:tc>
          <w:tcPr>
            <w:tcW w:w="1050" w:type="dxa"/>
            <w:vAlign w:val="center"/>
          </w:tcPr>
          <w:p>
            <w:pPr>
              <w:widowControl/>
              <w:jc w:val="center"/>
              <w:textAlignment w:val="center"/>
              <w:rPr>
                <w:rFonts w:cs="宋体"/>
                <w:b/>
                <w:bCs/>
                <w:color w:val="000000"/>
              </w:rPr>
            </w:pPr>
            <w:r>
              <w:rPr>
                <w:rFonts w:hint="eastAsia" w:ascii="宋体" w:hAnsi="宋体" w:cs="宋体"/>
                <w:b/>
                <w:bCs/>
                <w:color w:val="000000"/>
                <w:kern w:val="0"/>
              </w:rPr>
              <w:t>单价（元）</w:t>
            </w:r>
          </w:p>
        </w:tc>
        <w:tc>
          <w:tcPr>
            <w:tcW w:w="1050" w:type="dxa"/>
          </w:tcPr>
          <w:p>
            <w:pPr>
              <w:widowControl/>
              <w:jc w:val="center"/>
              <w:textAlignment w:val="center"/>
              <w:rPr>
                <w:rFonts w:cs="宋体"/>
                <w:b/>
                <w:bCs/>
                <w:color w:val="000000"/>
              </w:rPr>
            </w:pPr>
            <w:r>
              <w:rPr>
                <w:rFonts w:hint="eastAsia" w:ascii="宋体" w:hAnsi="宋体" w:cs="宋体"/>
                <w:b/>
                <w:bCs/>
                <w:color w:val="000000"/>
                <w:kern w:val="0"/>
              </w:rPr>
              <w:t>总价（元）</w:t>
            </w:r>
          </w:p>
        </w:tc>
        <w:tc>
          <w:tcPr>
            <w:tcW w:w="1130" w:type="dxa"/>
          </w:tcPr>
          <w:p>
            <w:pPr>
              <w:widowControl/>
              <w:jc w:val="center"/>
              <w:textAlignment w:val="center"/>
              <w:rPr>
                <w:rFonts w:ascii="宋体" w:hAnsi="宋体" w:cs="宋体"/>
                <w:b/>
                <w:bCs/>
                <w:color w:val="000000"/>
                <w:kern w:val="0"/>
              </w:rPr>
            </w:pPr>
            <w:r>
              <w:rPr>
                <w:rFonts w:hint="eastAsia" w:ascii="宋体" w:hAnsi="宋体" w:cs="宋体"/>
                <w:b/>
                <w:bCs/>
                <w:color w:val="000000"/>
                <w:kern w:val="0"/>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4" w:type="dxa"/>
            <w:vAlign w:val="center"/>
          </w:tcPr>
          <w:p>
            <w:pPr>
              <w:widowControl/>
              <w:jc w:val="center"/>
              <w:textAlignment w:val="center"/>
              <w:rPr>
                <w:rFonts w:cs="宋体"/>
                <w:color w:val="000000"/>
                <w:kern w:val="0"/>
              </w:rPr>
            </w:pPr>
            <w:r>
              <w:rPr>
                <w:rFonts w:hint="eastAsia" w:cs="宋体"/>
                <w:kern w:val="0"/>
              </w:rPr>
              <w:t>1</w:t>
            </w:r>
          </w:p>
        </w:tc>
        <w:tc>
          <w:tcPr>
            <w:tcW w:w="1391" w:type="dxa"/>
            <w:vAlign w:val="center"/>
          </w:tcPr>
          <w:p>
            <w:pPr>
              <w:widowControl/>
              <w:jc w:val="center"/>
              <w:textAlignment w:val="center"/>
              <w:rPr>
                <w:rFonts w:cs="宋体"/>
                <w:kern w:val="0"/>
              </w:rPr>
            </w:pPr>
            <w:r>
              <w:rPr>
                <w:rFonts w:hint="eastAsia" w:cs="宋体"/>
                <w:kern w:val="0"/>
              </w:rPr>
              <w:t>人体肌肉及胸腹腔脏器解剖模型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尺寸：缩小版，高不低于780mm；</w:t>
            </w:r>
          </w:p>
          <w:p>
            <w:pPr>
              <w:ind w:right="94"/>
              <w:rPr>
                <w:rFonts w:cs="宋体"/>
                <w:color w:val="000000" w:themeColor="text1"/>
                <w:kern w:val="0"/>
              </w:rPr>
            </w:pPr>
            <w:r>
              <w:rPr>
                <w:rFonts w:hint="eastAsia" w:cs="宋体"/>
                <w:color w:val="000000" w:themeColor="text1"/>
                <w:kern w:val="0"/>
              </w:rPr>
              <w:t>部件：27部件，固定在底座上；</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功能：模型有全身肌肉、胸腹壁肌、上下肢肌，颅顶骨、脑以及胸腹腔内脏器官等27个部件组成，并显示头颈部、躯干部、上、下肢骨、肌肉、肌腱、韧带、胸腹腔器官、血管和脑等结构。共200多个部位标识；</w:t>
            </w:r>
          </w:p>
          <w:p>
            <w:pPr>
              <w:widowControl/>
              <w:jc w:val="left"/>
              <w:rPr>
                <w:rFonts w:cs="宋体"/>
                <w:color w:val="000000"/>
              </w:rPr>
            </w:pPr>
            <w:r>
              <w:rPr>
                <w:rFonts w:hint="eastAsia" w:cs="宋体"/>
                <w:color w:val="000000" w:themeColor="text1"/>
                <w:kern w:val="0"/>
              </w:rPr>
              <w:t>材质：进口环保PVC材料，进口环保油漆。</w:t>
            </w:r>
          </w:p>
        </w:tc>
        <w:tc>
          <w:tcPr>
            <w:tcW w:w="782" w:type="dxa"/>
            <w:vAlign w:val="center"/>
          </w:tcPr>
          <w:p>
            <w:pPr>
              <w:widowControl/>
              <w:jc w:val="center"/>
              <w:textAlignment w:val="center"/>
              <w:rPr>
                <w:rFonts w:cs="宋体"/>
                <w:color w:val="000000"/>
                <w:kern w:val="0"/>
              </w:rPr>
            </w:pPr>
            <w:r>
              <w:rPr>
                <w:rFonts w:hint="eastAsia" w:cs="宋体"/>
                <w:kern w:val="0"/>
              </w:rPr>
              <w:t>套</w:t>
            </w:r>
          </w:p>
        </w:tc>
        <w:tc>
          <w:tcPr>
            <w:tcW w:w="880" w:type="dxa"/>
            <w:vAlign w:val="center"/>
          </w:tcPr>
          <w:p>
            <w:pPr>
              <w:widowControl/>
              <w:jc w:val="center"/>
              <w:textAlignment w:val="center"/>
              <w:rPr>
                <w:rFonts w:cs="宋体"/>
                <w:color w:val="000000"/>
                <w:kern w:val="0"/>
              </w:rPr>
            </w:pPr>
            <w:r>
              <w:rPr>
                <w:rFonts w:hint="eastAsia" w:cs="宋体"/>
                <w:kern w:val="0"/>
              </w:rPr>
              <w:t>6</w:t>
            </w:r>
          </w:p>
        </w:tc>
        <w:tc>
          <w:tcPr>
            <w:tcW w:w="1530" w:type="dxa"/>
            <w:vAlign w:val="center"/>
          </w:tcPr>
          <w:p>
            <w:pPr>
              <w:jc w:val="center"/>
              <w:rPr>
                <w:rFonts w:cs="宋体"/>
                <w:position w:val="6"/>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w:t>
            </w:r>
          </w:p>
        </w:tc>
        <w:tc>
          <w:tcPr>
            <w:tcW w:w="1391" w:type="dxa"/>
            <w:vAlign w:val="center"/>
          </w:tcPr>
          <w:p>
            <w:pPr>
              <w:widowControl/>
              <w:jc w:val="center"/>
              <w:textAlignment w:val="center"/>
              <w:rPr>
                <w:rFonts w:cs="宋体"/>
                <w:kern w:val="0"/>
              </w:rPr>
            </w:pPr>
            <w:r>
              <w:rPr>
                <w:rFonts w:hint="eastAsia" w:cs="宋体"/>
                <w:kern w:val="0"/>
              </w:rPr>
              <w:t>高级颈椎附肌肉模型</w:t>
            </w:r>
          </w:p>
        </w:tc>
        <w:tc>
          <w:tcPr>
            <w:tcW w:w="6263" w:type="dxa"/>
            <w:vAlign w:val="center"/>
          </w:tcPr>
          <w:p>
            <w:pPr>
              <w:widowControl/>
              <w:jc w:val="left"/>
              <w:textAlignment w:val="center"/>
              <w:rPr>
                <w:rStyle w:val="60"/>
                <w:rFonts w:hint="default" w:ascii="Times New Roman" w:hAnsi="Times New Roman" w:eastAsia="宋体" w:cs="宋体"/>
                <w:color w:val="auto"/>
              </w:rPr>
            </w:pPr>
            <w:r>
              <w:rPr>
                <w:rFonts w:hint="eastAsia" w:cs="宋体"/>
                <w:kern w:val="0"/>
              </w:rPr>
              <w:t>成人自然大，医学教学模型，</w:t>
            </w:r>
            <w:r>
              <w:rPr>
                <w:rStyle w:val="50"/>
                <w:rFonts w:hint="default" w:ascii="Times New Roman" w:hAnsi="Times New Roman"/>
                <w:color w:val="auto"/>
              </w:rPr>
              <w:t>PVC</w:t>
            </w:r>
            <w:r>
              <w:rPr>
                <w:rStyle w:val="60"/>
                <w:rFonts w:hint="default" w:ascii="Times New Roman" w:hAnsi="Times New Roman" w:eastAsia="宋体" w:cs="宋体"/>
                <w:color w:val="auto"/>
              </w:rPr>
              <w:t>材质，有底架支撑。</w:t>
            </w:r>
          </w:p>
          <w:p>
            <w:pPr>
              <w:widowControl/>
              <w:jc w:val="left"/>
              <w:textAlignment w:val="center"/>
              <w:rPr>
                <w:rFonts w:cs="宋体"/>
                <w:color w:val="000000"/>
              </w:rPr>
            </w:pPr>
            <w:r>
              <w:rPr>
                <w:rFonts w:hint="eastAsia" w:cs="宋体"/>
                <w:color w:val="000000" w:themeColor="text1"/>
                <w:kern w:val="0"/>
              </w:rPr>
              <w:t>此模型为颈椎肌肉带脑干附神经模型。</w:t>
            </w:r>
          </w:p>
        </w:tc>
        <w:tc>
          <w:tcPr>
            <w:tcW w:w="782" w:type="dxa"/>
            <w:vAlign w:val="center"/>
          </w:tcPr>
          <w:p>
            <w:pPr>
              <w:widowControl/>
              <w:jc w:val="center"/>
              <w:textAlignment w:val="center"/>
              <w:rPr>
                <w:rFonts w:cs="宋体"/>
                <w:color w:val="000000"/>
                <w:kern w:val="0"/>
              </w:rPr>
            </w:pPr>
            <w:r>
              <w:rPr>
                <w:rFonts w:hint="eastAsia" w:cs="宋体"/>
                <w:kern w:val="0"/>
              </w:rPr>
              <w:t>套</w:t>
            </w:r>
          </w:p>
        </w:tc>
        <w:tc>
          <w:tcPr>
            <w:tcW w:w="880" w:type="dxa"/>
            <w:vAlign w:val="center"/>
          </w:tcPr>
          <w:p>
            <w:pPr>
              <w:widowControl/>
              <w:jc w:val="center"/>
              <w:textAlignment w:val="center"/>
              <w:rPr>
                <w:rFonts w:cs="宋体"/>
                <w:color w:val="000000"/>
                <w:kern w:val="0"/>
              </w:rPr>
            </w:pPr>
            <w:r>
              <w:rPr>
                <w:rFonts w:hint="eastAsia" w:cs="宋体"/>
                <w:kern w:val="0"/>
              </w:rPr>
              <w:t>6</w:t>
            </w:r>
          </w:p>
        </w:tc>
        <w:tc>
          <w:tcPr>
            <w:tcW w:w="1530" w:type="dxa"/>
            <w:vAlign w:val="center"/>
          </w:tcPr>
          <w:p>
            <w:pPr>
              <w:jc w:val="center"/>
              <w:rPr>
                <w:rFonts w:cs="宋体"/>
                <w:position w:val="6"/>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center"/>
              <w:textAlignment w:val="center"/>
              <w:rPr>
                <w:rFonts w:cs="宋体"/>
                <w:color w:val="000000"/>
                <w:kern w:val="0"/>
              </w:rPr>
            </w:pPr>
            <w:r>
              <w:rPr>
                <w:rFonts w:hint="eastAsia" w:cs="宋体"/>
                <w:kern w:val="0"/>
              </w:rPr>
              <w:t>3</w:t>
            </w:r>
          </w:p>
        </w:tc>
        <w:tc>
          <w:tcPr>
            <w:tcW w:w="1391" w:type="dxa"/>
            <w:vAlign w:val="center"/>
          </w:tcPr>
          <w:p>
            <w:pPr>
              <w:widowControl/>
              <w:jc w:val="center"/>
              <w:textAlignment w:val="center"/>
              <w:rPr>
                <w:rFonts w:cs="宋体"/>
                <w:kern w:val="0"/>
              </w:rPr>
            </w:pPr>
            <w:r>
              <w:rPr>
                <w:rFonts w:hint="eastAsia" w:cs="宋体"/>
                <w:kern w:val="0"/>
              </w:rPr>
              <w:t>人体骨骼附肌肉起止点着色模型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尺寸：自然大，高不低于170cm；</w:t>
            </w:r>
          </w:p>
          <w:p>
            <w:pPr>
              <w:ind w:right="94"/>
              <w:rPr>
                <w:rFonts w:cs="宋体"/>
                <w:color w:val="000000" w:themeColor="text1"/>
                <w:kern w:val="0"/>
              </w:rPr>
            </w:pPr>
            <w:r>
              <w:rPr>
                <w:rFonts w:hint="eastAsia" w:cs="宋体"/>
                <w:color w:val="000000" w:themeColor="text1"/>
                <w:kern w:val="0"/>
              </w:rPr>
              <w:t>部件：由男性全身散骨串制而成一整体骨架；</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功能：显示男性全身骨骼的组成和形态外观，其中四肢骨可以灵活组合，头颅骨和灵活组装，固定在支架上，带底座，可灵活移动。左半侧骨骼用不同颜色油漆标识出肌肉起止点位置；</w:t>
            </w:r>
          </w:p>
          <w:p>
            <w:pPr>
              <w:ind w:right="94"/>
              <w:rPr>
                <w:rFonts w:cs="宋体"/>
                <w:b/>
                <w:bCs/>
                <w:color w:val="000000"/>
              </w:rPr>
            </w:pPr>
            <w:r>
              <w:rPr>
                <w:rFonts w:hint="eastAsia" w:cs="宋体"/>
                <w:color w:val="000000" w:themeColor="text1"/>
                <w:kern w:val="0"/>
              </w:rPr>
              <w:t>材质：进口环保PVC材料，进口环保油漆。</w:t>
            </w:r>
          </w:p>
        </w:tc>
        <w:tc>
          <w:tcPr>
            <w:tcW w:w="782" w:type="dxa"/>
            <w:vAlign w:val="center"/>
          </w:tcPr>
          <w:p>
            <w:pPr>
              <w:widowControl/>
              <w:jc w:val="center"/>
              <w:textAlignment w:val="center"/>
              <w:rPr>
                <w:rFonts w:cs="宋体"/>
                <w:color w:val="000000"/>
                <w:kern w:val="0"/>
              </w:rPr>
            </w:pPr>
            <w:r>
              <w:rPr>
                <w:rFonts w:hint="eastAsia" w:cs="宋体"/>
                <w:kern w:val="0"/>
              </w:rPr>
              <w:t>套</w:t>
            </w:r>
          </w:p>
        </w:tc>
        <w:tc>
          <w:tcPr>
            <w:tcW w:w="880" w:type="dxa"/>
            <w:vAlign w:val="center"/>
          </w:tcPr>
          <w:p>
            <w:pPr>
              <w:widowControl/>
              <w:jc w:val="center"/>
              <w:textAlignment w:val="center"/>
              <w:rPr>
                <w:rFonts w:cs="宋体"/>
                <w:color w:val="000000"/>
                <w:kern w:val="0"/>
              </w:rPr>
            </w:pPr>
            <w:r>
              <w:rPr>
                <w:rFonts w:hint="eastAsia" w:cs="宋体"/>
                <w:kern w:val="0"/>
              </w:rPr>
              <w:t>6</w:t>
            </w:r>
          </w:p>
        </w:tc>
        <w:tc>
          <w:tcPr>
            <w:tcW w:w="1530" w:type="dxa"/>
            <w:vAlign w:val="center"/>
          </w:tcPr>
          <w:p>
            <w:pPr>
              <w:jc w:val="center"/>
              <w:rPr>
                <w:rFonts w:cs="宋体"/>
                <w:position w:val="6"/>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color w:val="000000"/>
                <w:kern w:val="0"/>
              </w:rPr>
              <w:t>4</w:t>
            </w:r>
          </w:p>
        </w:tc>
        <w:tc>
          <w:tcPr>
            <w:tcW w:w="1391" w:type="dxa"/>
            <w:vAlign w:val="center"/>
          </w:tcPr>
          <w:p>
            <w:pPr>
              <w:widowControl/>
              <w:jc w:val="center"/>
              <w:textAlignment w:val="center"/>
              <w:rPr>
                <w:rFonts w:cs="宋体"/>
                <w:kern w:val="0"/>
              </w:rPr>
            </w:pPr>
            <w:r>
              <w:rPr>
                <w:rFonts w:hint="eastAsia" w:cs="宋体"/>
                <w:kern w:val="0"/>
              </w:rPr>
              <w:t>人体骨杠杆分类模型</w:t>
            </w:r>
          </w:p>
        </w:tc>
        <w:tc>
          <w:tcPr>
            <w:tcW w:w="6263" w:type="dxa"/>
            <w:vAlign w:val="center"/>
          </w:tcPr>
          <w:p>
            <w:pPr>
              <w:ind w:right="94"/>
              <w:rPr>
                <w:rFonts w:cs="宋体"/>
                <w:color w:val="000000" w:themeColor="text1"/>
                <w:kern w:val="0"/>
              </w:rPr>
            </w:pPr>
            <w:r>
              <w:rPr>
                <w:rFonts w:hint="eastAsia"/>
                <w:sz w:val="24"/>
                <w:szCs w:val="24"/>
              </w:rPr>
              <w:t>▲</w:t>
            </w:r>
            <w:r>
              <w:rPr>
                <w:rFonts w:hint="eastAsia" w:cs="宋体"/>
                <w:color w:val="000000" w:themeColor="text1"/>
                <w:kern w:val="0"/>
              </w:rPr>
              <w:t>尺寸：自然大，≥600×440×130mm；</w:t>
            </w:r>
          </w:p>
          <w:p>
            <w:pPr>
              <w:ind w:right="94"/>
              <w:rPr>
                <w:rFonts w:cs="宋体"/>
                <w:color w:val="000000" w:themeColor="text1"/>
                <w:kern w:val="0"/>
              </w:rPr>
            </w:pPr>
            <w:r>
              <w:rPr>
                <w:rFonts w:hint="eastAsia" w:cs="宋体"/>
                <w:color w:val="000000" w:themeColor="text1"/>
                <w:kern w:val="0"/>
              </w:rPr>
              <w:t>部件：3部件，固定在木箱中；</w:t>
            </w:r>
          </w:p>
          <w:p>
            <w:pPr>
              <w:ind w:right="94"/>
              <w:rPr>
                <w:rFonts w:cs="宋体"/>
                <w:color w:val="000000" w:themeColor="text1"/>
                <w:kern w:val="0"/>
              </w:rPr>
            </w:pPr>
            <w:r>
              <w:rPr>
                <w:rFonts w:hint="eastAsia" w:ascii="宋体" w:hAnsi="宋体" w:cs="宋体"/>
                <w:kern w:val="0"/>
                <w:shd w:val="clear" w:color="auto" w:fill="FFFFFF"/>
              </w:rPr>
              <w:t>★</w:t>
            </w:r>
            <w:r>
              <w:rPr>
                <w:rFonts w:hint="eastAsia" w:cs="宋体"/>
                <w:color w:val="000000" w:themeColor="text1"/>
                <w:kern w:val="0"/>
              </w:rPr>
              <w:t>功能：模型展示了三类骨杠杆的结构和形态，模型由头颅骨（含下颌骨）的矢状切，第1－5颈椎的矢状切，胫骨和腓骨下段、距骨、肱骨、前臂骨、手骨（示手舟骨、头状骨、第三掌骨和中指骨）等组成，分别贴于杠杆的支点、力点和阻力点等标签，可观察人体骨杠杆概念分类和三类骨杠杆的传递力、平衡力、省力以及增大运动幅度与速度等所起的作用；</w:t>
            </w:r>
          </w:p>
          <w:p>
            <w:pPr>
              <w:ind w:right="94"/>
              <w:rPr>
                <w:rFonts w:cs="宋体"/>
                <w:color w:val="000000"/>
              </w:rPr>
            </w:pPr>
            <w:r>
              <w:rPr>
                <w:rFonts w:hint="eastAsia" w:cs="宋体"/>
                <w:color w:val="000000" w:themeColor="text1"/>
                <w:kern w:val="0"/>
              </w:rPr>
              <w:t>材质：进口环保PVC材料，进口环保油漆</w:t>
            </w:r>
          </w:p>
        </w:tc>
        <w:tc>
          <w:tcPr>
            <w:tcW w:w="782" w:type="dxa"/>
            <w:vAlign w:val="center"/>
          </w:tcPr>
          <w:p>
            <w:pPr>
              <w:widowControl/>
              <w:jc w:val="center"/>
              <w:textAlignment w:val="center"/>
              <w:rPr>
                <w:rFonts w:cs="宋体"/>
                <w:color w:val="000000"/>
                <w:kern w:val="0"/>
              </w:rPr>
            </w:pPr>
            <w:r>
              <w:rPr>
                <w:rFonts w:hint="eastAsia" w:cs="宋体"/>
                <w:kern w:val="0"/>
              </w:rPr>
              <w:t>套</w:t>
            </w:r>
          </w:p>
        </w:tc>
        <w:tc>
          <w:tcPr>
            <w:tcW w:w="880" w:type="dxa"/>
            <w:vAlign w:val="center"/>
          </w:tcPr>
          <w:p>
            <w:pPr>
              <w:widowControl/>
              <w:jc w:val="center"/>
              <w:textAlignment w:val="center"/>
              <w:rPr>
                <w:rFonts w:cs="宋体"/>
                <w:color w:val="000000"/>
                <w:kern w:val="0"/>
              </w:rPr>
            </w:pPr>
            <w:r>
              <w:rPr>
                <w:rFonts w:hint="eastAsia" w:cs="宋体"/>
                <w:kern w:val="0"/>
              </w:rPr>
              <w:t>6</w:t>
            </w:r>
          </w:p>
        </w:tc>
        <w:tc>
          <w:tcPr>
            <w:tcW w:w="1530" w:type="dxa"/>
            <w:vAlign w:val="center"/>
          </w:tcPr>
          <w:p>
            <w:pPr>
              <w:jc w:val="center"/>
              <w:rPr>
                <w:rFonts w:cs="宋体"/>
                <w:color w:val="000000"/>
                <w:kern w:val="0"/>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4" w:type="dxa"/>
            <w:vAlign w:val="center"/>
          </w:tcPr>
          <w:p>
            <w:pPr>
              <w:widowControl/>
              <w:jc w:val="right"/>
              <w:textAlignment w:val="center"/>
              <w:rPr>
                <w:rFonts w:cs="宋体"/>
                <w:color w:val="000000"/>
                <w:kern w:val="0"/>
              </w:rPr>
            </w:pPr>
            <w:r>
              <w:rPr>
                <w:rFonts w:hint="eastAsia" w:cs="宋体"/>
                <w:color w:val="000000"/>
                <w:kern w:val="0"/>
              </w:rPr>
              <w:t>5</w:t>
            </w:r>
          </w:p>
        </w:tc>
        <w:tc>
          <w:tcPr>
            <w:tcW w:w="1391" w:type="dxa"/>
            <w:vAlign w:val="center"/>
          </w:tcPr>
          <w:p>
            <w:pPr>
              <w:widowControl/>
              <w:jc w:val="center"/>
              <w:textAlignment w:val="center"/>
              <w:rPr>
                <w:rFonts w:cs="宋体"/>
                <w:kern w:val="0"/>
              </w:rPr>
            </w:pPr>
            <w:r>
              <w:rPr>
                <w:rFonts w:hint="eastAsia" w:cs="宋体"/>
                <w:kern w:val="0"/>
              </w:rPr>
              <w:t>人体骨关节分类模型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尺寸：自然大，≥720×470×135mm；</w:t>
            </w:r>
          </w:p>
          <w:p>
            <w:pPr>
              <w:ind w:right="94"/>
              <w:rPr>
                <w:rFonts w:cs="宋体"/>
                <w:kern w:val="0"/>
              </w:rPr>
            </w:pPr>
            <w:r>
              <w:rPr>
                <w:rFonts w:hint="eastAsia" w:cs="宋体"/>
                <w:kern w:val="0"/>
              </w:rPr>
              <w:t>部件：模型由各个关节固定在木箱中；</w:t>
            </w:r>
          </w:p>
          <w:p>
            <w:pPr>
              <w:ind w:right="94"/>
              <w:rPr>
                <w:rFonts w:cs="宋体"/>
                <w:kern w:val="0"/>
              </w:rPr>
            </w:pPr>
            <w:r>
              <w:rPr>
                <w:rFonts w:hint="eastAsia" w:ascii="宋体" w:hAnsi="宋体" w:cs="宋体"/>
                <w:kern w:val="0"/>
                <w:shd w:val="clear" w:color="auto" w:fill="FFFFFF"/>
              </w:rPr>
              <w:t>★</w:t>
            </w:r>
            <w:r>
              <w:rPr>
                <w:rFonts w:hint="eastAsia" w:cs="宋体"/>
                <w:kern w:val="0"/>
              </w:rPr>
              <w:t>功能：模型展示了人体的单轴关节、双轴关节、多轴关节以及屈戌关节、车轴关节、双髁状关节、鞍状关节、椭圆关节、球窝关节、杵臼关节、和平面关节；</w:t>
            </w:r>
          </w:p>
          <w:p>
            <w:pPr>
              <w:widowControl/>
              <w:jc w:val="left"/>
              <w:textAlignment w:val="center"/>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6</w:t>
            </w:r>
          </w:p>
        </w:tc>
        <w:tc>
          <w:tcPr>
            <w:tcW w:w="1391" w:type="dxa"/>
            <w:vAlign w:val="center"/>
          </w:tcPr>
          <w:p>
            <w:pPr>
              <w:widowControl/>
              <w:jc w:val="center"/>
              <w:textAlignment w:val="center"/>
              <w:rPr>
                <w:rFonts w:cs="宋体"/>
                <w:kern w:val="0"/>
              </w:rPr>
            </w:pPr>
            <w:r>
              <w:rPr>
                <w:rFonts w:hint="eastAsia" w:cs="宋体"/>
                <w:kern w:val="0"/>
              </w:rPr>
              <w:t>肝解剖模型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尺寸：自然大，≥180×110×180mm；</w:t>
            </w:r>
          </w:p>
          <w:p>
            <w:pPr>
              <w:ind w:right="94"/>
              <w:rPr>
                <w:rFonts w:cs="宋体"/>
                <w:kern w:val="0"/>
              </w:rPr>
            </w:pPr>
            <w:r>
              <w:rPr>
                <w:rFonts w:hint="eastAsia" w:cs="宋体"/>
                <w:kern w:val="0"/>
              </w:rPr>
              <w:t>部件：2部件；</w:t>
            </w:r>
          </w:p>
          <w:p>
            <w:pPr>
              <w:ind w:right="94"/>
              <w:rPr>
                <w:rFonts w:cs="宋体"/>
                <w:kern w:val="0"/>
              </w:rPr>
            </w:pPr>
            <w:r>
              <w:rPr>
                <w:rFonts w:hint="eastAsia" w:ascii="宋体" w:hAnsi="宋体" w:cs="宋体"/>
                <w:kern w:val="0"/>
                <w:shd w:val="clear" w:color="auto" w:fill="FFFFFF"/>
              </w:rPr>
              <w:t>★</w:t>
            </w:r>
            <w:r>
              <w:rPr>
                <w:rFonts w:hint="eastAsia" w:cs="宋体"/>
                <w:kern w:val="0"/>
              </w:rPr>
              <w:t>功能：显示肝的分叶，肝的韧带，肝门结构和胆囊，胆管系统等结构；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7</w:t>
            </w:r>
          </w:p>
        </w:tc>
        <w:tc>
          <w:tcPr>
            <w:tcW w:w="1391" w:type="dxa"/>
            <w:vAlign w:val="center"/>
          </w:tcPr>
          <w:p>
            <w:pPr>
              <w:widowControl/>
              <w:jc w:val="center"/>
              <w:textAlignment w:val="center"/>
              <w:rPr>
                <w:rFonts w:cs="宋体"/>
                <w:kern w:val="0"/>
              </w:rPr>
            </w:pPr>
            <w:r>
              <w:rPr>
                <w:rFonts w:hint="eastAsia" w:cs="宋体"/>
                <w:kern w:val="0"/>
              </w:rPr>
              <w:t>胃解剖模型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尺寸：自然大，≥130×150×160mm；</w:t>
            </w:r>
          </w:p>
          <w:p>
            <w:pPr>
              <w:ind w:right="94"/>
              <w:rPr>
                <w:rFonts w:cs="宋体"/>
                <w:kern w:val="0"/>
              </w:rPr>
            </w:pPr>
            <w:r>
              <w:rPr>
                <w:rFonts w:hint="eastAsia" w:cs="宋体"/>
                <w:kern w:val="0"/>
              </w:rPr>
              <w:t>部件：2部件，固定在底座上；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功能：此模型真人大小的模型是沿着中间平面解剖的，可以打开来显示胃的内部结构；</w:t>
            </w:r>
          </w:p>
          <w:p>
            <w:pPr>
              <w:ind w:right="94"/>
              <w:rPr>
                <w:rFonts w:cs="宋体"/>
              </w:rPr>
            </w:pPr>
            <w:r>
              <w:rPr>
                <w:rFonts w:hint="eastAsia" w:cs="宋体"/>
                <w:kern w:val="0"/>
              </w:rPr>
              <w:t xml:space="preserve">材质：进口环保PVC材料，进口环保油漆； </w:t>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8</w:t>
            </w:r>
          </w:p>
        </w:tc>
        <w:tc>
          <w:tcPr>
            <w:tcW w:w="1391" w:type="dxa"/>
            <w:vAlign w:val="center"/>
          </w:tcPr>
          <w:p>
            <w:pPr>
              <w:widowControl/>
              <w:jc w:val="center"/>
              <w:textAlignment w:val="center"/>
              <w:rPr>
                <w:rFonts w:cs="宋体"/>
                <w:kern w:val="0"/>
              </w:rPr>
            </w:pPr>
            <w:r>
              <w:rPr>
                <w:rFonts w:hint="eastAsia" w:cs="宋体"/>
                <w:kern w:val="0"/>
              </w:rPr>
              <w:t>肺泡模型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尺寸：自然大，≥230×180×270mm；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功能：肺小叶放大模型显示终末细支气管、呼吸性细支气管、肺泡上皮等结构；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9</w:t>
            </w:r>
          </w:p>
        </w:tc>
        <w:tc>
          <w:tcPr>
            <w:tcW w:w="1391" w:type="dxa"/>
            <w:vAlign w:val="center"/>
          </w:tcPr>
          <w:p>
            <w:pPr>
              <w:widowControl/>
              <w:jc w:val="center"/>
              <w:textAlignment w:val="center"/>
              <w:rPr>
                <w:rFonts w:cs="宋体"/>
                <w:kern w:val="0"/>
              </w:rPr>
            </w:pPr>
            <w:r>
              <w:rPr>
                <w:rFonts w:hint="eastAsia" w:cs="宋体"/>
                <w:kern w:val="0"/>
              </w:rPr>
              <w:t>喉、器官、支气管及肺段支气管解剖模型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尺寸：自然大，≥400×260×120mm；</w:t>
            </w:r>
          </w:p>
          <w:p>
            <w:pPr>
              <w:ind w:right="94"/>
              <w:rPr>
                <w:rFonts w:cs="宋体"/>
                <w:kern w:val="0"/>
              </w:rPr>
            </w:pPr>
            <w:r>
              <w:rPr>
                <w:rFonts w:hint="eastAsia" w:cs="宋体"/>
                <w:kern w:val="0"/>
              </w:rPr>
              <w:t>部件：7部件，置于底板上；</w:t>
            </w:r>
          </w:p>
          <w:p>
            <w:pPr>
              <w:ind w:right="94"/>
              <w:rPr>
                <w:rFonts w:cs="宋体"/>
                <w:kern w:val="0"/>
              </w:rPr>
            </w:pPr>
            <w:r>
              <w:rPr>
                <w:rFonts w:hint="eastAsia" w:ascii="宋体" w:hAnsi="宋体" w:cs="宋体"/>
                <w:kern w:val="0"/>
                <w:shd w:val="clear" w:color="auto" w:fill="FFFFFF"/>
              </w:rPr>
              <w:t>★</w:t>
            </w:r>
            <w:r>
              <w:rPr>
                <w:rFonts w:hint="eastAsia" w:cs="宋体"/>
                <w:kern w:val="0"/>
              </w:rPr>
              <w:t>功能：由两部分组成的模型真实地再现了人类肺部的所有外部特征，是完整人类呼吸系统的真人大小的复制品。它由7个部分组成，包括喉（沿矢状面解剖）、肺（沿额面解剖）和2个部分的心脏；</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10</w:t>
            </w:r>
          </w:p>
        </w:tc>
        <w:tc>
          <w:tcPr>
            <w:tcW w:w="1391" w:type="dxa"/>
            <w:vAlign w:val="center"/>
          </w:tcPr>
          <w:p>
            <w:pPr>
              <w:widowControl/>
              <w:jc w:val="center"/>
              <w:textAlignment w:val="center"/>
              <w:rPr>
                <w:rFonts w:cs="宋体"/>
                <w:kern w:val="0"/>
              </w:rPr>
            </w:pPr>
            <w:r>
              <w:rPr>
                <w:rFonts w:hint="eastAsia" w:cs="宋体"/>
                <w:kern w:val="0"/>
              </w:rPr>
              <w:t>男性泌尿生殖系统模型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尺寸：自然大，≥200×110×370mm；</w:t>
            </w:r>
          </w:p>
          <w:p>
            <w:pPr>
              <w:ind w:right="94"/>
              <w:rPr>
                <w:rFonts w:cs="宋体"/>
                <w:kern w:val="0"/>
              </w:rPr>
            </w:pPr>
            <w:r>
              <w:rPr>
                <w:rFonts w:hint="eastAsia" w:cs="宋体"/>
                <w:kern w:val="0"/>
              </w:rPr>
              <w:t>部件：3部件，固定在底座上；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功能：自然大泌尿系统立体模型，显示了男性泌尿系统的基本结构器官和泌尿管路形态；</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11</w:t>
            </w:r>
          </w:p>
        </w:tc>
        <w:tc>
          <w:tcPr>
            <w:tcW w:w="1391" w:type="dxa"/>
            <w:vAlign w:val="center"/>
          </w:tcPr>
          <w:p>
            <w:pPr>
              <w:widowControl/>
              <w:jc w:val="center"/>
              <w:textAlignment w:val="center"/>
              <w:rPr>
                <w:rFonts w:cs="宋体"/>
                <w:kern w:val="0"/>
              </w:rPr>
            </w:pPr>
            <w:r>
              <w:rPr>
                <w:rFonts w:hint="eastAsia" w:cs="宋体"/>
                <w:kern w:val="0"/>
              </w:rPr>
              <w:t>肾脏模型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尺寸：放大3倍，≥270×200×80mm；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功能：模型显示右肾剖面的肾皮质、肾髓质、肾小盏、肾大盏、肾盂、输导管以及肾动脉、肾静脉等结构；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12</w:t>
            </w:r>
          </w:p>
        </w:tc>
        <w:tc>
          <w:tcPr>
            <w:tcW w:w="1391" w:type="dxa"/>
            <w:vAlign w:val="center"/>
          </w:tcPr>
          <w:p>
            <w:pPr>
              <w:widowControl/>
              <w:jc w:val="center"/>
              <w:textAlignment w:val="center"/>
              <w:rPr>
                <w:rFonts w:cs="宋体"/>
                <w:kern w:val="0"/>
              </w:rPr>
            </w:pPr>
            <w:r>
              <w:rPr>
                <w:rFonts w:hint="eastAsia" w:cs="宋体"/>
                <w:kern w:val="0"/>
              </w:rPr>
              <w:t>肾解剖附肾上腺模型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尺寸：放大3倍，≥270×200×100mm；</w:t>
            </w:r>
          </w:p>
          <w:p>
            <w:pPr>
              <w:ind w:right="94"/>
              <w:rPr>
                <w:rFonts w:cs="宋体"/>
                <w:kern w:val="0"/>
              </w:rPr>
            </w:pPr>
            <w:r>
              <w:rPr>
                <w:rFonts w:hint="eastAsia" w:cs="宋体"/>
                <w:kern w:val="0"/>
              </w:rPr>
              <w:t>部件：1部件，置于底座上；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功能：放大3倍的肾脏，带肾上腺。显示了肾剖面的肾皮质，肾髓质，肾小盏，肾大盏，肾盂，输尿管以及肾动脉，肾静脉等结构；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13</w:t>
            </w:r>
          </w:p>
        </w:tc>
        <w:tc>
          <w:tcPr>
            <w:tcW w:w="1391" w:type="dxa"/>
            <w:vAlign w:val="center"/>
          </w:tcPr>
          <w:p>
            <w:pPr>
              <w:widowControl/>
              <w:jc w:val="center"/>
              <w:textAlignment w:val="center"/>
              <w:rPr>
                <w:rFonts w:cs="宋体"/>
                <w:kern w:val="0"/>
              </w:rPr>
            </w:pPr>
            <w:r>
              <w:rPr>
                <w:rFonts w:hint="eastAsia" w:cs="宋体"/>
                <w:kern w:val="0"/>
              </w:rPr>
              <w:t>动静脉构造模型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尺寸：放大，≥270×200×240mm；</w:t>
            </w:r>
          </w:p>
          <w:p>
            <w:pPr>
              <w:ind w:right="94"/>
              <w:rPr>
                <w:rFonts w:cs="宋体"/>
                <w:kern w:val="0"/>
              </w:rPr>
            </w:pPr>
            <w:r>
              <w:rPr>
                <w:rFonts w:hint="eastAsia" w:cs="宋体"/>
                <w:kern w:val="0"/>
              </w:rPr>
              <w:t>部件：1部件，固定在底座上；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功能：动脉与静脉比较模型，显示动脉和静脉的立体结构，左侧显示了横断面和纵断面及顶视图中，管壁结构的各个层次，右侧显示滋养静脉和两个静脉瓣，后面显示静脉瓣功能；</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14</w:t>
            </w:r>
          </w:p>
        </w:tc>
        <w:tc>
          <w:tcPr>
            <w:tcW w:w="1391" w:type="dxa"/>
            <w:vAlign w:val="center"/>
          </w:tcPr>
          <w:p>
            <w:pPr>
              <w:widowControl/>
              <w:jc w:val="center"/>
              <w:textAlignment w:val="center"/>
              <w:rPr>
                <w:rFonts w:cs="宋体"/>
                <w:kern w:val="0"/>
              </w:rPr>
            </w:pPr>
            <w:r>
              <w:rPr>
                <w:rFonts w:hint="eastAsia" w:cs="宋体"/>
                <w:kern w:val="0"/>
              </w:rPr>
              <w:t>耳（外、中、内）解剖模型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尺寸：放大3倍，≥310×210×250mm；</w:t>
            </w:r>
          </w:p>
          <w:p>
            <w:pPr>
              <w:ind w:right="94"/>
              <w:rPr>
                <w:rFonts w:cs="宋体"/>
                <w:kern w:val="0"/>
              </w:rPr>
            </w:pPr>
            <w:r>
              <w:rPr>
                <w:rFonts w:hint="eastAsia" w:cs="宋体"/>
                <w:kern w:val="0"/>
              </w:rPr>
              <w:t>部件：5部件，固定在底座上；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功能：展示了外耳、中耳、内耳、膜迷路、骨迷路以及完整的耳蜗结构；</w:t>
            </w:r>
          </w:p>
          <w:p>
            <w:pPr>
              <w:ind w:right="94"/>
              <w:rPr>
                <w:rFonts w:cs="宋体"/>
              </w:rPr>
            </w:pPr>
            <w:r>
              <w:rPr>
                <w:rFonts w:hint="eastAsia" w:cs="宋体"/>
                <w:kern w:val="0"/>
              </w:rPr>
              <w:t>材质：进口环保PVC材料，进口环保油漆。</w:t>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15</w:t>
            </w:r>
          </w:p>
        </w:tc>
        <w:tc>
          <w:tcPr>
            <w:tcW w:w="1391" w:type="dxa"/>
            <w:vAlign w:val="center"/>
          </w:tcPr>
          <w:p>
            <w:pPr>
              <w:widowControl/>
              <w:jc w:val="center"/>
              <w:textAlignment w:val="center"/>
              <w:rPr>
                <w:rFonts w:cs="宋体"/>
                <w:kern w:val="0"/>
              </w:rPr>
            </w:pPr>
            <w:r>
              <w:rPr>
                <w:rFonts w:hint="eastAsia" w:cs="宋体"/>
                <w:kern w:val="0"/>
              </w:rPr>
              <w:t>内耳解剖模型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尺寸：放大，≥330×230×200mm；</w:t>
            </w:r>
          </w:p>
          <w:p>
            <w:pPr>
              <w:ind w:right="94"/>
              <w:rPr>
                <w:rFonts w:cs="宋体"/>
                <w:kern w:val="0"/>
              </w:rPr>
            </w:pPr>
            <w:r>
              <w:rPr>
                <w:rFonts w:hint="eastAsia" w:cs="宋体"/>
                <w:kern w:val="0"/>
              </w:rPr>
              <w:t>部件：3部件；</w:t>
            </w:r>
          </w:p>
          <w:p>
            <w:pPr>
              <w:ind w:right="94"/>
              <w:rPr>
                <w:rFonts w:cs="宋体"/>
                <w:kern w:val="0"/>
              </w:rPr>
            </w:pPr>
            <w:r>
              <w:rPr>
                <w:rFonts w:hint="eastAsia" w:ascii="宋体" w:hAnsi="宋体" w:cs="宋体"/>
                <w:kern w:val="0"/>
                <w:shd w:val="clear" w:color="auto" w:fill="FFFFFF"/>
              </w:rPr>
              <w:t>★</w:t>
            </w:r>
            <w:r>
              <w:rPr>
                <w:rFonts w:hint="eastAsia" w:cs="宋体"/>
                <w:kern w:val="0"/>
              </w:rPr>
              <w:t>功能：由内耳，鼓膜听小骨和耳蜗等3个部件组成，展示了内耳迷路，鼓膜、听小骨和耳蜗，前庭蜗神经等结构；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left"/>
              <w:rPr>
                <w:rFonts w:cs="宋体"/>
              </w:rPr>
            </w:pPr>
            <w:r>
              <w:rPr>
                <w:rFonts w:hint="eastAsia" w:cs="宋体"/>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16</w:t>
            </w:r>
          </w:p>
        </w:tc>
        <w:tc>
          <w:tcPr>
            <w:tcW w:w="1391" w:type="dxa"/>
            <w:vAlign w:val="center"/>
          </w:tcPr>
          <w:p>
            <w:pPr>
              <w:widowControl/>
              <w:jc w:val="center"/>
              <w:textAlignment w:val="center"/>
              <w:rPr>
                <w:rFonts w:cs="宋体"/>
                <w:kern w:val="0"/>
              </w:rPr>
            </w:pPr>
            <w:r>
              <w:rPr>
                <w:rFonts w:hint="eastAsia" w:cs="宋体"/>
                <w:kern w:val="0"/>
              </w:rPr>
              <w:t>听小骨模型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尺寸：放大30倍，≥210×145×310mm；</w:t>
            </w:r>
          </w:p>
          <w:p>
            <w:pPr>
              <w:ind w:right="94"/>
              <w:rPr>
                <w:rFonts w:cs="宋体"/>
                <w:kern w:val="0"/>
              </w:rPr>
            </w:pPr>
            <w:r>
              <w:rPr>
                <w:rFonts w:hint="eastAsia" w:cs="宋体"/>
                <w:kern w:val="0"/>
              </w:rPr>
              <w:t>部件：1部件；</w:t>
            </w:r>
          </w:p>
          <w:p>
            <w:pPr>
              <w:ind w:right="94"/>
              <w:rPr>
                <w:rFonts w:cs="宋体"/>
                <w:kern w:val="0"/>
              </w:rPr>
            </w:pPr>
            <w:r>
              <w:rPr>
                <w:rFonts w:hint="eastAsia" w:ascii="宋体" w:hAnsi="宋体" w:cs="宋体"/>
                <w:kern w:val="0"/>
                <w:shd w:val="clear" w:color="auto" w:fill="FFFFFF"/>
              </w:rPr>
              <w:t>★</w:t>
            </w:r>
            <w:r>
              <w:rPr>
                <w:rFonts w:hint="eastAsia" w:cs="宋体"/>
                <w:kern w:val="0"/>
              </w:rPr>
              <w:t>功能：显示了锤骨，砧骨和镫骨的形态和排列方式；</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17</w:t>
            </w:r>
          </w:p>
        </w:tc>
        <w:tc>
          <w:tcPr>
            <w:tcW w:w="1391" w:type="dxa"/>
            <w:vAlign w:val="center"/>
          </w:tcPr>
          <w:p>
            <w:pPr>
              <w:widowControl/>
              <w:jc w:val="center"/>
              <w:textAlignment w:val="center"/>
              <w:rPr>
                <w:rFonts w:cs="宋体"/>
                <w:kern w:val="0"/>
              </w:rPr>
            </w:pPr>
            <w:r>
              <w:rPr>
                <w:rFonts w:hint="eastAsia" w:cs="宋体"/>
                <w:kern w:val="0"/>
              </w:rPr>
              <w:t>眼球解剖放大模型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尺寸：放大6倍，≥170×150×250mm；</w:t>
            </w:r>
          </w:p>
          <w:p>
            <w:pPr>
              <w:ind w:right="94"/>
              <w:rPr>
                <w:rFonts w:cs="宋体"/>
                <w:kern w:val="0"/>
              </w:rPr>
            </w:pPr>
            <w:r>
              <w:rPr>
                <w:rFonts w:hint="eastAsia" w:cs="宋体"/>
                <w:kern w:val="0"/>
              </w:rPr>
              <w:t>部件：6部件，置于底座上；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功能：此眼球模型是正中矢状切，出示了眼球详细的内部结构，角膜、虹膜、晶状体、玻璃体可自由拆装，其中巩膜上的肌肉附着和部分脉络膜可以观察到；</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18</w:t>
            </w:r>
          </w:p>
        </w:tc>
        <w:tc>
          <w:tcPr>
            <w:tcW w:w="1391" w:type="dxa"/>
            <w:vAlign w:val="center"/>
          </w:tcPr>
          <w:p>
            <w:pPr>
              <w:widowControl/>
              <w:jc w:val="center"/>
              <w:textAlignment w:val="center"/>
              <w:rPr>
                <w:rFonts w:cs="宋体"/>
                <w:kern w:val="0"/>
              </w:rPr>
            </w:pPr>
            <w:r>
              <w:rPr>
                <w:rFonts w:hint="eastAsia" w:cs="宋体"/>
                <w:kern w:val="0"/>
              </w:rPr>
              <w:t>脑干放大模型</w:t>
            </w:r>
          </w:p>
        </w:tc>
        <w:tc>
          <w:tcPr>
            <w:tcW w:w="6263" w:type="dxa"/>
            <w:vAlign w:val="center"/>
          </w:tcPr>
          <w:p>
            <w:pPr>
              <w:ind w:right="94"/>
              <w:rPr>
                <w:rFonts w:cs="宋体"/>
                <w:kern w:val="0"/>
              </w:rPr>
            </w:pPr>
            <w:r>
              <w:rPr>
                <w:rFonts w:hint="eastAsia"/>
                <w:sz w:val="24"/>
                <w:szCs w:val="24"/>
              </w:rPr>
              <w:t>▲</w:t>
            </w:r>
            <w:r>
              <w:rPr>
                <w:rFonts w:hint="eastAsia" w:cs="宋体"/>
                <w:kern w:val="0"/>
              </w:rPr>
              <w:t>尺寸：放大3倍，≥250×180×150mm；</w:t>
            </w:r>
          </w:p>
          <w:p>
            <w:pPr>
              <w:ind w:right="94"/>
              <w:rPr>
                <w:rFonts w:cs="宋体"/>
                <w:kern w:val="0"/>
              </w:rPr>
            </w:pPr>
            <w:r>
              <w:rPr>
                <w:rFonts w:hint="eastAsia" w:cs="宋体"/>
                <w:kern w:val="0"/>
              </w:rPr>
              <w:t>部件：1部件，固定在底座上；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功能：显示脑干各部位结构特征，显示了所有的神经束，现存的颅神经和周围神经的细节；</w:t>
            </w:r>
          </w:p>
          <w:p>
            <w:pPr>
              <w:ind w:right="94"/>
              <w:rPr>
                <w:rFonts w:cs="宋体"/>
              </w:rPr>
            </w:pPr>
            <w:r>
              <w:rPr>
                <w:rFonts w:hint="eastAsia" w:cs="宋体"/>
                <w:kern w:val="0"/>
              </w:rPr>
              <w:t>材质：进口环保PVC材料，进口环保油漆。</w:t>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19</w:t>
            </w:r>
          </w:p>
        </w:tc>
        <w:tc>
          <w:tcPr>
            <w:tcW w:w="1391" w:type="dxa"/>
            <w:vAlign w:val="center"/>
          </w:tcPr>
          <w:p>
            <w:pPr>
              <w:widowControl/>
              <w:jc w:val="center"/>
              <w:textAlignment w:val="center"/>
              <w:rPr>
                <w:rFonts w:cs="宋体"/>
                <w:kern w:val="0"/>
              </w:rPr>
            </w:pPr>
            <w:r>
              <w:rPr>
                <w:rFonts w:hint="eastAsia" w:cs="宋体"/>
                <w:kern w:val="0"/>
              </w:rPr>
              <w:t>人体全身肌肉解剖模型</w:t>
            </w:r>
          </w:p>
        </w:tc>
        <w:tc>
          <w:tcPr>
            <w:tcW w:w="6263" w:type="dxa"/>
            <w:vAlign w:val="center"/>
          </w:tcPr>
          <w:p>
            <w:pPr>
              <w:ind w:right="94"/>
              <w:rPr>
                <w:rFonts w:cs="宋体"/>
                <w:kern w:val="0"/>
              </w:rPr>
            </w:pPr>
            <w:r>
              <w:rPr>
                <w:rFonts w:hint="eastAsia"/>
                <w:sz w:val="24"/>
                <w:szCs w:val="24"/>
              </w:rPr>
              <w:t>▲</w:t>
            </w:r>
            <w:r>
              <w:rPr>
                <w:rFonts w:hint="eastAsia" w:cs="宋体"/>
                <w:kern w:val="0"/>
              </w:rPr>
              <w:t>尺寸：自然大，高不低于1700mm；</w:t>
            </w:r>
          </w:p>
          <w:p>
            <w:pPr>
              <w:ind w:right="94"/>
              <w:rPr>
                <w:rFonts w:cs="宋体"/>
                <w:kern w:val="0"/>
              </w:rPr>
            </w:pPr>
            <w:r>
              <w:rPr>
                <w:rFonts w:hint="eastAsia" w:cs="宋体"/>
                <w:kern w:val="0"/>
              </w:rPr>
              <w:t>部件：18部件，固定在底座上；</w:t>
            </w:r>
          </w:p>
          <w:p>
            <w:pPr>
              <w:ind w:right="94"/>
              <w:rPr>
                <w:rFonts w:cs="宋体"/>
                <w:kern w:val="0"/>
              </w:rPr>
            </w:pPr>
            <w:r>
              <w:rPr>
                <w:rFonts w:hint="eastAsia" w:ascii="宋体" w:hAnsi="宋体" w:cs="宋体"/>
                <w:kern w:val="0"/>
                <w:shd w:val="clear" w:color="auto" w:fill="FFFFFF"/>
              </w:rPr>
              <w:t>★</w:t>
            </w:r>
            <w:r>
              <w:rPr>
                <w:rFonts w:hint="eastAsia" w:cs="宋体"/>
                <w:kern w:val="0"/>
              </w:rPr>
              <w:t>功能：模型有全身肌肉、胸腹壁肌、上下肢肌，颅顶骨等20个部件组成，并显示头颈部、躯干部、上、下肢骨、肌肉、肌腱、韧带等结构；</w:t>
            </w:r>
          </w:p>
          <w:p>
            <w:pPr>
              <w:ind w:right="94"/>
              <w:rPr>
                <w:rFonts w:cs="宋体"/>
              </w:rPr>
            </w:pPr>
            <w:r>
              <w:rPr>
                <w:rFonts w:hint="eastAsia" w:cs="宋体"/>
                <w:kern w:val="0"/>
              </w:rPr>
              <w:t>材质：进口环保PVC材料，进口环保油漆。</w:t>
            </w:r>
            <w:r>
              <w:rPr>
                <w:rFonts w:hint="eastAsia" w:cs="宋体"/>
                <w:kern w:val="0"/>
              </w:rPr>
              <w:tab/>
            </w:r>
          </w:p>
        </w:tc>
        <w:tc>
          <w:tcPr>
            <w:tcW w:w="782" w:type="dxa"/>
            <w:vAlign w:val="center"/>
          </w:tcPr>
          <w:p>
            <w:pPr>
              <w:widowControl/>
              <w:jc w:val="center"/>
              <w:textAlignment w:val="center"/>
              <w:rPr>
                <w:rFonts w:cs="宋体"/>
                <w:kern w:val="0"/>
              </w:rPr>
            </w:pPr>
            <w:r>
              <w:rPr>
                <w:rFonts w:hint="eastAsia" w:cs="宋体"/>
                <w:kern w:val="0"/>
              </w:rPr>
              <w:t>具</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20</w:t>
            </w:r>
          </w:p>
        </w:tc>
        <w:tc>
          <w:tcPr>
            <w:tcW w:w="1391" w:type="dxa"/>
            <w:vAlign w:val="center"/>
          </w:tcPr>
          <w:p>
            <w:pPr>
              <w:widowControl/>
              <w:jc w:val="center"/>
              <w:textAlignment w:val="center"/>
              <w:rPr>
                <w:rFonts w:cs="宋体"/>
                <w:kern w:val="0"/>
              </w:rPr>
            </w:pPr>
            <w:r>
              <w:rPr>
                <w:rFonts w:hint="eastAsia" w:cs="宋体"/>
                <w:kern w:val="0"/>
              </w:rPr>
              <w:t>SYL/50013 颅腔及头颈胸局部解剖模型</w:t>
            </w:r>
          </w:p>
        </w:tc>
        <w:tc>
          <w:tcPr>
            <w:tcW w:w="6263" w:type="dxa"/>
            <w:vAlign w:val="center"/>
          </w:tcPr>
          <w:p>
            <w:pPr>
              <w:ind w:right="94"/>
              <w:rPr>
                <w:rFonts w:cs="宋体"/>
                <w:kern w:val="0"/>
              </w:rPr>
            </w:pPr>
            <w:r>
              <w:rPr>
                <w:rFonts w:hint="eastAsia" w:cs="宋体"/>
                <w:kern w:val="0"/>
              </w:rPr>
              <w:t>无毒、环保PVC材料，不变形，耐摩，耐脏，可以擦洗。</w:t>
            </w:r>
          </w:p>
          <w:p>
            <w:pPr>
              <w:ind w:right="94"/>
              <w:rPr>
                <w:rFonts w:cs="宋体"/>
                <w:kern w:val="0"/>
              </w:rPr>
            </w:pPr>
            <w:r>
              <w:rPr>
                <w:rFonts w:hint="eastAsia" w:cs="宋体"/>
                <w:kern w:val="0"/>
              </w:rPr>
              <w:t>符合教学大纲要求。</w:t>
            </w:r>
          </w:p>
          <w:p>
            <w:pPr>
              <w:widowControl/>
              <w:jc w:val="left"/>
              <w:textAlignment w:val="center"/>
              <w:rPr>
                <w:rFonts w:cs="宋体"/>
              </w:rPr>
            </w:pP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康人</w:t>
            </w:r>
            <w:r>
              <w:rPr>
                <w:rFonts w:hint="eastAsia" w:cs="宋体"/>
                <w:position w:val="6"/>
              </w:rPr>
              <w:t>、上海荣育、圣医智教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21</w:t>
            </w:r>
          </w:p>
        </w:tc>
        <w:tc>
          <w:tcPr>
            <w:tcW w:w="1391" w:type="dxa"/>
            <w:vAlign w:val="center"/>
          </w:tcPr>
          <w:p>
            <w:pPr>
              <w:widowControl/>
              <w:jc w:val="center"/>
              <w:textAlignment w:val="center"/>
              <w:rPr>
                <w:rFonts w:cs="宋体"/>
                <w:kern w:val="0"/>
              </w:rPr>
            </w:pPr>
            <w:r>
              <w:rPr>
                <w:rFonts w:hint="eastAsia" w:cs="宋体"/>
                <w:kern w:val="0"/>
              </w:rPr>
              <w:t>运动解剖学挂图（全身）</w:t>
            </w:r>
          </w:p>
        </w:tc>
        <w:tc>
          <w:tcPr>
            <w:tcW w:w="6263" w:type="dxa"/>
            <w:vAlign w:val="center"/>
          </w:tcPr>
          <w:p>
            <w:pPr>
              <w:widowControl/>
              <w:jc w:val="left"/>
              <w:rPr>
                <w:rFonts w:cs="宋体"/>
                <w:kern w:val="0"/>
              </w:rPr>
            </w:pPr>
            <w:r>
              <w:rPr>
                <w:rFonts w:hint="eastAsia" w:cs="宋体"/>
                <w:kern w:val="0"/>
              </w:rPr>
              <w:t>人民卫生出版社统一出版，人体解剖学各大系统挂图，油画布或带边框（一套10张），每张挂图尺寸为100*70CM。</w:t>
            </w:r>
          </w:p>
          <w:p>
            <w:pPr>
              <w:widowControl/>
              <w:jc w:val="left"/>
              <w:textAlignment w:val="center"/>
              <w:rPr>
                <w:rFonts w:cs="宋体"/>
              </w:rPr>
            </w:pP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6</w:t>
            </w:r>
          </w:p>
        </w:tc>
        <w:tc>
          <w:tcPr>
            <w:tcW w:w="1530" w:type="dxa"/>
            <w:vAlign w:val="center"/>
          </w:tcPr>
          <w:p>
            <w:pPr>
              <w:jc w:val="center"/>
              <w:rPr>
                <w:rFonts w:cs="宋体"/>
                <w:kern w:val="0"/>
              </w:rPr>
            </w:pPr>
            <w:r>
              <w:rPr>
                <w:rFonts w:hint="eastAsia" w:cs="宋体"/>
              </w:rPr>
              <w:t>人民卫生出版社统一出版</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22</w:t>
            </w:r>
          </w:p>
        </w:tc>
        <w:tc>
          <w:tcPr>
            <w:tcW w:w="1391" w:type="dxa"/>
            <w:vAlign w:val="center"/>
          </w:tcPr>
          <w:p>
            <w:pPr>
              <w:widowControl/>
              <w:jc w:val="center"/>
              <w:textAlignment w:val="center"/>
              <w:rPr>
                <w:rFonts w:cs="宋体"/>
                <w:kern w:val="0"/>
              </w:rPr>
            </w:pPr>
            <w:r>
              <w:rPr>
                <w:rFonts w:hint="eastAsia" w:cs="宋体"/>
                <w:kern w:val="0"/>
              </w:rPr>
              <w:t>模型陈列柜</w:t>
            </w:r>
          </w:p>
        </w:tc>
        <w:tc>
          <w:tcPr>
            <w:tcW w:w="6263" w:type="dxa"/>
            <w:vAlign w:val="center"/>
          </w:tcPr>
          <w:p>
            <w:pPr>
              <w:widowControl/>
              <w:jc w:val="left"/>
              <w:textAlignment w:val="center"/>
              <w:rPr>
                <w:rFonts w:cs="宋体"/>
              </w:rPr>
            </w:pPr>
            <w:r>
              <w:rPr>
                <w:rFonts w:hint="eastAsia" w:cs="宋体"/>
                <w:kern w:val="0"/>
              </w:rPr>
              <w:t>不锈钢、钢化玻璃100*55*55CM，顶部带射灯，底部带轮子，可以移动，带遥控器，顶部挂钩可360度旋转，柜子门带锁。</w:t>
            </w:r>
          </w:p>
        </w:tc>
        <w:tc>
          <w:tcPr>
            <w:tcW w:w="782" w:type="dxa"/>
            <w:vAlign w:val="center"/>
          </w:tcPr>
          <w:p>
            <w:pPr>
              <w:widowControl/>
              <w:jc w:val="center"/>
              <w:textAlignment w:val="center"/>
              <w:rPr>
                <w:rFonts w:cs="宋体"/>
                <w:kern w:val="0"/>
              </w:rPr>
            </w:pPr>
            <w:r>
              <w:rPr>
                <w:rFonts w:hint="eastAsia" w:cs="宋体"/>
                <w:kern w:val="0"/>
              </w:rPr>
              <w:t>个</w:t>
            </w:r>
          </w:p>
        </w:tc>
        <w:tc>
          <w:tcPr>
            <w:tcW w:w="880" w:type="dxa"/>
            <w:vAlign w:val="center"/>
          </w:tcPr>
          <w:p>
            <w:pPr>
              <w:widowControl/>
              <w:jc w:val="center"/>
              <w:textAlignment w:val="center"/>
              <w:rPr>
                <w:rFonts w:cs="宋体"/>
                <w:kern w:val="0"/>
              </w:rPr>
            </w:pPr>
            <w:r>
              <w:rPr>
                <w:rFonts w:hint="eastAsia" w:cs="宋体"/>
                <w:kern w:val="0"/>
              </w:rPr>
              <w:t>10</w:t>
            </w:r>
          </w:p>
        </w:tc>
        <w:tc>
          <w:tcPr>
            <w:tcW w:w="1530" w:type="dxa"/>
            <w:vAlign w:val="center"/>
          </w:tcPr>
          <w:p>
            <w:pPr>
              <w:jc w:val="center"/>
              <w:rPr>
                <w:rFonts w:cs="宋体"/>
                <w:kern w:val="0"/>
              </w:rPr>
            </w:pPr>
            <w:r>
              <w:rPr>
                <w:rFonts w:hint="eastAsia" w:cs="宋体"/>
                <w:kern w:val="0"/>
              </w:rPr>
              <w:t>不锈钢、钢化玻璃100*55*55CM</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23</w:t>
            </w:r>
          </w:p>
        </w:tc>
        <w:tc>
          <w:tcPr>
            <w:tcW w:w="1391" w:type="dxa"/>
            <w:vAlign w:val="center"/>
          </w:tcPr>
          <w:p>
            <w:pPr>
              <w:widowControl/>
              <w:jc w:val="center"/>
              <w:textAlignment w:val="center"/>
              <w:rPr>
                <w:rFonts w:cs="宋体"/>
                <w:kern w:val="0"/>
              </w:rPr>
            </w:pPr>
            <w:r>
              <w:rPr>
                <w:rFonts w:hint="eastAsia" w:cs="宋体"/>
                <w:kern w:val="0"/>
              </w:rPr>
              <w:t>骨架柜子</w:t>
            </w:r>
          </w:p>
        </w:tc>
        <w:tc>
          <w:tcPr>
            <w:tcW w:w="6263" w:type="dxa"/>
            <w:vAlign w:val="center"/>
          </w:tcPr>
          <w:p>
            <w:pPr>
              <w:widowControl/>
              <w:jc w:val="left"/>
              <w:textAlignment w:val="center"/>
              <w:rPr>
                <w:rFonts w:cs="宋体"/>
              </w:rPr>
            </w:pPr>
            <w:r>
              <w:rPr>
                <w:rFonts w:hint="eastAsia" w:cs="宋体"/>
                <w:kern w:val="0"/>
              </w:rPr>
              <w:t>不锈钢、钢化玻璃200*55*55CM,顶部带射灯，底部带轮子，可以移动，带遥控器，顶部挂钩可360度旋转，柜子门带锁。</w:t>
            </w:r>
          </w:p>
        </w:tc>
        <w:tc>
          <w:tcPr>
            <w:tcW w:w="782" w:type="dxa"/>
            <w:vAlign w:val="center"/>
          </w:tcPr>
          <w:p>
            <w:pPr>
              <w:widowControl/>
              <w:jc w:val="center"/>
              <w:textAlignment w:val="center"/>
              <w:rPr>
                <w:rFonts w:cs="宋体"/>
                <w:kern w:val="0"/>
              </w:rPr>
            </w:pPr>
            <w:r>
              <w:rPr>
                <w:rFonts w:hint="eastAsia" w:cs="宋体"/>
                <w:kern w:val="0"/>
              </w:rPr>
              <w:t>个</w:t>
            </w:r>
          </w:p>
        </w:tc>
        <w:tc>
          <w:tcPr>
            <w:tcW w:w="880" w:type="dxa"/>
            <w:vAlign w:val="center"/>
          </w:tcPr>
          <w:p>
            <w:pPr>
              <w:widowControl/>
              <w:jc w:val="center"/>
              <w:textAlignment w:val="center"/>
              <w:rPr>
                <w:rFonts w:cs="宋体"/>
                <w:kern w:val="0"/>
              </w:rPr>
            </w:pPr>
            <w:r>
              <w:rPr>
                <w:rFonts w:hint="eastAsia" w:cs="宋体"/>
                <w:kern w:val="0"/>
              </w:rPr>
              <w:t>2</w:t>
            </w:r>
          </w:p>
        </w:tc>
        <w:tc>
          <w:tcPr>
            <w:tcW w:w="1530" w:type="dxa"/>
            <w:vAlign w:val="center"/>
          </w:tcPr>
          <w:p>
            <w:pPr>
              <w:jc w:val="center"/>
              <w:rPr>
                <w:rFonts w:cs="宋体"/>
                <w:kern w:val="0"/>
              </w:rPr>
            </w:pPr>
            <w:r>
              <w:rPr>
                <w:rFonts w:hint="eastAsia" w:cs="宋体"/>
                <w:kern w:val="0"/>
              </w:rPr>
              <w:t>不锈钢、钢化玻璃200*55*55CM</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right"/>
              <w:textAlignment w:val="center"/>
              <w:rPr>
                <w:rFonts w:cs="宋体"/>
                <w:color w:val="000000"/>
                <w:kern w:val="0"/>
              </w:rPr>
            </w:pPr>
            <w:r>
              <w:rPr>
                <w:rFonts w:hint="eastAsia" w:cs="宋体"/>
                <w:color w:val="000000"/>
                <w:kern w:val="0"/>
              </w:rPr>
              <w:t>24</w:t>
            </w:r>
          </w:p>
        </w:tc>
        <w:tc>
          <w:tcPr>
            <w:tcW w:w="1391" w:type="dxa"/>
            <w:vAlign w:val="center"/>
          </w:tcPr>
          <w:p>
            <w:pPr>
              <w:widowControl/>
              <w:jc w:val="center"/>
              <w:textAlignment w:val="center"/>
              <w:rPr>
                <w:rFonts w:cs="宋体"/>
                <w:kern w:val="0"/>
              </w:rPr>
            </w:pPr>
            <w:r>
              <w:rPr>
                <w:rFonts w:hint="eastAsia" w:cs="宋体"/>
                <w:kern w:val="0"/>
              </w:rPr>
              <w:t>教学PVC散装骨</w:t>
            </w:r>
          </w:p>
        </w:tc>
        <w:tc>
          <w:tcPr>
            <w:tcW w:w="6263" w:type="dxa"/>
            <w:vAlign w:val="center"/>
          </w:tcPr>
          <w:p>
            <w:pPr>
              <w:ind w:right="94"/>
              <w:rPr>
                <w:rFonts w:cs="宋体"/>
                <w:kern w:val="0"/>
              </w:rPr>
            </w:pPr>
            <w:r>
              <w:rPr>
                <w:rFonts w:hint="eastAsia" w:cs="宋体"/>
                <w:kern w:val="0"/>
              </w:rPr>
              <w:t>尺寸：自然大；</w:t>
            </w:r>
          </w:p>
          <w:p>
            <w:pPr>
              <w:ind w:right="94"/>
              <w:rPr>
                <w:rFonts w:cs="宋体"/>
                <w:kern w:val="0"/>
              </w:rPr>
            </w:pPr>
            <w:r>
              <w:rPr>
                <w:rFonts w:hint="eastAsia" w:cs="宋体"/>
                <w:kern w:val="0"/>
              </w:rPr>
              <w:t>部件：206骨头；</w:t>
            </w:r>
          </w:p>
          <w:p>
            <w:pPr>
              <w:ind w:right="94"/>
              <w:rPr>
                <w:rFonts w:cs="宋体"/>
                <w:kern w:val="0"/>
              </w:rPr>
            </w:pPr>
            <w:r>
              <w:rPr>
                <w:rFonts w:hint="eastAsia" w:ascii="宋体" w:hAnsi="宋体" w:cs="宋体"/>
                <w:kern w:val="0"/>
                <w:shd w:val="clear" w:color="auto" w:fill="FFFFFF"/>
              </w:rPr>
              <w:t>★</w:t>
            </w:r>
            <w:r>
              <w:rPr>
                <w:rFonts w:hint="eastAsia" w:cs="宋体"/>
                <w:kern w:val="0"/>
              </w:rPr>
              <w:t>功能：显示未组装的人体全身散骨，不同部位的骨的名称、形态和结构，方便教学演示使用；</w:t>
            </w:r>
          </w:p>
          <w:p>
            <w:pPr>
              <w:ind w:right="94"/>
              <w:rPr>
                <w:rFonts w:cs="宋体"/>
              </w:rPr>
            </w:pPr>
            <w:r>
              <w:rPr>
                <w:rFonts w:hint="eastAsia" w:cs="宋体"/>
                <w:kern w:val="0"/>
              </w:rPr>
              <w:t>材质：进口环保PVC材料，进口环保油漆。</w:t>
            </w:r>
          </w:p>
        </w:tc>
        <w:tc>
          <w:tcPr>
            <w:tcW w:w="782" w:type="dxa"/>
            <w:vAlign w:val="center"/>
          </w:tcPr>
          <w:p>
            <w:pPr>
              <w:widowControl/>
              <w:jc w:val="center"/>
              <w:textAlignment w:val="center"/>
              <w:rPr>
                <w:rFonts w:cs="宋体"/>
                <w:kern w:val="0"/>
              </w:rPr>
            </w:pPr>
            <w:r>
              <w:rPr>
                <w:rFonts w:hint="eastAsia" w:cs="宋体"/>
                <w:kern w:val="0"/>
              </w:rPr>
              <w:t>套</w:t>
            </w:r>
          </w:p>
        </w:tc>
        <w:tc>
          <w:tcPr>
            <w:tcW w:w="880" w:type="dxa"/>
            <w:vAlign w:val="center"/>
          </w:tcPr>
          <w:p>
            <w:pPr>
              <w:widowControl/>
              <w:jc w:val="center"/>
              <w:textAlignment w:val="center"/>
              <w:rPr>
                <w:rFonts w:cs="宋体"/>
                <w:kern w:val="0"/>
              </w:rPr>
            </w:pPr>
            <w:r>
              <w:rPr>
                <w:rFonts w:hint="eastAsia" w:cs="宋体"/>
                <w:kern w:val="0"/>
              </w:rPr>
              <w:t>4</w:t>
            </w:r>
          </w:p>
        </w:tc>
        <w:tc>
          <w:tcPr>
            <w:tcW w:w="1530" w:type="dxa"/>
            <w:vAlign w:val="center"/>
          </w:tcPr>
          <w:p>
            <w:pPr>
              <w:jc w:val="center"/>
              <w:rPr>
                <w:rFonts w:cs="宋体"/>
                <w:kern w:val="0"/>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4" w:type="dxa"/>
            <w:vAlign w:val="center"/>
          </w:tcPr>
          <w:p>
            <w:pPr>
              <w:widowControl/>
              <w:jc w:val="center"/>
              <w:textAlignment w:val="center"/>
              <w:rPr>
                <w:rFonts w:cs="宋体"/>
                <w:color w:val="000000"/>
                <w:kern w:val="0"/>
              </w:rPr>
            </w:pPr>
            <w:r>
              <w:rPr>
                <w:rFonts w:hint="eastAsia" w:cs="宋体"/>
                <w:kern w:val="0"/>
              </w:rPr>
              <w:t>25</w:t>
            </w:r>
          </w:p>
        </w:tc>
        <w:tc>
          <w:tcPr>
            <w:tcW w:w="1391" w:type="dxa"/>
            <w:vAlign w:val="center"/>
          </w:tcPr>
          <w:p>
            <w:pPr>
              <w:widowControl/>
              <w:jc w:val="center"/>
              <w:textAlignment w:val="center"/>
              <w:rPr>
                <w:rFonts w:cs="宋体"/>
                <w:kern w:val="0"/>
              </w:rPr>
            </w:pPr>
            <w:r>
              <w:rPr>
                <w:rFonts w:hint="eastAsia" w:cs="宋体"/>
                <w:kern w:val="0"/>
              </w:rPr>
              <w:t>教学PVC骨架</w:t>
            </w:r>
          </w:p>
        </w:tc>
        <w:tc>
          <w:tcPr>
            <w:tcW w:w="6263" w:type="dxa"/>
            <w:vAlign w:val="center"/>
          </w:tcPr>
          <w:p>
            <w:pPr>
              <w:ind w:right="94"/>
              <w:rPr>
                <w:rFonts w:cs="宋体"/>
                <w:kern w:val="0"/>
              </w:rPr>
            </w:pPr>
            <w:r>
              <w:rPr>
                <w:rFonts w:hint="eastAsia" w:cs="宋体"/>
                <w:kern w:val="0"/>
              </w:rPr>
              <w:t>尺寸：自然大，高不低于180cm；</w:t>
            </w:r>
          </w:p>
          <w:p>
            <w:pPr>
              <w:ind w:right="94"/>
              <w:rPr>
                <w:rFonts w:cs="宋体"/>
                <w:kern w:val="0"/>
              </w:rPr>
            </w:pPr>
            <w:r>
              <w:rPr>
                <w:rFonts w:hint="eastAsia" w:cs="宋体"/>
                <w:kern w:val="0"/>
              </w:rPr>
              <w:t>部件：由男性全身散骨串制而成一整体骨架；</w:t>
            </w:r>
          </w:p>
          <w:p>
            <w:pPr>
              <w:ind w:right="94"/>
              <w:rPr>
                <w:rFonts w:cs="宋体"/>
                <w:kern w:val="0"/>
              </w:rPr>
            </w:pPr>
            <w:r>
              <w:rPr>
                <w:rFonts w:hint="eastAsia" w:ascii="宋体" w:hAnsi="宋体" w:cs="宋体"/>
                <w:kern w:val="0"/>
                <w:shd w:val="clear" w:color="auto" w:fill="FFFFFF"/>
              </w:rPr>
              <w:t>★</w:t>
            </w:r>
            <w:r>
              <w:rPr>
                <w:rFonts w:hint="eastAsia" w:cs="宋体"/>
                <w:kern w:val="0"/>
              </w:rPr>
              <w:t>功能：显示男性全身骨骼的组成和形态外观，其中四肢骨可以灵活组合，头颅骨可灵活组装，固定在支架上，带底座，可灵活移动；</w:t>
            </w:r>
          </w:p>
          <w:p>
            <w:pPr>
              <w:ind w:right="94"/>
              <w:rPr>
                <w:rFonts w:cs="宋体"/>
                <w:kern w:val="0"/>
              </w:rPr>
            </w:pPr>
            <w:r>
              <w:rPr>
                <w:rFonts w:hint="eastAsia" w:cs="宋体"/>
                <w:kern w:val="0"/>
              </w:rPr>
              <w:t>材质：进口环保PVC材料，进口环保油漆</w:t>
            </w:r>
          </w:p>
          <w:p>
            <w:pPr>
              <w:ind w:right="94"/>
              <w:rPr>
                <w:rFonts w:cs="宋体"/>
                <w:kern w:val="0"/>
              </w:rPr>
            </w:pPr>
            <w:r>
              <w:rPr>
                <w:rFonts w:hint="eastAsia" w:cs="宋体"/>
                <w:kern w:val="0"/>
              </w:rPr>
              <w:t>尺寸：自然大，高不低于180cm；</w:t>
            </w:r>
          </w:p>
          <w:p>
            <w:pPr>
              <w:ind w:right="94"/>
              <w:rPr>
                <w:rFonts w:cs="宋体"/>
                <w:kern w:val="0"/>
              </w:rPr>
            </w:pPr>
            <w:r>
              <w:rPr>
                <w:rFonts w:hint="eastAsia" w:cs="宋体"/>
                <w:kern w:val="0"/>
              </w:rPr>
              <w:t>部件：由女性全身散骨串制而成一整体骨架；</w:t>
            </w:r>
          </w:p>
          <w:p>
            <w:pPr>
              <w:ind w:right="94"/>
              <w:rPr>
                <w:rFonts w:cs="宋体"/>
                <w:kern w:val="0"/>
              </w:rPr>
            </w:pPr>
            <w:r>
              <w:rPr>
                <w:rFonts w:hint="eastAsia" w:cs="宋体"/>
                <w:kern w:val="0"/>
              </w:rPr>
              <w:t>功能：显示女发性全身骨骼的组成和形态外观，其中四肢骨可以灵活组合，头颅骨可灵活组装，固定在支架上，带底座，可灵活移动；</w:t>
            </w:r>
          </w:p>
          <w:p>
            <w:pPr>
              <w:ind w:right="94"/>
              <w:rPr>
                <w:rFonts w:cs="宋体"/>
              </w:rPr>
            </w:pPr>
            <w:r>
              <w:rPr>
                <w:rFonts w:hint="eastAsia" w:cs="宋体"/>
                <w:kern w:val="0"/>
              </w:rPr>
              <w:t>材质：进口环保PVC材料，进口环保油漆。</w:t>
            </w:r>
          </w:p>
        </w:tc>
        <w:tc>
          <w:tcPr>
            <w:tcW w:w="782" w:type="dxa"/>
            <w:vAlign w:val="center"/>
          </w:tcPr>
          <w:p>
            <w:pPr>
              <w:widowControl/>
              <w:jc w:val="center"/>
              <w:textAlignment w:val="center"/>
              <w:rPr>
                <w:rFonts w:cs="宋体"/>
                <w:kern w:val="0"/>
              </w:rPr>
            </w:pPr>
            <w:r>
              <w:rPr>
                <w:rFonts w:hint="eastAsia" w:cs="宋体"/>
                <w:kern w:val="0"/>
              </w:rPr>
              <w:t>具</w:t>
            </w:r>
          </w:p>
        </w:tc>
        <w:tc>
          <w:tcPr>
            <w:tcW w:w="880" w:type="dxa"/>
            <w:vAlign w:val="center"/>
          </w:tcPr>
          <w:p>
            <w:pPr>
              <w:widowControl/>
              <w:jc w:val="center"/>
              <w:textAlignment w:val="center"/>
              <w:rPr>
                <w:rFonts w:cs="宋体"/>
                <w:kern w:val="0"/>
              </w:rPr>
            </w:pPr>
            <w:r>
              <w:rPr>
                <w:rFonts w:hint="eastAsia" w:cs="宋体"/>
                <w:kern w:val="0"/>
              </w:rPr>
              <w:t>2</w:t>
            </w:r>
          </w:p>
        </w:tc>
        <w:tc>
          <w:tcPr>
            <w:tcW w:w="1530" w:type="dxa"/>
            <w:vAlign w:val="center"/>
          </w:tcPr>
          <w:p>
            <w:pPr>
              <w:jc w:val="center"/>
              <w:rPr>
                <w:rFonts w:cs="宋体"/>
                <w:kern w:val="0"/>
              </w:rPr>
            </w:pPr>
            <w:r>
              <w:rPr>
                <w:rFonts w:hint="eastAsia" w:cs="宋体"/>
                <w:position w:val="6"/>
              </w:rPr>
              <w:t>康人、上海荣育、圣医智教</w:t>
            </w:r>
          </w:p>
        </w:tc>
        <w:tc>
          <w:tcPr>
            <w:tcW w:w="1050" w:type="dxa"/>
            <w:vAlign w:val="center"/>
          </w:tcPr>
          <w:p>
            <w:pPr>
              <w:jc w:val="center"/>
              <w:rPr>
                <w:rFonts w:cs="宋体"/>
                <w:color w:val="000000"/>
                <w:kern w:val="0"/>
              </w:rPr>
            </w:pPr>
          </w:p>
        </w:tc>
        <w:tc>
          <w:tcPr>
            <w:tcW w:w="1050" w:type="dxa"/>
            <w:vAlign w:val="center"/>
          </w:tcPr>
          <w:p>
            <w:pPr>
              <w:jc w:val="center"/>
              <w:rPr>
                <w:rFonts w:cs="宋体"/>
                <w:color w:val="000000"/>
                <w:kern w:val="0"/>
              </w:rPr>
            </w:pPr>
          </w:p>
        </w:tc>
        <w:tc>
          <w:tcPr>
            <w:tcW w:w="1130" w:type="dxa"/>
            <w:vAlign w:val="center"/>
          </w:tcPr>
          <w:p>
            <w:pPr>
              <w:jc w:val="center"/>
              <w:rPr>
                <w:rFonts w:cs="宋体"/>
                <w:color w:val="000000"/>
                <w:kern w:val="0"/>
              </w:rPr>
            </w:pPr>
          </w:p>
        </w:tc>
      </w:tr>
    </w:tbl>
    <w:p/>
    <w:p>
      <w:pPr>
        <w:pStyle w:val="13"/>
        <w:spacing w:line="560" w:lineRule="exact"/>
        <w:ind w:firstLine="640" w:firstLineChars="200"/>
        <w:rPr>
          <w:rFonts w:ascii="Times New Roman" w:hAnsi="Times New Roman" w:eastAsia="黑体"/>
          <w:sz w:val="32"/>
          <w:szCs w:val="32"/>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snapToGrid w:val="0"/>
        <w:spacing w:before="50" w:after="50"/>
        <w:rPr>
          <w:color w:val="000000" w:themeColor="text1"/>
          <w:sz w:val="32"/>
          <w:szCs w:val="32"/>
        </w:rPr>
        <w:sectPr>
          <w:pgSz w:w="16838" w:h="11906" w:orient="landscape"/>
          <w:pgMar w:top="1587" w:right="1701" w:bottom="1417" w:left="1417" w:header="1134" w:footer="1304" w:gutter="0"/>
          <w:cols w:space="0" w:num="1"/>
          <w:docGrid w:type="lines" w:linePitch="323" w:charSpace="0"/>
        </w:sectPr>
      </w:pP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七</w:t>
      </w:r>
      <w:r>
        <w:rPr>
          <w:rFonts w:eastAsia="黑体"/>
          <w:color w:val="000000" w:themeColor="text1"/>
          <w:sz w:val="32"/>
          <w:szCs w:val="32"/>
        </w:rPr>
        <w:t>、技术参数响应及偏离表</w:t>
      </w:r>
    </w:p>
    <w:p>
      <w:pPr>
        <w:spacing w:before="161" w:beforeLines="50" w:after="161" w:afterLines="50" w:line="360" w:lineRule="auto"/>
        <w:rPr>
          <w:b/>
          <w:bCs/>
          <w:color w:val="000000" w:themeColor="text1"/>
          <w:sz w:val="24"/>
          <w:szCs w:val="24"/>
        </w:rPr>
      </w:pPr>
      <w:r>
        <w:rPr>
          <w:b/>
          <w:bCs/>
          <w:color w:val="000000" w:themeColor="text1"/>
          <w:sz w:val="24"/>
          <w:szCs w:val="24"/>
        </w:rPr>
        <w:t>参加投标供应商全称（加盖公章）：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sz w:val="24"/>
                <w:szCs w:val="24"/>
              </w:rPr>
            </w:pPr>
            <w:r>
              <w:rPr>
                <w:rFonts w:hint="eastAsia" w:ascii="宋体" w:hAnsi="宋体"/>
                <w:sz w:val="24"/>
                <w:szCs w:val="24"/>
              </w:rPr>
              <w:t>序号</w:t>
            </w:r>
          </w:p>
        </w:tc>
        <w:tc>
          <w:tcPr>
            <w:tcW w:w="2852" w:type="dxa"/>
            <w:noWrap/>
            <w:vAlign w:val="center"/>
          </w:tcPr>
          <w:p>
            <w:pPr>
              <w:rPr>
                <w:rFonts w:ascii="宋体" w:hAnsi="宋体"/>
                <w:sz w:val="24"/>
                <w:szCs w:val="24"/>
              </w:rPr>
            </w:pPr>
            <w:r>
              <w:rPr>
                <w:rFonts w:hint="eastAsia" w:ascii="宋体" w:hAnsi="宋体"/>
                <w:sz w:val="24"/>
                <w:szCs w:val="24"/>
              </w:rPr>
              <w:t>招标要求</w:t>
            </w:r>
          </w:p>
        </w:tc>
        <w:tc>
          <w:tcPr>
            <w:tcW w:w="2852" w:type="dxa"/>
            <w:noWrap/>
            <w:vAlign w:val="center"/>
          </w:tcPr>
          <w:p>
            <w:pPr>
              <w:rPr>
                <w:rFonts w:ascii="宋体" w:hAnsi="宋体"/>
                <w:sz w:val="24"/>
                <w:szCs w:val="24"/>
              </w:rPr>
            </w:pPr>
            <w:r>
              <w:rPr>
                <w:rFonts w:hint="eastAsia" w:ascii="宋体" w:hAnsi="宋体"/>
                <w:sz w:val="24"/>
                <w:szCs w:val="24"/>
              </w:rPr>
              <w:t>投标响应</w:t>
            </w:r>
          </w:p>
        </w:tc>
        <w:tc>
          <w:tcPr>
            <w:tcW w:w="1308" w:type="dxa"/>
            <w:noWrap/>
            <w:vAlign w:val="center"/>
          </w:tcPr>
          <w:p>
            <w:pPr>
              <w:rPr>
                <w:rFonts w:ascii="宋体" w:hAnsi="宋体"/>
                <w:sz w:val="24"/>
                <w:szCs w:val="24"/>
              </w:rPr>
            </w:pPr>
            <w:r>
              <w:rPr>
                <w:rFonts w:hint="eastAsia" w:ascii="宋体" w:hAnsi="宋体"/>
                <w:sz w:val="24"/>
                <w:szCs w:val="24"/>
              </w:rPr>
              <w:t>超出、符合或偏离</w:t>
            </w:r>
          </w:p>
        </w:tc>
        <w:tc>
          <w:tcPr>
            <w:tcW w:w="1173" w:type="dxa"/>
            <w:noWrap/>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2852" w:type="dxa"/>
            <w:noWrap/>
          </w:tcPr>
          <w:p>
            <w:pPr>
              <w:jc w:val="center"/>
              <w:rPr>
                <w:rFonts w:ascii="宋体" w:hAnsi="宋体"/>
                <w:sz w:val="24"/>
                <w:szCs w:val="24"/>
              </w:rPr>
            </w:pPr>
          </w:p>
        </w:tc>
        <w:tc>
          <w:tcPr>
            <w:tcW w:w="1308" w:type="dxa"/>
            <w:noWrap/>
          </w:tcPr>
          <w:p>
            <w:pPr>
              <w:jc w:val="center"/>
              <w:rPr>
                <w:rFonts w:ascii="宋体" w:hAnsi="宋体"/>
                <w:sz w:val="24"/>
                <w:szCs w:val="24"/>
              </w:rPr>
            </w:pPr>
          </w:p>
        </w:tc>
        <w:tc>
          <w:tcPr>
            <w:tcW w:w="1173" w:type="dxa"/>
            <w:noWrap/>
          </w:tcPr>
          <w:p>
            <w:pPr>
              <w:jc w:val="center"/>
              <w:rPr>
                <w:rFonts w:ascii="宋体" w:hAnsi="宋体"/>
                <w:sz w:val="24"/>
                <w:szCs w:val="24"/>
              </w:rPr>
            </w:pPr>
          </w:p>
        </w:tc>
      </w:tr>
    </w:tbl>
    <w:p>
      <w:pPr>
        <w:pStyle w:val="2"/>
      </w:pPr>
    </w:p>
    <w:p>
      <w:pPr>
        <w:spacing w:line="360" w:lineRule="auto"/>
        <w:rPr>
          <w:color w:val="000000" w:themeColor="text1"/>
          <w:sz w:val="24"/>
          <w:szCs w:val="24"/>
        </w:rPr>
      </w:pPr>
      <w:r>
        <w:rPr>
          <w:color w:val="000000" w:themeColor="text1"/>
          <w:sz w:val="24"/>
          <w:szCs w:val="24"/>
        </w:rPr>
        <w:t>法定代表人或授权代表（签字或盖章）</w:t>
      </w:r>
    </w:p>
    <w:p>
      <w:pPr>
        <w:spacing w:line="360" w:lineRule="auto"/>
        <w:rPr>
          <w:color w:val="000000" w:themeColor="text1"/>
          <w:sz w:val="24"/>
          <w:szCs w:val="24"/>
        </w:rPr>
      </w:pPr>
      <w:r>
        <w:rPr>
          <w:color w:val="000000" w:themeColor="text1"/>
          <w:sz w:val="24"/>
          <w:szCs w:val="24"/>
        </w:rPr>
        <w:t xml:space="preserve">                                            日期：     年    月     日</w:t>
      </w:r>
    </w:p>
    <w:p>
      <w:pPr>
        <w:spacing w:line="360" w:lineRule="auto"/>
        <w:rPr>
          <w:b/>
          <w:bCs/>
          <w:color w:val="000000" w:themeColor="text1"/>
          <w:sz w:val="24"/>
          <w:szCs w:val="24"/>
        </w:rPr>
      </w:pPr>
    </w:p>
    <w:p>
      <w:pPr>
        <w:spacing w:line="360" w:lineRule="auto"/>
        <w:rPr>
          <w:color w:val="000000" w:themeColor="text1"/>
          <w:sz w:val="24"/>
          <w:szCs w:val="24"/>
        </w:rPr>
      </w:pPr>
      <w:r>
        <w:rPr>
          <w:b/>
          <w:bCs/>
          <w:color w:val="000000" w:themeColor="text1"/>
          <w:sz w:val="24"/>
          <w:szCs w:val="24"/>
        </w:rPr>
        <w:t>注：</w:t>
      </w:r>
      <w:r>
        <w:rPr>
          <w:color w:val="000000" w:themeColor="text1"/>
          <w:sz w:val="24"/>
          <w:szCs w:val="24"/>
        </w:rPr>
        <w:t>1、按照基本技术要求详细填列；</w:t>
      </w:r>
    </w:p>
    <w:p>
      <w:pPr>
        <w:spacing w:line="360" w:lineRule="auto"/>
        <w:ind w:firstLine="480"/>
        <w:rPr>
          <w:color w:val="000000" w:themeColor="text1"/>
          <w:sz w:val="24"/>
          <w:szCs w:val="24"/>
        </w:rPr>
      </w:pPr>
      <w:r>
        <w:rPr>
          <w:color w:val="000000" w:themeColor="text1"/>
          <w:sz w:val="24"/>
          <w:szCs w:val="24"/>
        </w:rPr>
        <w:t>2、行数不够，可自行添加。</w:t>
      </w:r>
    </w:p>
    <w:p>
      <w:pPr>
        <w:spacing w:line="360" w:lineRule="auto"/>
        <w:ind w:firstLine="480"/>
        <w:rPr>
          <w:color w:val="000000" w:themeColor="text1"/>
          <w:sz w:val="24"/>
          <w:szCs w:val="24"/>
        </w:rPr>
      </w:pPr>
      <w:r>
        <w:rPr>
          <w:color w:val="000000" w:themeColor="text1"/>
          <w:sz w:val="24"/>
          <w:szCs w:val="24"/>
        </w:rPr>
        <w:t>3、技术偏离表应针对项目需求逐条应答。</w:t>
      </w:r>
    </w:p>
    <w:p>
      <w:pPr>
        <w:jc w:val="center"/>
        <w:rPr>
          <w:color w:val="000000" w:themeColor="text1"/>
          <w:sz w:val="24"/>
          <w:szCs w:val="24"/>
        </w:rPr>
      </w:pPr>
    </w:p>
    <w:p>
      <w:pPr>
        <w:jc w:val="center"/>
        <w:rPr>
          <w:color w:val="000000" w:themeColor="text1"/>
          <w:sz w:val="24"/>
          <w:szCs w:val="24"/>
        </w:rPr>
      </w:pPr>
    </w:p>
    <w:p>
      <w:pPr>
        <w:rPr>
          <w:color w:val="000000" w:themeColor="text1"/>
          <w:sz w:val="24"/>
          <w:szCs w:val="24"/>
        </w:rPr>
      </w:pPr>
    </w:p>
    <w:p>
      <w:pPr>
        <w:spacing w:line="360" w:lineRule="auto"/>
        <w:jc w:val="center"/>
        <w:rPr>
          <w:b/>
          <w:bCs/>
          <w:color w:val="000000" w:themeColor="text1"/>
          <w:sz w:val="32"/>
          <w:szCs w:val="32"/>
        </w:rPr>
      </w:pPr>
    </w:p>
    <w:p>
      <w:pPr>
        <w:widowControl/>
        <w:jc w:val="left"/>
        <w:rPr>
          <w:rFonts w:eastAsia="黑体"/>
          <w:color w:val="000000" w:themeColor="text1"/>
          <w:sz w:val="32"/>
          <w:szCs w:val="32"/>
        </w:rPr>
      </w:pPr>
      <w:r>
        <w:rPr>
          <w:rFonts w:eastAsia="黑体"/>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八</w:t>
      </w:r>
      <w:r>
        <w:rPr>
          <w:rFonts w:eastAsia="黑体"/>
          <w:color w:val="000000" w:themeColor="text1"/>
          <w:sz w:val="32"/>
          <w:szCs w:val="32"/>
        </w:rPr>
        <w:t>、商务条款响应及偏离表</w:t>
      </w:r>
    </w:p>
    <w:p>
      <w:pPr>
        <w:spacing w:before="161" w:beforeLines="50" w:after="161" w:afterLines="50"/>
        <w:rPr>
          <w:color w:val="000000" w:themeColor="text1"/>
          <w:sz w:val="24"/>
          <w:szCs w:val="24"/>
        </w:rPr>
      </w:pPr>
      <w:r>
        <w:rPr>
          <w:color w:val="000000" w:themeColor="text1"/>
          <w:sz w:val="24"/>
          <w:szCs w:val="24"/>
        </w:rPr>
        <w:t>参加投标供应商全称（加盖公章）：        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61" w:beforeLines="50"/>
              <w:jc w:val="center"/>
              <w:rPr>
                <w:b/>
                <w:color w:val="000000" w:themeColor="text1"/>
                <w:sz w:val="24"/>
                <w:szCs w:val="24"/>
              </w:rPr>
            </w:pPr>
            <w:r>
              <w:rPr>
                <w:b/>
                <w:color w:val="000000" w:themeColor="text1"/>
                <w:sz w:val="24"/>
                <w:szCs w:val="24"/>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rPr>
            </w:pPr>
            <w:r>
              <w:rPr>
                <w:b/>
                <w:color w:val="000000" w:themeColor="text1"/>
                <w:sz w:val="24"/>
                <w:szCs w:val="24"/>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rPr>
            </w:pPr>
            <w:r>
              <w:rPr>
                <w:b/>
                <w:color w:val="000000" w:themeColor="text1"/>
                <w:sz w:val="24"/>
                <w:szCs w:val="24"/>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rPr>
            </w:pPr>
            <w:r>
              <w:rPr>
                <w:b/>
                <w:color w:val="000000" w:themeColor="text1"/>
                <w:sz w:val="24"/>
                <w:szCs w:val="24"/>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r>
              <w:rPr>
                <w:color w:val="000000" w:themeColor="text1"/>
                <w:sz w:val="24"/>
                <w:szCs w:val="24"/>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rPr>
            </w:pPr>
            <w:r>
              <w:rPr>
                <w:color w:val="000000" w:themeColor="text1"/>
                <w:sz w:val="24"/>
                <w:szCs w:val="24"/>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rPr>
            </w:pPr>
          </w:p>
        </w:tc>
      </w:tr>
    </w:tbl>
    <w:p>
      <w:pPr>
        <w:spacing w:before="161" w:beforeLines="50"/>
        <w:rPr>
          <w:color w:val="000000" w:themeColor="text1"/>
          <w:sz w:val="24"/>
          <w:szCs w:val="24"/>
        </w:rPr>
      </w:pPr>
      <w:r>
        <w:rPr>
          <w:color w:val="000000" w:themeColor="text1"/>
          <w:sz w:val="24"/>
          <w:szCs w:val="24"/>
        </w:rPr>
        <w:t xml:space="preserve">法定代表人或授权代表签字： </w:t>
      </w:r>
    </w:p>
    <w:p>
      <w:pPr>
        <w:snapToGrid w:val="0"/>
        <w:spacing w:line="560" w:lineRule="exact"/>
        <w:jc w:val="center"/>
        <w:rPr>
          <w:color w:val="000000" w:themeColor="text1"/>
          <w:sz w:val="32"/>
          <w:szCs w:val="32"/>
        </w:rPr>
      </w:pPr>
      <w:r>
        <w:rPr>
          <w:color w:val="000000" w:themeColor="text1"/>
          <w:sz w:val="32"/>
          <w:szCs w:val="32"/>
        </w:rPr>
        <w:br w:type="page"/>
      </w:r>
    </w:p>
    <w:p>
      <w:pPr>
        <w:snapToGrid w:val="0"/>
        <w:spacing w:before="50" w:after="50"/>
        <w:jc w:val="center"/>
        <w:rPr>
          <w:rFonts w:eastAsia="黑体"/>
          <w:color w:val="000000" w:themeColor="text1"/>
          <w:sz w:val="32"/>
          <w:szCs w:val="32"/>
        </w:rPr>
      </w:pPr>
      <w:r>
        <w:rPr>
          <w:rFonts w:hint="eastAsia" w:eastAsia="黑体"/>
          <w:color w:val="000000" w:themeColor="text1"/>
          <w:sz w:val="32"/>
          <w:szCs w:val="32"/>
        </w:rPr>
        <w:t>九</w:t>
      </w:r>
      <w:r>
        <w:rPr>
          <w:rFonts w:eastAsia="黑体"/>
          <w:color w:val="000000" w:themeColor="text1"/>
          <w:sz w:val="32"/>
          <w:szCs w:val="32"/>
        </w:rPr>
        <w:t>、盐城市政府采购事前信用承诺书</w:t>
      </w:r>
    </w:p>
    <w:p>
      <w:pPr>
        <w:spacing w:line="500" w:lineRule="exact"/>
        <w:ind w:firstLine="640" w:firstLineChars="200"/>
        <w:jc w:val="left"/>
        <w:rPr>
          <w:rFonts w:eastAsia="方正仿宋_GBK"/>
          <w:color w:val="000000" w:themeColor="text1"/>
          <w:kern w:val="0"/>
          <w:sz w:val="32"/>
          <w:szCs w:val="32"/>
        </w:rPr>
      </w:pPr>
    </w:p>
    <w:p>
      <w:pPr>
        <w:spacing w:line="440" w:lineRule="exact"/>
        <w:ind w:firstLine="480" w:firstLineChars="200"/>
        <w:rPr>
          <w:color w:val="000000" w:themeColor="text1"/>
          <w:sz w:val="24"/>
        </w:rPr>
      </w:pPr>
      <w:r>
        <w:rPr>
          <w:color w:val="000000" w:themeColor="text1"/>
          <w:sz w:val="24"/>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rPr>
      </w:pPr>
      <w:r>
        <w:rPr>
          <w:color w:val="000000" w:themeColor="text1"/>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rPr>
      </w:pPr>
      <w:r>
        <w:rPr>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rPr>
      </w:pPr>
      <w:r>
        <w:rPr>
          <w:color w:val="000000" w:themeColor="text1"/>
          <w:sz w:val="24"/>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rPr>
      </w:pPr>
      <w:r>
        <w:rPr>
          <w:color w:val="000000" w:themeColor="text1"/>
          <w:sz w:val="24"/>
        </w:rPr>
        <w:t>（四）严格遵守即时信息公示规定，及时维护和更新维护和更新盐城市政府采购网中与本单位相关的信息；</w:t>
      </w:r>
    </w:p>
    <w:p>
      <w:pPr>
        <w:spacing w:line="440" w:lineRule="exact"/>
        <w:ind w:firstLine="480" w:firstLineChars="200"/>
        <w:rPr>
          <w:color w:val="000000" w:themeColor="text1"/>
          <w:sz w:val="24"/>
        </w:rPr>
      </w:pPr>
      <w:r>
        <w:rPr>
          <w:color w:val="000000" w:themeColor="text1"/>
          <w:sz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rPr>
      </w:pPr>
      <w:r>
        <w:rPr>
          <w:color w:val="000000" w:themeColor="text1"/>
          <w:sz w:val="24"/>
        </w:rPr>
        <w:t>（六）自觉接受政府、行业组织、社会公众、新闻舆论的监督；</w:t>
      </w:r>
    </w:p>
    <w:p>
      <w:pPr>
        <w:spacing w:line="440" w:lineRule="exact"/>
        <w:ind w:firstLine="480" w:firstLineChars="200"/>
        <w:rPr>
          <w:color w:val="000000" w:themeColor="text1"/>
          <w:sz w:val="24"/>
        </w:rPr>
      </w:pPr>
      <w:r>
        <w:rPr>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rPr>
      </w:pPr>
      <w:r>
        <w:rPr>
          <w:color w:val="000000" w:themeColor="text1"/>
          <w:sz w:val="24"/>
        </w:rPr>
        <w:t>（八）本人已认真阅读了上述承诺，并向本单位员工作了宣传教育。</w:t>
      </w:r>
    </w:p>
    <w:p>
      <w:pPr>
        <w:spacing w:line="500" w:lineRule="exact"/>
        <w:jc w:val="left"/>
        <w:rPr>
          <w:color w:val="000000" w:themeColor="text1"/>
          <w:sz w:val="24"/>
        </w:rPr>
      </w:pPr>
    </w:p>
    <w:p>
      <w:pPr>
        <w:pStyle w:val="27"/>
      </w:pPr>
    </w:p>
    <w:p>
      <w:pPr>
        <w:spacing w:line="500" w:lineRule="exact"/>
        <w:jc w:val="center"/>
        <w:rPr>
          <w:color w:val="000000" w:themeColor="text1"/>
          <w:sz w:val="24"/>
        </w:rPr>
      </w:pPr>
      <w:r>
        <w:rPr>
          <w:color w:val="000000" w:themeColor="text1"/>
          <w:sz w:val="24"/>
        </w:rPr>
        <w:t xml:space="preserve">                 法定代表人签名：</w:t>
      </w:r>
    </w:p>
    <w:p>
      <w:pPr>
        <w:spacing w:line="500" w:lineRule="exact"/>
        <w:jc w:val="center"/>
        <w:rPr>
          <w:color w:val="000000" w:themeColor="text1"/>
          <w:sz w:val="24"/>
        </w:rPr>
      </w:pPr>
      <w:r>
        <w:rPr>
          <w:color w:val="000000" w:themeColor="text1"/>
          <w:sz w:val="24"/>
        </w:rPr>
        <w:t xml:space="preserve">                   单位名称（盖章）：</w:t>
      </w:r>
    </w:p>
    <w:p>
      <w:pPr>
        <w:spacing w:line="500" w:lineRule="exact"/>
        <w:jc w:val="center"/>
        <w:rPr>
          <w:color w:val="000000" w:themeColor="text1"/>
          <w:sz w:val="24"/>
        </w:rPr>
      </w:pPr>
      <w:r>
        <w:rPr>
          <w:color w:val="000000" w:themeColor="text1"/>
          <w:sz w:val="24"/>
        </w:rPr>
        <w:t xml:space="preserve">                      年    月    日</w:t>
      </w:r>
    </w:p>
    <w:p>
      <w:pPr>
        <w:rPr>
          <w:color w:val="000000" w:themeColor="text1"/>
        </w:rPr>
      </w:pPr>
    </w:p>
    <w:p>
      <w:pPr>
        <w:pStyle w:val="27"/>
        <w:rPr>
          <w:color w:val="000000" w:themeColor="text1"/>
        </w:rPr>
      </w:pPr>
    </w:p>
    <w:p>
      <w:pPr>
        <w:pStyle w:val="27"/>
        <w:rPr>
          <w:color w:val="C0504D" w:themeColor="accent2"/>
        </w:rPr>
      </w:pPr>
    </w:p>
    <w:p>
      <w:pPr>
        <w:pStyle w:val="27"/>
        <w:rPr>
          <w:color w:val="C0504D" w:themeColor="accent2"/>
        </w:rPr>
      </w:pPr>
    </w:p>
    <w:p>
      <w:pPr>
        <w:snapToGrid w:val="0"/>
        <w:spacing w:line="560" w:lineRule="exact"/>
        <w:jc w:val="center"/>
        <w:rPr>
          <w:rFonts w:eastAsia="黑体"/>
          <w:color w:val="000000" w:themeColor="text1"/>
          <w:sz w:val="32"/>
          <w:szCs w:val="32"/>
        </w:rPr>
      </w:pPr>
      <w:r>
        <w:rPr>
          <w:rFonts w:hint="eastAsia" w:eastAsia="黑体"/>
          <w:color w:val="000000" w:themeColor="text1"/>
          <w:sz w:val="32"/>
          <w:szCs w:val="32"/>
        </w:rPr>
        <w:t>十</w:t>
      </w:r>
      <w:r>
        <w:rPr>
          <w:rFonts w:eastAsia="黑体"/>
          <w:color w:val="000000" w:themeColor="text1"/>
          <w:sz w:val="32"/>
          <w:szCs w:val="32"/>
        </w:rPr>
        <w:t>、</w:t>
      </w:r>
      <w:r>
        <w:rPr>
          <w:rFonts w:hint="eastAsia" w:eastAsia="黑体"/>
          <w:color w:val="000000" w:themeColor="text1"/>
          <w:sz w:val="32"/>
          <w:szCs w:val="32"/>
        </w:rPr>
        <w:t>招</w:t>
      </w:r>
      <w:r>
        <w:rPr>
          <w:rFonts w:eastAsia="黑体"/>
          <w:color w:val="000000" w:themeColor="text1"/>
          <w:sz w:val="32"/>
          <w:szCs w:val="32"/>
        </w:rPr>
        <w:t>标文件中规定要求提供的材料或投标供应商认为需要提供的其他材料</w:t>
      </w:r>
    </w:p>
    <w:p>
      <w:pPr>
        <w:snapToGrid w:val="0"/>
        <w:spacing w:before="50" w:after="50"/>
        <w:jc w:val="center"/>
        <w:rPr>
          <w:color w:val="000000" w:themeColor="text1"/>
          <w:sz w:val="32"/>
          <w:szCs w:val="32"/>
        </w:rPr>
      </w:pPr>
    </w:p>
    <w:p>
      <w:pPr>
        <w:pStyle w:val="27"/>
        <w:rPr>
          <w:color w:val="C0504D" w:themeColor="accent2"/>
        </w:rPr>
      </w:pPr>
    </w:p>
    <w:sectPr>
      <w:pgSz w:w="11906" w:h="16838"/>
      <w:pgMar w:top="1701" w:right="1417" w:bottom="1417" w:left="1587" w:header="1134" w:footer="1304"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Mincho">
    <w:panose1 w:val="02020609040205080304"/>
    <w:charset w:val="80"/>
    <w:family w:val="roman"/>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6"/>
          <w:jc w:val="center"/>
        </w:pPr>
        <w:r>
          <w:fldChar w:fldCharType="begin"/>
        </w:r>
        <w:r>
          <w:instrText xml:space="preserve"> PAGE   \* MERGEFORMAT </w:instrText>
        </w:r>
        <w:r>
          <w:fldChar w:fldCharType="separate"/>
        </w:r>
        <w:r>
          <w:rPr>
            <w:lang w:val="zh-CN"/>
          </w:rPr>
          <w:t>61</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YCYZ2022HW006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917B2"/>
    <w:multiLevelType w:val="singleLevel"/>
    <w:tmpl w:val="9C9917B2"/>
    <w:lvl w:ilvl="0" w:tentative="0">
      <w:start w:val="2"/>
      <w:numFmt w:val="decimal"/>
      <w:lvlText w:val="%1."/>
      <w:lvlJc w:val="left"/>
      <w:pPr>
        <w:tabs>
          <w:tab w:val="left" w:pos="312"/>
        </w:tabs>
      </w:pPr>
    </w:lvl>
  </w:abstractNum>
  <w:abstractNum w:abstractNumId="1">
    <w:nsid w:val="D73F7CF3"/>
    <w:multiLevelType w:val="singleLevel"/>
    <w:tmpl w:val="D73F7CF3"/>
    <w:lvl w:ilvl="0" w:tentative="0">
      <w:start w:val="1"/>
      <w:numFmt w:val="decimal"/>
      <w:suff w:val="nothing"/>
      <w:lvlText w:val="%1、"/>
      <w:lvlJc w:val="left"/>
    </w:lvl>
  </w:abstractNum>
  <w:abstractNum w:abstractNumId="2">
    <w:nsid w:val="D8A8DE2E"/>
    <w:multiLevelType w:val="singleLevel"/>
    <w:tmpl w:val="D8A8DE2E"/>
    <w:lvl w:ilvl="0" w:tentative="0">
      <w:start w:val="1"/>
      <w:numFmt w:val="chineseCounting"/>
      <w:suff w:val="nothing"/>
      <w:lvlText w:val="%1、"/>
      <w:lvlJc w:val="left"/>
      <w:rPr>
        <w:rFonts w:hint="eastAsia"/>
      </w:rPr>
    </w:lvl>
  </w:abstractNum>
  <w:abstractNum w:abstractNumId="3">
    <w:nsid w:val="F64A3459"/>
    <w:multiLevelType w:val="singleLevel"/>
    <w:tmpl w:val="F64A3459"/>
    <w:lvl w:ilvl="0" w:tentative="0">
      <w:start w:val="6"/>
      <w:numFmt w:val="chineseCounting"/>
      <w:suff w:val="nothing"/>
      <w:lvlText w:val="%1、"/>
      <w:lvlJc w:val="left"/>
      <w:rPr>
        <w:rFonts w:hint="eastAsia"/>
      </w:rPr>
    </w:lvl>
  </w:abstractNum>
  <w:abstractNum w:abstractNumId="4">
    <w:nsid w:val="FE130461"/>
    <w:multiLevelType w:val="singleLevel"/>
    <w:tmpl w:val="FE130461"/>
    <w:lvl w:ilvl="0" w:tentative="0">
      <w:start w:val="1"/>
      <w:numFmt w:val="decimal"/>
      <w:suff w:val="nothing"/>
      <w:lvlText w:val="%1、"/>
      <w:lvlJc w:val="left"/>
    </w:lvl>
  </w:abstractNum>
  <w:abstractNum w:abstractNumId="5">
    <w:nsid w:val="09D4EA9B"/>
    <w:multiLevelType w:val="singleLevel"/>
    <w:tmpl w:val="09D4EA9B"/>
    <w:lvl w:ilvl="0" w:tentative="0">
      <w:start w:val="1"/>
      <w:numFmt w:val="decimal"/>
      <w:lvlText w:val="%1."/>
      <w:lvlJc w:val="left"/>
      <w:pPr>
        <w:tabs>
          <w:tab w:val="left" w:pos="312"/>
        </w:tabs>
      </w:pPr>
    </w:lvl>
  </w:abstractNum>
  <w:abstractNum w:abstractNumId="6">
    <w:nsid w:val="0DA507D3"/>
    <w:multiLevelType w:val="singleLevel"/>
    <w:tmpl w:val="0DA507D3"/>
    <w:lvl w:ilvl="0" w:tentative="0">
      <w:start w:val="12"/>
      <w:numFmt w:val="chineseCounting"/>
      <w:suff w:val="nothing"/>
      <w:lvlText w:val="%1、"/>
      <w:lvlJc w:val="left"/>
      <w:rPr>
        <w:rFonts w:hint="eastAsia"/>
      </w:rPr>
    </w:lvl>
  </w:abstractNum>
  <w:abstractNum w:abstractNumId="7">
    <w:nsid w:val="1DC71B2E"/>
    <w:multiLevelType w:val="singleLevel"/>
    <w:tmpl w:val="1DC71B2E"/>
    <w:lvl w:ilvl="0" w:tentative="0">
      <w:start w:val="1"/>
      <w:numFmt w:val="decimal"/>
      <w:suff w:val="nothing"/>
      <w:lvlText w:val="%1、"/>
      <w:lvlJc w:val="left"/>
      <w:pPr>
        <w:ind w:left="210"/>
      </w:pPr>
    </w:lvl>
  </w:abstractNum>
  <w:abstractNum w:abstractNumId="8">
    <w:nsid w:val="4C60F7C2"/>
    <w:multiLevelType w:val="singleLevel"/>
    <w:tmpl w:val="4C60F7C2"/>
    <w:lvl w:ilvl="0" w:tentative="0">
      <w:start w:val="1"/>
      <w:numFmt w:val="decimal"/>
      <w:suff w:val="nothing"/>
      <w:lvlText w:val="%1、"/>
      <w:lvlJc w:val="left"/>
    </w:lvl>
  </w:abstractNum>
  <w:abstractNum w:abstractNumId="9">
    <w:nsid w:val="4CB7D1F0"/>
    <w:multiLevelType w:val="singleLevel"/>
    <w:tmpl w:val="4CB7D1F0"/>
    <w:lvl w:ilvl="0" w:tentative="0">
      <w:start w:val="4"/>
      <w:numFmt w:val="chineseCounting"/>
      <w:suff w:val="space"/>
      <w:lvlText w:val="第%1章"/>
      <w:lvlJc w:val="left"/>
      <w:rPr>
        <w:rFonts w:hint="eastAsia"/>
      </w:rPr>
    </w:lvl>
  </w:abstractNum>
  <w:abstractNum w:abstractNumId="10">
    <w:nsid w:val="5A2B9532"/>
    <w:multiLevelType w:val="singleLevel"/>
    <w:tmpl w:val="5A2B9532"/>
    <w:lvl w:ilvl="0" w:tentative="0">
      <w:start w:val="2"/>
      <w:numFmt w:val="decimal"/>
      <w:suff w:val="space"/>
      <w:lvlText w:val="%1."/>
      <w:lvlJc w:val="left"/>
      <w:pPr>
        <w:ind w:left="0" w:firstLine="0"/>
      </w:pPr>
    </w:lvl>
  </w:abstractNum>
  <w:num w:numId="1">
    <w:abstractNumId w:val="6"/>
  </w:num>
  <w:num w:numId="2">
    <w:abstractNumId w:val="9"/>
  </w:num>
  <w:num w:numId="3">
    <w:abstractNumId w:val="2"/>
  </w:num>
  <w:num w:numId="4">
    <w:abstractNumId w:val="5"/>
  </w:num>
  <w:num w:numId="5">
    <w:abstractNumId w:val="0"/>
  </w:num>
  <w:num w:numId="6">
    <w:abstractNumId w:val="7"/>
  </w:num>
  <w:num w:numId="7">
    <w:abstractNumId w:val="1"/>
  </w:num>
  <w:num w:numId="8">
    <w:abstractNumId w:val="8"/>
  </w:num>
  <w:num w:numId="9">
    <w:abstractNumId w:val="4"/>
  </w:num>
  <w:num w:numId="10">
    <w:abstractNumId w:val="10"/>
    <w:lvlOverride w:ilvl="0">
      <w:startOverride w:val="2"/>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6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0OTZhOWFhZmU0MjAyMTk2YzE4M2RhNWVlZjBmMzQifQ=="/>
  </w:docVars>
  <w:rsids>
    <w:rsidRoot w:val="00826A0F"/>
    <w:rsid w:val="00013403"/>
    <w:rsid w:val="000149FE"/>
    <w:rsid w:val="0001548F"/>
    <w:rsid w:val="00023FFB"/>
    <w:rsid w:val="000420C1"/>
    <w:rsid w:val="00052268"/>
    <w:rsid w:val="00056C0F"/>
    <w:rsid w:val="00061E7F"/>
    <w:rsid w:val="00083525"/>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67D5F"/>
    <w:rsid w:val="003932AA"/>
    <w:rsid w:val="003A7778"/>
    <w:rsid w:val="003C1D02"/>
    <w:rsid w:val="003C538F"/>
    <w:rsid w:val="003D4915"/>
    <w:rsid w:val="003D6622"/>
    <w:rsid w:val="003E72A0"/>
    <w:rsid w:val="00405801"/>
    <w:rsid w:val="00407A63"/>
    <w:rsid w:val="00411BE1"/>
    <w:rsid w:val="00422E24"/>
    <w:rsid w:val="00454A6D"/>
    <w:rsid w:val="00471736"/>
    <w:rsid w:val="00482F33"/>
    <w:rsid w:val="004A11F1"/>
    <w:rsid w:val="004C3598"/>
    <w:rsid w:val="004C4678"/>
    <w:rsid w:val="004D4131"/>
    <w:rsid w:val="0052606B"/>
    <w:rsid w:val="00530FD2"/>
    <w:rsid w:val="00552B38"/>
    <w:rsid w:val="005539E3"/>
    <w:rsid w:val="00566D40"/>
    <w:rsid w:val="005C790E"/>
    <w:rsid w:val="005D7154"/>
    <w:rsid w:val="005D7C85"/>
    <w:rsid w:val="00625B2F"/>
    <w:rsid w:val="00632559"/>
    <w:rsid w:val="00665091"/>
    <w:rsid w:val="00670C31"/>
    <w:rsid w:val="00681F12"/>
    <w:rsid w:val="006B1528"/>
    <w:rsid w:val="006E3BF2"/>
    <w:rsid w:val="006E496F"/>
    <w:rsid w:val="00703839"/>
    <w:rsid w:val="00716F4D"/>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D699A"/>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240FB"/>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E10A8"/>
    <w:rsid w:val="00DF7FE6"/>
    <w:rsid w:val="00E24136"/>
    <w:rsid w:val="00E248AE"/>
    <w:rsid w:val="00E429C3"/>
    <w:rsid w:val="00E51AAB"/>
    <w:rsid w:val="00E84590"/>
    <w:rsid w:val="00E903BD"/>
    <w:rsid w:val="00E90DDA"/>
    <w:rsid w:val="00E9692F"/>
    <w:rsid w:val="00EC4AF5"/>
    <w:rsid w:val="00EE1BA9"/>
    <w:rsid w:val="00EE26B2"/>
    <w:rsid w:val="00EF00B5"/>
    <w:rsid w:val="00EF1C39"/>
    <w:rsid w:val="00F10987"/>
    <w:rsid w:val="00F22B45"/>
    <w:rsid w:val="00F24020"/>
    <w:rsid w:val="00F905B3"/>
    <w:rsid w:val="00F92AEC"/>
    <w:rsid w:val="00FD4F19"/>
    <w:rsid w:val="0139558F"/>
    <w:rsid w:val="01692E8A"/>
    <w:rsid w:val="01822573"/>
    <w:rsid w:val="01B02C2F"/>
    <w:rsid w:val="021D06BE"/>
    <w:rsid w:val="03A16A61"/>
    <w:rsid w:val="05041373"/>
    <w:rsid w:val="05BE2706"/>
    <w:rsid w:val="05C50135"/>
    <w:rsid w:val="06A030C2"/>
    <w:rsid w:val="06F07DA6"/>
    <w:rsid w:val="07862691"/>
    <w:rsid w:val="07AD3D6C"/>
    <w:rsid w:val="08312BA3"/>
    <w:rsid w:val="085127F7"/>
    <w:rsid w:val="0851476E"/>
    <w:rsid w:val="08684CE0"/>
    <w:rsid w:val="094B0C70"/>
    <w:rsid w:val="096B7D90"/>
    <w:rsid w:val="098175B4"/>
    <w:rsid w:val="09FE5F7D"/>
    <w:rsid w:val="0A0A0A91"/>
    <w:rsid w:val="0A116C13"/>
    <w:rsid w:val="0A880DA1"/>
    <w:rsid w:val="0B153092"/>
    <w:rsid w:val="0BD73B76"/>
    <w:rsid w:val="0BF77312"/>
    <w:rsid w:val="0C480139"/>
    <w:rsid w:val="0C7B653C"/>
    <w:rsid w:val="0CBB2113"/>
    <w:rsid w:val="0CEC06D8"/>
    <w:rsid w:val="0D5C05CB"/>
    <w:rsid w:val="0E2247CA"/>
    <w:rsid w:val="0EB837FD"/>
    <w:rsid w:val="0FFA1E6E"/>
    <w:rsid w:val="106672C9"/>
    <w:rsid w:val="10A035A9"/>
    <w:rsid w:val="10D27A54"/>
    <w:rsid w:val="117874EE"/>
    <w:rsid w:val="1247062C"/>
    <w:rsid w:val="124B075F"/>
    <w:rsid w:val="12BF57F1"/>
    <w:rsid w:val="13135D34"/>
    <w:rsid w:val="13F57F2B"/>
    <w:rsid w:val="147552AC"/>
    <w:rsid w:val="14AA6FFE"/>
    <w:rsid w:val="14B22D17"/>
    <w:rsid w:val="14E63047"/>
    <w:rsid w:val="14E753FB"/>
    <w:rsid w:val="15415E49"/>
    <w:rsid w:val="154C4F1A"/>
    <w:rsid w:val="15620F6A"/>
    <w:rsid w:val="158A7637"/>
    <w:rsid w:val="15D34D9F"/>
    <w:rsid w:val="162B3E16"/>
    <w:rsid w:val="16B17A67"/>
    <w:rsid w:val="16CE01F2"/>
    <w:rsid w:val="16FB0FF0"/>
    <w:rsid w:val="177922F0"/>
    <w:rsid w:val="17A1517D"/>
    <w:rsid w:val="17E95B0E"/>
    <w:rsid w:val="17F7778F"/>
    <w:rsid w:val="18096DC3"/>
    <w:rsid w:val="18411FF4"/>
    <w:rsid w:val="191A70DD"/>
    <w:rsid w:val="193405B1"/>
    <w:rsid w:val="19DE008F"/>
    <w:rsid w:val="19F97867"/>
    <w:rsid w:val="1A057D8D"/>
    <w:rsid w:val="1A29201A"/>
    <w:rsid w:val="1AF13CB5"/>
    <w:rsid w:val="1B1466A1"/>
    <w:rsid w:val="1B51454D"/>
    <w:rsid w:val="1B836663"/>
    <w:rsid w:val="1BC51676"/>
    <w:rsid w:val="1BE22336"/>
    <w:rsid w:val="1C00080C"/>
    <w:rsid w:val="1D3C1D18"/>
    <w:rsid w:val="1D4A4435"/>
    <w:rsid w:val="1D6C579D"/>
    <w:rsid w:val="1D7A76D0"/>
    <w:rsid w:val="1DFF5CE1"/>
    <w:rsid w:val="1ECC6AB2"/>
    <w:rsid w:val="1F250958"/>
    <w:rsid w:val="1F2732D5"/>
    <w:rsid w:val="1FAF7944"/>
    <w:rsid w:val="1FF02946"/>
    <w:rsid w:val="213D1128"/>
    <w:rsid w:val="218F5380"/>
    <w:rsid w:val="21FF03BB"/>
    <w:rsid w:val="2296771B"/>
    <w:rsid w:val="23C640E9"/>
    <w:rsid w:val="23EA427B"/>
    <w:rsid w:val="24136C6E"/>
    <w:rsid w:val="2446522A"/>
    <w:rsid w:val="24FE6CD8"/>
    <w:rsid w:val="25D520AE"/>
    <w:rsid w:val="2624038B"/>
    <w:rsid w:val="26481650"/>
    <w:rsid w:val="26B850BB"/>
    <w:rsid w:val="27214E72"/>
    <w:rsid w:val="277C5534"/>
    <w:rsid w:val="280671AA"/>
    <w:rsid w:val="2920139D"/>
    <w:rsid w:val="296F6784"/>
    <w:rsid w:val="29730FB5"/>
    <w:rsid w:val="2A5641EF"/>
    <w:rsid w:val="2B1823AF"/>
    <w:rsid w:val="2B4331DB"/>
    <w:rsid w:val="2BB01ABF"/>
    <w:rsid w:val="2BE4336B"/>
    <w:rsid w:val="2C9C1E8B"/>
    <w:rsid w:val="2D7A4AA5"/>
    <w:rsid w:val="2E2F684F"/>
    <w:rsid w:val="2E9941C5"/>
    <w:rsid w:val="2F633EDF"/>
    <w:rsid w:val="2F860BD0"/>
    <w:rsid w:val="2F9470AE"/>
    <w:rsid w:val="318A2BFA"/>
    <w:rsid w:val="31C418C9"/>
    <w:rsid w:val="31F91A9C"/>
    <w:rsid w:val="32332D9F"/>
    <w:rsid w:val="32C739DA"/>
    <w:rsid w:val="32CA473F"/>
    <w:rsid w:val="33071282"/>
    <w:rsid w:val="333F4A62"/>
    <w:rsid w:val="33B8060F"/>
    <w:rsid w:val="33D4357B"/>
    <w:rsid w:val="34371578"/>
    <w:rsid w:val="34BB6BEB"/>
    <w:rsid w:val="34EF6FB7"/>
    <w:rsid w:val="34F31525"/>
    <w:rsid w:val="35603A14"/>
    <w:rsid w:val="35956011"/>
    <w:rsid w:val="3618165E"/>
    <w:rsid w:val="363A31E0"/>
    <w:rsid w:val="36BD13CB"/>
    <w:rsid w:val="36E87269"/>
    <w:rsid w:val="387B504A"/>
    <w:rsid w:val="38A83AFC"/>
    <w:rsid w:val="38C8225A"/>
    <w:rsid w:val="38F90F48"/>
    <w:rsid w:val="392532CB"/>
    <w:rsid w:val="39620EA9"/>
    <w:rsid w:val="39BB50FB"/>
    <w:rsid w:val="39E80D0A"/>
    <w:rsid w:val="39ED79CE"/>
    <w:rsid w:val="3A093679"/>
    <w:rsid w:val="3AAB1C80"/>
    <w:rsid w:val="3AC3441A"/>
    <w:rsid w:val="3B685CB1"/>
    <w:rsid w:val="3C0E1F75"/>
    <w:rsid w:val="3C522917"/>
    <w:rsid w:val="3CBF57BA"/>
    <w:rsid w:val="3CF517B5"/>
    <w:rsid w:val="3CFD3295"/>
    <w:rsid w:val="3D976A30"/>
    <w:rsid w:val="3DA23079"/>
    <w:rsid w:val="3F133019"/>
    <w:rsid w:val="3F927466"/>
    <w:rsid w:val="3FB44E3F"/>
    <w:rsid w:val="40994C08"/>
    <w:rsid w:val="40C53DFF"/>
    <w:rsid w:val="41002C1C"/>
    <w:rsid w:val="41850862"/>
    <w:rsid w:val="419127A4"/>
    <w:rsid w:val="42611561"/>
    <w:rsid w:val="42892392"/>
    <w:rsid w:val="43737FC8"/>
    <w:rsid w:val="439B1253"/>
    <w:rsid w:val="44E25011"/>
    <w:rsid w:val="452B44DB"/>
    <w:rsid w:val="453032B5"/>
    <w:rsid w:val="45F6521E"/>
    <w:rsid w:val="4663083F"/>
    <w:rsid w:val="46D54DA0"/>
    <w:rsid w:val="46E3784F"/>
    <w:rsid w:val="46EE37D3"/>
    <w:rsid w:val="482A4397"/>
    <w:rsid w:val="485B32D3"/>
    <w:rsid w:val="488A13AB"/>
    <w:rsid w:val="488F68F0"/>
    <w:rsid w:val="48A05A8E"/>
    <w:rsid w:val="48E07049"/>
    <w:rsid w:val="497C127D"/>
    <w:rsid w:val="4A235542"/>
    <w:rsid w:val="4A4F5593"/>
    <w:rsid w:val="4A7C3B90"/>
    <w:rsid w:val="4A930919"/>
    <w:rsid w:val="4A9B77CE"/>
    <w:rsid w:val="4AE64538"/>
    <w:rsid w:val="4B913C9C"/>
    <w:rsid w:val="4C5509B4"/>
    <w:rsid w:val="4C6D35CE"/>
    <w:rsid w:val="4C9B3AB5"/>
    <w:rsid w:val="4CBD1C7E"/>
    <w:rsid w:val="4CF46434"/>
    <w:rsid w:val="4DAD025C"/>
    <w:rsid w:val="4DB366E0"/>
    <w:rsid w:val="4DF01BDF"/>
    <w:rsid w:val="4E4E5ADE"/>
    <w:rsid w:val="4EC30CA9"/>
    <w:rsid w:val="50137E07"/>
    <w:rsid w:val="50412F77"/>
    <w:rsid w:val="51085492"/>
    <w:rsid w:val="517556B7"/>
    <w:rsid w:val="51BB0150"/>
    <w:rsid w:val="51E81CD0"/>
    <w:rsid w:val="523A10F8"/>
    <w:rsid w:val="529133F1"/>
    <w:rsid w:val="52CF092C"/>
    <w:rsid w:val="54804D20"/>
    <w:rsid w:val="554F3053"/>
    <w:rsid w:val="55577837"/>
    <w:rsid w:val="5582440C"/>
    <w:rsid w:val="55990DAE"/>
    <w:rsid w:val="55AD239B"/>
    <w:rsid w:val="56257837"/>
    <w:rsid w:val="56453404"/>
    <w:rsid w:val="57C54DFF"/>
    <w:rsid w:val="58390F4F"/>
    <w:rsid w:val="584F7770"/>
    <w:rsid w:val="58592B3C"/>
    <w:rsid w:val="5A8E2028"/>
    <w:rsid w:val="5B7D51A2"/>
    <w:rsid w:val="5C6116F4"/>
    <w:rsid w:val="5C9D5785"/>
    <w:rsid w:val="5CC57FF2"/>
    <w:rsid w:val="5CCD0D80"/>
    <w:rsid w:val="5DA20BF8"/>
    <w:rsid w:val="5DBB5D65"/>
    <w:rsid w:val="5E501F37"/>
    <w:rsid w:val="5F913938"/>
    <w:rsid w:val="60007659"/>
    <w:rsid w:val="607D37A6"/>
    <w:rsid w:val="60A61087"/>
    <w:rsid w:val="60EE4DAE"/>
    <w:rsid w:val="610D0E7E"/>
    <w:rsid w:val="611A0FF5"/>
    <w:rsid w:val="61AE6EFE"/>
    <w:rsid w:val="62705859"/>
    <w:rsid w:val="631B1D82"/>
    <w:rsid w:val="633D2755"/>
    <w:rsid w:val="63907F40"/>
    <w:rsid w:val="653E1755"/>
    <w:rsid w:val="665705F5"/>
    <w:rsid w:val="66D41C46"/>
    <w:rsid w:val="67ED04A1"/>
    <w:rsid w:val="6805779D"/>
    <w:rsid w:val="68202928"/>
    <w:rsid w:val="68521705"/>
    <w:rsid w:val="685655A6"/>
    <w:rsid w:val="69060B2D"/>
    <w:rsid w:val="6A331379"/>
    <w:rsid w:val="6A3E260C"/>
    <w:rsid w:val="6A64219A"/>
    <w:rsid w:val="6A952428"/>
    <w:rsid w:val="6B583717"/>
    <w:rsid w:val="6B6B185C"/>
    <w:rsid w:val="6BDD19F2"/>
    <w:rsid w:val="6BDF2422"/>
    <w:rsid w:val="6BE94C15"/>
    <w:rsid w:val="6C9873B6"/>
    <w:rsid w:val="6CC222F5"/>
    <w:rsid w:val="6D42279F"/>
    <w:rsid w:val="6D6007D1"/>
    <w:rsid w:val="6E1E5287"/>
    <w:rsid w:val="6F14385A"/>
    <w:rsid w:val="6F6124E5"/>
    <w:rsid w:val="6F667AFB"/>
    <w:rsid w:val="6F726B79"/>
    <w:rsid w:val="6FF0313F"/>
    <w:rsid w:val="70480FAF"/>
    <w:rsid w:val="70512160"/>
    <w:rsid w:val="70566CE6"/>
    <w:rsid w:val="70695E93"/>
    <w:rsid w:val="708E2FC5"/>
    <w:rsid w:val="711E20F3"/>
    <w:rsid w:val="715D700F"/>
    <w:rsid w:val="71CC16DE"/>
    <w:rsid w:val="725506C5"/>
    <w:rsid w:val="726E1536"/>
    <w:rsid w:val="72D53C36"/>
    <w:rsid w:val="73155AC0"/>
    <w:rsid w:val="73441562"/>
    <w:rsid w:val="73D25955"/>
    <w:rsid w:val="73DF7075"/>
    <w:rsid w:val="74610332"/>
    <w:rsid w:val="74860A11"/>
    <w:rsid w:val="74A80D46"/>
    <w:rsid w:val="752B7B7F"/>
    <w:rsid w:val="753159D7"/>
    <w:rsid w:val="75704A86"/>
    <w:rsid w:val="75711A3B"/>
    <w:rsid w:val="75D927B7"/>
    <w:rsid w:val="769D255B"/>
    <w:rsid w:val="76BD6E08"/>
    <w:rsid w:val="779108EB"/>
    <w:rsid w:val="77B05DB7"/>
    <w:rsid w:val="77BA4BF9"/>
    <w:rsid w:val="79DA711C"/>
    <w:rsid w:val="7A106456"/>
    <w:rsid w:val="7A4C48FD"/>
    <w:rsid w:val="7A5E1245"/>
    <w:rsid w:val="7AF56743"/>
    <w:rsid w:val="7B303A4B"/>
    <w:rsid w:val="7B683332"/>
    <w:rsid w:val="7B8B3249"/>
    <w:rsid w:val="7CB61568"/>
    <w:rsid w:val="7CFC409A"/>
    <w:rsid w:val="7D066E76"/>
    <w:rsid w:val="7E0B4749"/>
    <w:rsid w:val="7E3C7849"/>
    <w:rsid w:val="7E710D86"/>
    <w:rsid w:val="7ECD36F3"/>
    <w:rsid w:val="7EE12CFA"/>
    <w:rsid w:val="7F0E0C8D"/>
    <w:rsid w:val="7F27533A"/>
    <w:rsid w:val="7F381DA7"/>
    <w:rsid w:val="7F8D01A2"/>
    <w:rsid w:val="7F92451A"/>
    <w:rsid w:val="7FAD30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8"/>
    <w:qFormat/>
    <w:uiPriority w:val="99"/>
    <w:pPr>
      <w:keepNext/>
      <w:jc w:val="center"/>
      <w:outlineLvl w:val="0"/>
    </w:pPr>
    <w:rPr>
      <w:rFonts w:ascii="楷体_GB2312" w:hAnsi="楷体_GB2312" w:cs="宋体"/>
      <w:sz w:val="28"/>
      <w:szCs w:val="28"/>
    </w:rPr>
  </w:style>
  <w:style w:type="paragraph" w:styleId="4">
    <w:name w:val="heading 2"/>
    <w:basedOn w:val="1"/>
    <w:next w:val="1"/>
    <w:link w:val="29"/>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1"/>
    <w:link w:val="30"/>
    <w:qFormat/>
    <w:uiPriority w:val="99"/>
    <w:pPr>
      <w:keepNext/>
      <w:keepLines/>
      <w:spacing w:before="260" w:after="260" w:line="415" w:lineRule="auto"/>
      <w:outlineLvl w:val="2"/>
    </w:pPr>
    <w:rPr>
      <w:b/>
      <w:bCs/>
      <w:sz w:val="32"/>
      <w:szCs w:val="32"/>
    </w:rPr>
  </w:style>
  <w:style w:type="paragraph" w:styleId="6">
    <w:name w:val="heading 4"/>
    <w:basedOn w:val="1"/>
    <w:next w:val="7"/>
    <w:link w:val="54"/>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31"/>
    <w:qFormat/>
    <w:uiPriority w:val="99"/>
    <w:pPr>
      <w:keepNext/>
      <w:keepLines/>
      <w:spacing w:before="240" w:after="64" w:line="319" w:lineRule="auto"/>
      <w:outlineLvl w:val="5"/>
    </w:pPr>
    <w:rPr>
      <w:rFonts w:ascii="Arial" w:hAnsi="Arial" w:eastAsia="黑体" w:cs="Arial"/>
      <w:b/>
      <w:bCs/>
      <w:sz w:val="24"/>
      <w:szCs w:val="24"/>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Normal Indent"/>
    <w:basedOn w:val="1"/>
    <w:unhideWhenUsed/>
    <w:qFormat/>
    <w:uiPriority w:val="99"/>
    <w:pPr>
      <w:ind w:firstLine="420"/>
    </w:pPr>
  </w:style>
  <w:style w:type="paragraph" w:styleId="9">
    <w:name w:val="annotation text"/>
    <w:basedOn w:val="1"/>
    <w:semiHidden/>
    <w:unhideWhenUsed/>
    <w:qFormat/>
    <w:uiPriority w:val="99"/>
    <w:pPr>
      <w:jc w:val="left"/>
    </w:pPr>
  </w:style>
  <w:style w:type="paragraph" w:styleId="10">
    <w:name w:val="Body Text Indent"/>
    <w:basedOn w:val="1"/>
    <w:link w:val="37"/>
    <w:unhideWhenUsed/>
    <w:qFormat/>
    <w:uiPriority w:val="99"/>
    <w:pPr>
      <w:ind w:firstLine="645"/>
    </w:pPr>
    <w:rPr>
      <w:rFonts w:ascii="楷体_GB2312" w:hAnsi="楷体_GB2312" w:cs="宋体"/>
      <w:sz w:val="32"/>
      <w:szCs w:val="32"/>
    </w:rPr>
  </w:style>
  <w:style w:type="paragraph" w:styleId="11">
    <w:name w:val="Block Text"/>
    <w:basedOn w:val="1"/>
    <w:qFormat/>
    <w:uiPriority w:val="99"/>
    <w:pPr>
      <w:ind w:left="560" w:right="-512" w:rightChars="-244"/>
    </w:pPr>
    <w:rPr>
      <w:rFonts w:ascii="幼圆" w:eastAsia="幼圆" w:cs="Garamond"/>
      <w:sz w:val="24"/>
    </w:rPr>
  </w:style>
  <w:style w:type="paragraph" w:styleId="12">
    <w:name w:val="toc 5"/>
    <w:basedOn w:val="1"/>
    <w:next w:val="1"/>
    <w:semiHidden/>
    <w:qFormat/>
    <w:uiPriority w:val="0"/>
    <w:pPr>
      <w:ind w:left="840"/>
      <w:jc w:val="left"/>
    </w:pPr>
  </w:style>
  <w:style w:type="paragraph" w:styleId="13">
    <w:name w:val="Plain Text"/>
    <w:basedOn w:val="1"/>
    <w:link w:val="34"/>
    <w:unhideWhenUsed/>
    <w:qFormat/>
    <w:uiPriority w:val="99"/>
    <w:rPr>
      <w:rFonts w:ascii="宋体" w:hAnsi="Courier New" w:cs="宋体"/>
    </w:rPr>
  </w:style>
  <w:style w:type="paragraph" w:styleId="14">
    <w:name w:val="Date"/>
    <w:basedOn w:val="1"/>
    <w:next w:val="1"/>
    <w:link w:val="33"/>
    <w:unhideWhenUsed/>
    <w:qFormat/>
    <w:uiPriority w:val="99"/>
    <w:rPr>
      <w:sz w:val="24"/>
      <w:szCs w:val="24"/>
    </w:rPr>
  </w:style>
  <w:style w:type="paragraph" w:styleId="15">
    <w:name w:val="Balloon Text"/>
    <w:basedOn w:val="1"/>
    <w:link w:val="48"/>
    <w:semiHidden/>
    <w:unhideWhenUsed/>
    <w:qFormat/>
    <w:uiPriority w:val="99"/>
    <w:rPr>
      <w:sz w:val="18"/>
      <w:szCs w:val="18"/>
    </w:rPr>
  </w:style>
  <w:style w:type="paragraph" w:styleId="16">
    <w:name w:val="footer"/>
    <w:basedOn w:val="1"/>
    <w:link w:val="35"/>
    <w:unhideWhenUsed/>
    <w:qFormat/>
    <w:uiPriority w:val="99"/>
    <w:pPr>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22">
    <w:name w:val="Body Text First Indent 2"/>
    <w:basedOn w:val="10"/>
    <w:link w:val="38"/>
    <w:unhideWhenUsed/>
    <w:qFormat/>
    <w:uiPriority w:val="99"/>
    <w:pPr>
      <w:spacing w:line="360" w:lineRule="auto"/>
      <w:ind w:firstLine="420" w:firstLineChars="200"/>
    </w:pPr>
    <w:rPr>
      <w:rFonts w:ascii="宋体" w:hAnsi="宋体"/>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unhideWhenUsed/>
    <w:qFormat/>
    <w:uiPriority w:val="99"/>
    <w:rPr>
      <w:color w:val="555555"/>
      <w:u w:val="none"/>
    </w:rPr>
  </w:style>
  <w:style w:type="paragraph" w:customStyle="1" w:styleId="27">
    <w:name w:val="Default"/>
    <w:basedOn w:val="1"/>
    <w:qFormat/>
    <w:uiPriority w:val="0"/>
    <w:pPr>
      <w:autoSpaceDE w:val="0"/>
      <w:autoSpaceDN w:val="0"/>
      <w:adjustRightInd w:val="0"/>
      <w:jc w:val="left"/>
    </w:pPr>
    <w:rPr>
      <w:color w:val="000000"/>
      <w:kern w:val="0"/>
      <w:sz w:val="24"/>
      <w:szCs w:val="24"/>
    </w:rPr>
  </w:style>
  <w:style w:type="character" w:customStyle="1" w:styleId="28">
    <w:name w:val="标题 1 Char"/>
    <w:basedOn w:val="25"/>
    <w:link w:val="3"/>
    <w:qFormat/>
    <w:uiPriority w:val="99"/>
    <w:rPr>
      <w:rFonts w:ascii="楷体_GB2312" w:hAnsi="楷体_GB2312" w:eastAsia="宋体" w:cs="宋体"/>
      <w:sz w:val="28"/>
      <w:szCs w:val="28"/>
    </w:rPr>
  </w:style>
  <w:style w:type="character" w:customStyle="1" w:styleId="29">
    <w:name w:val="标题 2 Char"/>
    <w:basedOn w:val="25"/>
    <w:link w:val="4"/>
    <w:qFormat/>
    <w:uiPriority w:val="99"/>
    <w:rPr>
      <w:rFonts w:ascii="Arial" w:hAnsi="Arial" w:eastAsia="幼圆" w:cs="Arial"/>
      <w:b/>
      <w:bCs/>
      <w:sz w:val="44"/>
      <w:szCs w:val="44"/>
    </w:rPr>
  </w:style>
  <w:style w:type="character" w:customStyle="1" w:styleId="30">
    <w:name w:val="标题 3 Char"/>
    <w:basedOn w:val="25"/>
    <w:link w:val="5"/>
    <w:qFormat/>
    <w:uiPriority w:val="99"/>
    <w:rPr>
      <w:rFonts w:ascii="Times New Roman" w:hAnsi="Times New Roman" w:eastAsia="宋体" w:cs="Times New Roman"/>
      <w:b/>
      <w:bCs/>
      <w:sz w:val="32"/>
      <w:szCs w:val="32"/>
    </w:rPr>
  </w:style>
  <w:style w:type="character" w:customStyle="1" w:styleId="31">
    <w:name w:val="标题 6 Char"/>
    <w:basedOn w:val="25"/>
    <w:link w:val="8"/>
    <w:qFormat/>
    <w:uiPriority w:val="99"/>
    <w:rPr>
      <w:rFonts w:ascii="Arial" w:hAnsi="Arial" w:eastAsia="黑体" w:cs="Arial"/>
      <w:b/>
      <w:bCs/>
      <w:sz w:val="24"/>
      <w:szCs w:val="24"/>
    </w:rPr>
  </w:style>
  <w:style w:type="character" w:customStyle="1" w:styleId="32">
    <w:name w:val="页眉 Char"/>
    <w:link w:val="17"/>
    <w:qFormat/>
    <w:uiPriority w:val="99"/>
    <w:rPr>
      <w:rFonts w:ascii="Times New Roman" w:hAnsi="Times New Roman" w:eastAsia="宋体" w:cs="Times New Roman"/>
      <w:sz w:val="18"/>
      <w:szCs w:val="18"/>
    </w:rPr>
  </w:style>
  <w:style w:type="character" w:customStyle="1" w:styleId="33">
    <w:name w:val="日期 Char"/>
    <w:link w:val="14"/>
    <w:qFormat/>
    <w:uiPriority w:val="99"/>
    <w:rPr>
      <w:rFonts w:ascii="Times New Roman" w:hAnsi="Times New Roman" w:eastAsia="宋体" w:cs="Times New Roman"/>
      <w:sz w:val="24"/>
      <w:szCs w:val="24"/>
    </w:rPr>
  </w:style>
  <w:style w:type="character" w:customStyle="1" w:styleId="34">
    <w:name w:val="纯文本 Char"/>
    <w:link w:val="13"/>
    <w:qFormat/>
    <w:uiPriority w:val="99"/>
    <w:rPr>
      <w:rFonts w:ascii="宋体" w:hAnsi="Courier New" w:eastAsia="宋体" w:cs="宋体"/>
      <w:szCs w:val="21"/>
    </w:rPr>
  </w:style>
  <w:style w:type="character" w:customStyle="1" w:styleId="35">
    <w:name w:val="页脚 Char"/>
    <w:link w:val="16"/>
    <w:qFormat/>
    <w:uiPriority w:val="99"/>
    <w:rPr>
      <w:rFonts w:ascii="Times New Roman" w:hAnsi="Times New Roman" w:eastAsia="宋体" w:cs="Times New Roman"/>
      <w:sz w:val="18"/>
      <w:szCs w:val="18"/>
    </w:rPr>
  </w:style>
  <w:style w:type="character" w:customStyle="1" w:styleId="36">
    <w:name w:val="已访问的超链接1"/>
    <w:unhideWhenUsed/>
    <w:qFormat/>
    <w:uiPriority w:val="99"/>
    <w:rPr>
      <w:color w:val="555555"/>
      <w:u w:val="none"/>
    </w:rPr>
  </w:style>
  <w:style w:type="character" w:customStyle="1" w:styleId="37">
    <w:name w:val="正文文本缩进 Char"/>
    <w:link w:val="10"/>
    <w:qFormat/>
    <w:uiPriority w:val="99"/>
    <w:rPr>
      <w:rFonts w:ascii="楷体_GB2312" w:hAnsi="楷体_GB2312" w:eastAsia="宋体" w:cs="宋体"/>
      <w:sz w:val="32"/>
      <w:szCs w:val="32"/>
    </w:rPr>
  </w:style>
  <w:style w:type="character" w:customStyle="1" w:styleId="38">
    <w:name w:val="正文首行缩进 2 Char"/>
    <w:link w:val="22"/>
    <w:qFormat/>
    <w:uiPriority w:val="99"/>
    <w:rPr>
      <w:rFonts w:ascii="宋体" w:hAnsi="宋体" w:eastAsia="宋体" w:cs="宋体"/>
      <w:sz w:val="32"/>
      <w:szCs w:val="21"/>
    </w:rPr>
  </w:style>
  <w:style w:type="character" w:customStyle="1" w:styleId="39">
    <w:name w:val="纯文本 Char1"/>
    <w:basedOn w:val="25"/>
    <w:semiHidden/>
    <w:qFormat/>
    <w:uiPriority w:val="99"/>
    <w:rPr>
      <w:rFonts w:ascii="宋体" w:hAnsi="Courier New" w:eastAsia="宋体" w:cs="Courier New"/>
      <w:szCs w:val="21"/>
    </w:rPr>
  </w:style>
  <w:style w:type="character" w:customStyle="1" w:styleId="40">
    <w:name w:val="正文文本缩进 Char1"/>
    <w:basedOn w:val="25"/>
    <w:semiHidden/>
    <w:qFormat/>
    <w:uiPriority w:val="99"/>
    <w:rPr>
      <w:rFonts w:ascii="Times New Roman" w:hAnsi="Times New Roman" w:eastAsia="宋体" w:cs="Times New Roman"/>
      <w:szCs w:val="21"/>
    </w:rPr>
  </w:style>
  <w:style w:type="paragraph" w:customStyle="1" w:styleId="41">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2">
    <w:name w:val="日期 Char1"/>
    <w:basedOn w:val="25"/>
    <w:semiHidden/>
    <w:qFormat/>
    <w:uiPriority w:val="99"/>
    <w:rPr>
      <w:rFonts w:ascii="Times New Roman" w:hAnsi="Times New Roman" w:eastAsia="宋体" w:cs="Times New Roman"/>
      <w:szCs w:val="21"/>
    </w:rPr>
  </w:style>
  <w:style w:type="character" w:customStyle="1" w:styleId="43">
    <w:name w:val="正文首行缩进 2 Char1"/>
    <w:basedOn w:val="40"/>
    <w:semiHidden/>
    <w:qFormat/>
    <w:uiPriority w:val="99"/>
    <w:rPr>
      <w:rFonts w:ascii="Times New Roman" w:hAnsi="Times New Roman" w:eastAsia="宋体" w:cs="Times New Roman"/>
      <w:szCs w:val="21"/>
    </w:rPr>
  </w:style>
  <w:style w:type="character" w:customStyle="1" w:styleId="44">
    <w:name w:val="页脚 Char1"/>
    <w:basedOn w:val="25"/>
    <w:semiHidden/>
    <w:qFormat/>
    <w:uiPriority w:val="99"/>
    <w:rPr>
      <w:rFonts w:ascii="Times New Roman" w:hAnsi="Times New Roman" w:eastAsia="宋体" w:cs="Times New Roman"/>
      <w:sz w:val="18"/>
      <w:szCs w:val="18"/>
    </w:rPr>
  </w:style>
  <w:style w:type="paragraph" w:customStyle="1" w:styleId="45">
    <w:name w:val="普通正文"/>
    <w:basedOn w:val="1"/>
    <w:link w:val="52"/>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6">
    <w:name w:val="页眉 Char1"/>
    <w:basedOn w:val="25"/>
    <w:semiHidden/>
    <w:qFormat/>
    <w:uiPriority w:val="99"/>
    <w:rPr>
      <w:rFonts w:ascii="Times New Roman" w:hAnsi="Times New Roman" w:eastAsia="宋体" w:cs="Times New Roman"/>
      <w:sz w:val="18"/>
      <w:szCs w:val="18"/>
    </w:rPr>
  </w:style>
  <w:style w:type="paragraph" w:customStyle="1" w:styleId="47">
    <w:name w:val="Char2"/>
    <w:basedOn w:val="1"/>
    <w:qFormat/>
    <w:uiPriority w:val="0"/>
    <w:pPr>
      <w:ind w:firstLine="200" w:firstLineChars="200"/>
    </w:pPr>
    <w:rPr>
      <w:sz w:val="28"/>
      <w:szCs w:val="28"/>
    </w:rPr>
  </w:style>
  <w:style w:type="character" w:customStyle="1" w:styleId="48">
    <w:name w:val="批注框文本 Char"/>
    <w:basedOn w:val="25"/>
    <w:link w:val="15"/>
    <w:semiHidden/>
    <w:qFormat/>
    <w:uiPriority w:val="99"/>
    <w:rPr>
      <w:rFonts w:ascii="Times New Roman" w:hAnsi="Times New Roman" w:eastAsia="宋体" w:cs="Times New Roman"/>
      <w:sz w:val="18"/>
      <w:szCs w:val="18"/>
    </w:rPr>
  </w:style>
  <w:style w:type="paragraph" w:customStyle="1" w:styleId="49">
    <w:name w:val="Table Paragraph"/>
    <w:basedOn w:val="1"/>
    <w:qFormat/>
    <w:uiPriority w:val="1"/>
    <w:rPr>
      <w:rFonts w:ascii="宋体" w:hAnsi="宋体" w:cs="宋体"/>
      <w:lang w:val="zh-CN" w:bidi="zh-CN"/>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NormalCharacter"/>
    <w:semiHidden/>
    <w:qFormat/>
    <w:uiPriority w:val="0"/>
  </w:style>
  <w:style w:type="character" w:customStyle="1" w:styleId="52">
    <w:name w:val="普通正文 Char"/>
    <w:link w:val="45"/>
    <w:qFormat/>
    <w:uiPriority w:val="0"/>
    <w:rPr>
      <w:rFonts w:ascii="Arial" w:hAnsi="Arial" w:cs="Arial"/>
      <w:sz w:val="24"/>
      <w:szCs w:val="24"/>
    </w:rPr>
  </w:style>
  <w:style w:type="paragraph" w:customStyle="1" w:styleId="53">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4">
    <w:name w:val="标题 4 Char"/>
    <w:basedOn w:val="25"/>
    <w:link w:val="6"/>
    <w:qFormat/>
    <w:uiPriority w:val="0"/>
    <w:rPr>
      <w:rFonts w:ascii="Arial" w:hAnsi="Arial" w:eastAsia="黑体" w:cs="Arial"/>
      <w:b/>
      <w:bCs/>
      <w:kern w:val="2"/>
      <w:sz w:val="28"/>
      <w:szCs w:val="28"/>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styleId="56">
    <w:name w:val="List Paragraph"/>
    <w:basedOn w:val="1"/>
    <w:qFormat/>
    <w:uiPriority w:val="34"/>
    <w:pPr>
      <w:snapToGrid w:val="0"/>
      <w:spacing w:beforeLines="50" w:afterLines="50" w:line="360" w:lineRule="atLeast"/>
      <w:ind w:firstLine="420" w:firstLineChars="200"/>
    </w:pPr>
    <w:rPr>
      <w:rFonts w:ascii="微软雅黑" w:hAnsi="微软雅黑" w:eastAsia="微软雅黑" w:cs="宋体"/>
      <w:sz w:val="24"/>
      <w:szCs w:val="24"/>
    </w:rPr>
  </w:style>
  <w:style w:type="paragraph" w:customStyle="1" w:styleId="57">
    <w:name w:val="列出段落11"/>
    <w:basedOn w:val="1"/>
    <w:qFormat/>
    <w:uiPriority w:val="99"/>
    <w:pPr>
      <w:widowControl/>
      <w:ind w:left="720"/>
      <w:contextualSpacing/>
      <w:jc w:val="left"/>
    </w:pPr>
    <w:rPr>
      <w:rFonts w:ascii="Calibri" w:hAnsi="Calibri" w:eastAsiaTheme="minorEastAsia" w:cstheme="minorBidi"/>
      <w:sz w:val="24"/>
      <w:szCs w:val="22"/>
      <w:lang w:eastAsia="en-US"/>
    </w:rPr>
  </w:style>
  <w:style w:type="paragraph" w:customStyle="1" w:styleId="58">
    <w:name w:val="_Style 1"/>
    <w:basedOn w:val="1"/>
    <w:qFormat/>
    <w:uiPriority w:val="34"/>
    <w:pPr>
      <w:ind w:firstLine="420" w:firstLineChars="200"/>
    </w:pPr>
    <w:rPr>
      <w:rFonts w:ascii="Calibri" w:hAnsi="Calibri"/>
      <w:szCs w:val="20"/>
    </w:rPr>
  </w:style>
  <w:style w:type="character" w:customStyle="1" w:styleId="59">
    <w:name w:val="font01"/>
    <w:basedOn w:val="25"/>
    <w:qFormat/>
    <w:uiPriority w:val="0"/>
    <w:rPr>
      <w:rFonts w:hint="eastAsia" w:ascii="宋体" w:hAnsi="宋体" w:eastAsia="宋体" w:cs="宋体"/>
      <w:color w:val="000000"/>
      <w:sz w:val="22"/>
      <w:szCs w:val="22"/>
      <w:u w:val="none"/>
    </w:rPr>
  </w:style>
  <w:style w:type="character" w:customStyle="1" w:styleId="60">
    <w:name w:val="font41"/>
    <w:basedOn w:val="25"/>
    <w:qFormat/>
    <w:uiPriority w:val="0"/>
    <w:rPr>
      <w:rFonts w:hint="eastAsia" w:ascii="等线" w:hAnsi="等线" w:eastAsia="等线" w:cs="等线"/>
      <w:color w:val="000000"/>
      <w:sz w:val="21"/>
      <w:szCs w:val="21"/>
      <w:u w:val="none"/>
    </w:rPr>
  </w:style>
  <w:style w:type="paragraph" w:customStyle="1" w:styleId="61">
    <w:name w:val="列表段落1"/>
    <w:basedOn w:val="1"/>
    <w:unhideWhenUsed/>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8752-6E96-4802-8AB6-A9CE4FBDEA3C}">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118</Pages>
  <Words>53574</Words>
  <Characters>61107</Characters>
  <Lines>541</Lines>
  <Paragraphs>152</Paragraphs>
  <TotalTime>6</TotalTime>
  <ScaleCrop>false</ScaleCrop>
  <LinksUpToDate>false</LinksUpToDate>
  <CharactersWithSpaces>72316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2021-04-17T10:00:00Z</dcterms:created>
  <dc:creator>盐城幼儿师范高等专科学校(填报)</dc:creator>
  <cp:lastModifiedBy>蔡海云</cp:lastModifiedBy>
  <cp:lastPrinted>2022-11-15T04:25:00Z</cp:lastPrinted>
  <dcterms:modified xsi:type="dcterms:W3CDTF">2022-11-16T02:47:55Z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971FE8DADDC94EC09F033733E9DB15C7</vt:lpwstr>
  </property>
</Properties>
</file>