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color w:val="000000"/>
          <w:sz w:val="84"/>
          <w:lang w:eastAsia="zh-CN"/>
        </w:rPr>
      </w:pPr>
    </w:p>
    <w:p>
      <w:pPr>
        <w:jc w:val="center"/>
        <w:rPr>
          <w:rFonts w:hint="eastAsia"/>
          <w:b/>
          <w:color w:val="auto"/>
          <w:sz w:val="84"/>
          <w:lang w:val="en-US" w:eastAsia="zh-CN"/>
        </w:rPr>
      </w:pPr>
    </w:p>
    <w:p>
      <w:pPr>
        <w:jc w:val="center"/>
        <w:rPr>
          <w:b/>
          <w:color w:val="auto"/>
          <w:sz w:val="84"/>
        </w:rPr>
      </w:pPr>
      <w:r>
        <w:rPr>
          <w:rFonts w:hint="eastAsia"/>
          <w:b/>
          <w:color w:val="auto"/>
          <w:sz w:val="84"/>
          <w:lang w:val="en-US" w:eastAsia="zh-CN"/>
        </w:rPr>
        <w:t>招 标</w:t>
      </w:r>
      <w:r>
        <w:rPr>
          <w:rFonts w:hint="eastAsia"/>
          <w:b/>
          <w:color w:val="auto"/>
          <w:sz w:val="84"/>
        </w:rPr>
        <w:t xml:space="preserve">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1446" w:firstLineChars="400"/>
        <w:rPr>
          <w:b/>
          <w:color w:val="000000"/>
          <w:sz w:val="36"/>
        </w:rPr>
      </w:pPr>
      <w:r>
        <w:rPr>
          <w:rFonts w:hint="eastAsia"/>
          <w:b/>
          <w:color w:val="000000"/>
          <w:sz w:val="36"/>
        </w:rPr>
        <w:t>项目编号：YCYZ2021GC00</w:t>
      </w:r>
      <w:r>
        <w:rPr>
          <w:rFonts w:hint="eastAsia"/>
          <w:b/>
          <w:color w:val="000000"/>
          <w:sz w:val="36"/>
          <w:lang w:val="en-US" w:eastAsia="zh-CN"/>
        </w:rPr>
        <w:t>8</w:t>
      </w:r>
    </w:p>
    <w:p>
      <w:pPr>
        <w:jc w:val="center"/>
        <w:rPr>
          <w:rFonts w:eastAsia="黑体"/>
          <w:b/>
          <w:color w:val="000000"/>
          <w:sz w:val="32"/>
        </w:rPr>
      </w:pPr>
    </w:p>
    <w:p>
      <w:pPr>
        <w:jc w:val="center"/>
        <w:rPr>
          <w:rFonts w:eastAsia="黑体"/>
          <w:b/>
          <w:color w:val="000000"/>
          <w:sz w:val="32"/>
        </w:rPr>
      </w:pPr>
    </w:p>
    <w:p>
      <w:pPr>
        <w:widowControl/>
        <w:spacing w:line="560" w:lineRule="exact"/>
        <w:jc w:val="center"/>
        <w:rPr>
          <w:b/>
          <w:sz w:val="36"/>
          <w:szCs w:val="36"/>
        </w:rPr>
      </w:pPr>
      <w:r>
        <w:rPr>
          <w:rFonts w:hint="eastAsia"/>
          <w:b/>
          <w:color w:val="000000"/>
          <w:sz w:val="36"/>
          <w:szCs w:val="36"/>
        </w:rPr>
        <w:t>项目名称：</w:t>
      </w:r>
      <w:r>
        <w:rPr>
          <w:rFonts w:hint="eastAsia"/>
          <w:b/>
          <w:sz w:val="36"/>
          <w:szCs w:val="36"/>
        </w:rPr>
        <w:t>盐城幼儿师范高等专科学校</w:t>
      </w:r>
    </w:p>
    <w:p>
      <w:pPr>
        <w:widowControl/>
        <w:spacing w:line="560" w:lineRule="exact"/>
        <w:jc w:val="center"/>
        <w:rPr>
          <w:rFonts w:hint="eastAsia"/>
          <w:b/>
          <w:sz w:val="36"/>
          <w:szCs w:val="36"/>
        </w:rPr>
      </w:pPr>
      <w:r>
        <w:rPr>
          <w:rFonts w:hint="eastAsia"/>
          <w:b/>
          <w:sz w:val="36"/>
          <w:szCs w:val="36"/>
          <w:lang w:eastAsia="zh-CN"/>
        </w:rPr>
        <w:t>学海路校区食堂强电间强电线路改造</w:t>
      </w:r>
    </w:p>
    <w:p>
      <w:pPr>
        <w:rPr>
          <w:b/>
          <w:color w:val="000000"/>
          <w:sz w:val="32"/>
        </w:rPr>
      </w:pPr>
    </w:p>
    <w:p>
      <w:pPr>
        <w:rPr>
          <w:b/>
          <w:color w:val="000000"/>
          <w:sz w:val="32"/>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2021年 7月</w:t>
      </w:r>
      <w:r>
        <w:rPr>
          <w:rFonts w:hint="eastAsia"/>
          <w:b/>
          <w:bCs/>
          <w:kern w:val="0"/>
          <w:sz w:val="36"/>
          <w:szCs w:val="36"/>
          <w:lang w:val="en-US" w:eastAsia="zh-CN"/>
        </w:rPr>
        <w:t>30</w:t>
      </w:r>
      <w:r>
        <w:rPr>
          <w:rFonts w:hint="eastAsia"/>
          <w:b/>
          <w:bCs/>
          <w:kern w:val="0"/>
          <w:sz w:val="36"/>
          <w:szCs w:val="36"/>
        </w:rPr>
        <w:t>日</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采购公告</w:t>
      </w:r>
      <w:r>
        <w:rPr>
          <w:rFonts w:hint="eastAsia" w:ascii="黑体" w:hAnsi="Showcard Gothic" w:eastAsia="黑体"/>
          <w:color w:val="000000"/>
          <w:sz w:val="36"/>
        </w:rPr>
        <w:t>……………………………………</w:t>
      </w:r>
      <w:r>
        <w:rPr>
          <w:rFonts w:hint="eastAsia" w:ascii="黑体" w:hAnsi="Showcard Gothic" w:eastAsia="黑体"/>
          <w:color w:val="000000"/>
          <w:sz w:val="36"/>
          <w:lang w:val="en-US" w:eastAsia="zh-CN"/>
        </w:rPr>
        <w:t>3</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hint="eastAsia" w:ascii="黑体" w:hAnsi="Showcard Gothic" w:eastAsia="黑体"/>
          <w:color w:val="000000"/>
          <w:sz w:val="36"/>
          <w:lang w:val="en-US" w:eastAsia="zh-CN"/>
        </w:rPr>
        <w:t>6</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……………………………1</w:t>
      </w:r>
      <w:r>
        <w:rPr>
          <w:rFonts w:hint="eastAsia" w:ascii="黑体" w:hAnsi="Showcard Gothic" w:eastAsia="黑体"/>
          <w:color w:val="000000"/>
          <w:sz w:val="36"/>
          <w:lang w:val="en-US" w:eastAsia="zh-CN"/>
        </w:rPr>
        <w:t>9</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……………………………………6</w:t>
      </w:r>
      <w:r>
        <w:rPr>
          <w:rFonts w:hint="eastAsia" w:ascii="黑体" w:hAnsi="Showcard Gothic" w:eastAsia="黑体"/>
          <w:color w:val="000000"/>
          <w:sz w:val="36"/>
          <w:lang w:val="en-US" w:eastAsia="zh-CN"/>
        </w:rPr>
        <w:t>1</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w:t>
      </w:r>
      <w:r>
        <w:rPr>
          <w:rFonts w:hint="eastAsia" w:ascii="黑体" w:hAnsi="Showcard Gothic" w:eastAsia="黑体"/>
          <w:color w:val="000000"/>
          <w:sz w:val="36"/>
          <w:lang w:val="en-US" w:eastAsia="zh-CN"/>
        </w:rPr>
        <w:t>67</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69</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采购公告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盐城幼儿师范高等专科学校</w:t>
      </w:r>
      <w:r>
        <w:rPr>
          <w:rFonts w:hint="eastAsia" w:asciiTheme="minorEastAsia" w:hAnsiTheme="minorEastAsia" w:eastAsiaTheme="minorEastAsia"/>
          <w:sz w:val="24"/>
          <w:szCs w:val="24"/>
          <w:u w:val="single"/>
          <w:lang w:val="en-US" w:eastAsia="zh-CN"/>
        </w:rPr>
        <w:t>2021年学海路校区食堂强电间强电</w:t>
      </w:r>
      <w:r>
        <w:rPr>
          <w:rFonts w:hint="eastAsia" w:asciiTheme="minorEastAsia" w:hAnsiTheme="minorEastAsia" w:eastAsiaTheme="minorEastAsia"/>
          <w:sz w:val="24"/>
          <w:szCs w:val="24"/>
          <w:u w:val="single"/>
          <w:lang w:eastAsia="zh-CN"/>
        </w:rPr>
        <w:t>线路改造</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2021年</w:t>
      </w:r>
      <w:r>
        <w:rPr>
          <w:rFonts w:hint="eastAsia" w:asciiTheme="minorEastAsia" w:hAnsiTheme="minorEastAsia" w:eastAsiaTheme="minorEastAsia"/>
          <w:sz w:val="24"/>
          <w:szCs w:val="24"/>
          <w:u w:val="single"/>
          <w:lang w:val="en-US" w:eastAsia="zh-CN"/>
        </w:rPr>
        <w:t>8</w:t>
      </w:r>
      <w:r>
        <w:rPr>
          <w:rFonts w:hint="eastAsia"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lang w:val="en-US" w:eastAsia="zh-CN"/>
        </w:rPr>
        <w:t>10</w:t>
      </w:r>
      <w:r>
        <w:rPr>
          <w:rFonts w:hint="eastAsia" w:asciiTheme="minorEastAsia" w:hAnsiTheme="minorEastAsia" w:eastAsiaTheme="minorEastAsia"/>
          <w:sz w:val="24"/>
          <w:szCs w:val="24"/>
          <w:u w:val="single"/>
        </w:rPr>
        <w:t>日</w:t>
      </w:r>
      <w:r>
        <w:rPr>
          <w:rFonts w:hint="eastAsia" w:asciiTheme="minorEastAsia" w:hAnsiTheme="minorEastAsia" w:eastAsiaTheme="minorEastAsia"/>
          <w:sz w:val="24"/>
          <w:szCs w:val="24"/>
          <w:u w:val="single"/>
          <w:lang w:val="en-US" w:eastAsia="zh-CN"/>
        </w:rPr>
        <w:t>15</w:t>
      </w:r>
      <w:r>
        <w:rPr>
          <w:rFonts w:hint="eastAsia" w:asciiTheme="minorEastAsia" w:hAnsiTheme="minorEastAsia" w:eastAsiaTheme="minorEastAsia"/>
          <w:sz w:val="24"/>
          <w:szCs w:val="24"/>
          <w:u w:val="single"/>
        </w:rPr>
        <w:t>点</w:t>
      </w:r>
      <w:r>
        <w:rPr>
          <w:rFonts w:hint="eastAsia" w:asciiTheme="minorEastAsia" w:hAnsiTheme="minorEastAsia" w:eastAsiaTheme="minorEastAsia"/>
          <w:sz w:val="24"/>
          <w:szCs w:val="24"/>
          <w:u w:val="single"/>
          <w:lang w:val="en-US" w:eastAsia="zh-CN"/>
        </w:rPr>
        <w:t>30</w:t>
      </w:r>
      <w:r>
        <w:rPr>
          <w:rFonts w:hint="eastAsia" w:asciiTheme="minorEastAsia" w:hAnsiTheme="minorEastAsia" w:eastAsiaTheme="minorEastAsia"/>
          <w:sz w:val="24"/>
          <w:szCs w:val="24"/>
          <w:u w:val="single"/>
        </w:rPr>
        <w:t>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1、项目编号</w:t>
      </w:r>
      <w:r>
        <w:rPr>
          <w:rFonts w:hint="eastAsia" w:cs="宋体" w:asciiTheme="minorEastAsia" w:hAnsiTheme="minorEastAsia" w:eastAsiaTheme="minorEastAsia"/>
          <w:color w:val="000000"/>
          <w:kern w:val="2"/>
          <w:sz w:val="24"/>
          <w:szCs w:val="24"/>
          <w:lang w:val="en-US" w:eastAsia="zh-CN" w:bidi="ar-SA"/>
        </w:rPr>
        <w:t xml:space="preserve">：YCYZ2021GC008 </w:t>
      </w:r>
      <w:bookmarkStart w:id="36" w:name="_GoBack"/>
      <w:bookmarkEnd w:id="36"/>
    </w:p>
    <w:p>
      <w:pPr>
        <w:spacing w:line="480" w:lineRule="exact"/>
        <w:ind w:firstLine="480" w:firstLineChars="200"/>
        <w:rPr>
          <w:rFonts w:asciiTheme="minorEastAsia" w:hAnsiTheme="minorEastAsia" w:eastAsiaTheme="minorEastAsia"/>
          <w:color w:val="0000FF"/>
          <w:sz w:val="24"/>
          <w:szCs w:val="24"/>
        </w:rPr>
      </w:pPr>
      <w:r>
        <w:rPr>
          <w:rFonts w:hint="eastAsia" w:asciiTheme="minorEastAsia" w:hAnsiTheme="minorEastAsia" w:eastAsiaTheme="minorEastAsia"/>
          <w:sz w:val="24"/>
          <w:szCs w:val="24"/>
        </w:rPr>
        <w:t>2、项目名称：</w:t>
      </w:r>
      <w:r>
        <w:rPr>
          <w:rFonts w:hint="eastAsia" w:asciiTheme="minorEastAsia" w:hAnsiTheme="minorEastAsia" w:eastAsiaTheme="minorEastAsia"/>
          <w:sz w:val="24"/>
          <w:szCs w:val="24"/>
          <w:u w:val="single"/>
        </w:rPr>
        <w:t>盐城幼儿师范高等专科学校</w:t>
      </w:r>
      <w:r>
        <w:rPr>
          <w:rFonts w:hint="eastAsia" w:asciiTheme="minorEastAsia" w:hAnsiTheme="minorEastAsia" w:eastAsiaTheme="minorEastAsia"/>
          <w:sz w:val="24"/>
          <w:szCs w:val="24"/>
          <w:u w:val="single"/>
          <w:lang w:val="en-US" w:eastAsia="zh-CN"/>
        </w:rPr>
        <w:t>学海路校区食堂强电间强电</w:t>
      </w:r>
      <w:r>
        <w:rPr>
          <w:rFonts w:hint="eastAsia" w:asciiTheme="minorEastAsia" w:hAnsiTheme="minorEastAsia" w:eastAsiaTheme="minorEastAsia"/>
          <w:sz w:val="24"/>
          <w:szCs w:val="24"/>
          <w:u w:val="single"/>
          <w:lang w:eastAsia="zh-CN"/>
        </w:rPr>
        <w:t>线路改造</w:t>
      </w:r>
    </w:p>
    <w:p>
      <w:pPr>
        <w:pStyle w:val="2"/>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w:t>
      </w:r>
      <w:r>
        <w:rPr>
          <w:rFonts w:hint="eastAsia" w:cs="宋体" w:asciiTheme="minorEastAsia" w:hAnsiTheme="minorEastAsia" w:eastAsiaTheme="minorEastAsia"/>
          <w:kern w:val="2"/>
          <w:sz w:val="24"/>
          <w:szCs w:val="24"/>
          <w:lang w:val="en-US" w:eastAsia="zh-CN" w:bidi="ar-SA"/>
        </w:rPr>
        <w:t>价：84954.74元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4、项目最高限价：</w:t>
      </w:r>
      <w:r>
        <w:rPr>
          <w:rFonts w:hint="eastAsia" w:asciiTheme="minorEastAsia" w:hAnsiTheme="minorEastAsia" w:eastAsiaTheme="minorEastAsia"/>
          <w:sz w:val="24"/>
          <w:szCs w:val="24"/>
          <w:lang w:val="en-US" w:eastAsia="zh-CN"/>
        </w:rPr>
        <w:t>80000.00</w:t>
      </w:r>
      <w:r>
        <w:rPr>
          <w:rFonts w:hint="eastAsia" w:asciiTheme="minorEastAsia" w:hAnsiTheme="minorEastAsia" w:eastAsiaTheme="minorEastAsia"/>
          <w:sz w:val="24"/>
          <w:szCs w:val="24"/>
        </w:rPr>
        <w:t>元</w:t>
      </w:r>
    </w:p>
    <w:p>
      <w:pPr>
        <w:snapToGrid w:val="0"/>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5、采购需求：包括但不限于配电箱</w:t>
      </w:r>
      <w:r>
        <w:rPr>
          <w:rFonts w:hint="eastAsia" w:asciiTheme="minorEastAsia" w:hAnsiTheme="minorEastAsia" w:eastAsiaTheme="minorEastAsia"/>
          <w:sz w:val="24"/>
          <w:szCs w:val="24"/>
          <w:lang w:eastAsia="zh-CN"/>
        </w:rPr>
        <w:t>改造检修</w:t>
      </w:r>
      <w:r>
        <w:rPr>
          <w:rFonts w:hint="eastAsia" w:asciiTheme="minorEastAsia" w:hAnsiTheme="minorEastAsia" w:eastAsiaTheme="minorEastAsia"/>
          <w:sz w:val="24"/>
          <w:szCs w:val="24"/>
        </w:rPr>
        <w:t>安装、线路</w:t>
      </w:r>
      <w:r>
        <w:rPr>
          <w:rFonts w:hint="eastAsia" w:asciiTheme="minorEastAsia" w:hAnsiTheme="minorEastAsia" w:eastAsiaTheme="minorEastAsia"/>
          <w:sz w:val="24"/>
          <w:szCs w:val="24"/>
          <w:lang w:eastAsia="zh-CN"/>
        </w:rPr>
        <w:t>抽取敷设、线路检查标识</w:t>
      </w:r>
      <w:r>
        <w:rPr>
          <w:rFonts w:hint="eastAsia" w:asciiTheme="minorEastAsia" w:hAnsiTheme="minorEastAsia" w:eastAsiaTheme="minorEastAsia"/>
          <w:sz w:val="24"/>
          <w:szCs w:val="24"/>
        </w:rPr>
        <w:t>等。招标人保留对上述采购范围、数量等进行适当调整的权利，投标人无条件服从，不得异议，详见《工程量清单报价表》。</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u w:val="single"/>
        </w:rPr>
        <w:t>6、具体以采</w:t>
      </w:r>
      <w:r>
        <w:rPr>
          <w:rFonts w:hint="eastAsia" w:asciiTheme="minorEastAsia" w:hAnsiTheme="minorEastAsia" w:eastAsiaTheme="minorEastAsia"/>
          <w:sz w:val="24"/>
          <w:szCs w:val="24"/>
        </w:rPr>
        <w:t>购人提供的工程量清单、项目需求及图纸（如有）为准，采购人保留对上述工程量及范围适当调整的权利。</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7、合同履行期限：</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0日历天。</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8、本项目不接受联合体投标。</w:t>
      </w:r>
    </w:p>
    <w:p>
      <w:pPr>
        <w:pStyle w:val="3"/>
        <w:tabs>
          <w:tab w:val="left" w:pos="0"/>
          <w:tab w:val="left" w:pos="3165"/>
          <w:tab w:val="center" w:pos="4153"/>
        </w:tabs>
        <w:autoSpaceDE w:val="0"/>
        <w:autoSpaceDN w:val="0"/>
        <w:adjustRightInd w:val="0"/>
        <w:spacing w:line="480" w:lineRule="exact"/>
        <w:jc w:val="left"/>
        <w:rPr>
          <w:rFonts w:hint="eastAsia" w:asciiTheme="minorEastAsia" w:hAnsiTheme="minorEastAsia" w:eastAsiaTheme="minorEastAsia"/>
          <w:b/>
          <w:szCs w:val="24"/>
        </w:rPr>
      </w:pPr>
      <w:r>
        <w:rPr>
          <w:rFonts w:hint="eastAsia" w:asciiTheme="minorEastAsia" w:hAnsiTheme="minorEastAsia" w:eastAsiaTheme="minorEastAsia"/>
          <w:b/>
          <w:szCs w:val="24"/>
        </w:rPr>
        <w:t>二、</w:t>
      </w:r>
      <w:r>
        <w:rPr>
          <w:rFonts w:hint="eastAsia" w:asciiTheme="minorEastAsia" w:hAnsiTheme="minorEastAsia" w:eastAsiaTheme="minorEastAsia"/>
          <w:b/>
          <w:szCs w:val="24"/>
          <w:lang w:eastAsia="zh-CN"/>
        </w:rPr>
        <w:t>投标</w:t>
      </w:r>
      <w:r>
        <w:rPr>
          <w:rFonts w:hint="eastAsia" w:asciiTheme="minorEastAsia" w:hAnsiTheme="minorEastAsia" w:eastAsiaTheme="minorEastAsia"/>
          <w:b/>
          <w:szCs w:val="24"/>
        </w:rPr>
        <w:t>人的资格要求</w:t>
      </w:r>
    </w:p>
    <w:p>
      <w:pPr>
        <w:snapToGrid w:val="0"/>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1、企业资质类别和等级：须具有建设行政主管部门核发的建筑工程施工总承包叁级及以上施工资质的独立法人，并具有有效的企业安全生产许可证。</w:t>
      </w:r>
    </w:p>
    <w:p>
      <w:pPr>
        <w:snapToGrid w:val="0"/>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2、项目负责人资质类别和等级：项目负责人必须具有建筑工程二级及以上建造师注册证书，同时具有安全生产考核合格证（B类）。</w:t>
      </w:r>
    </w:p>
    <w:p>
      <w:pPr>
        <w:snapToGrid w:val="0"/>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投标委托代理人、项目负责人必须为本单位的正式职工，投标时，投标人应提供委托投标代理人、项目负责人2021年1月—2021年6月连续6个月在本单位向投标人所在地（或下属子公司、办事处所在地）社保部门交纳的社保证明。事业单位人员不需要提供上述资料，但需提供该单位及委托代理人、项目负责人为事业性质的相关证明。企业法定代表人本人参加投标的，不需要提供法定代表人本人的社保证明。</w:t>
      </w:r>
    </w:p>
    <w:p>
      <w:pPr>
        <w:snapToGrid w:val="0"/>
        <w:spacing w:line="480" w:lineRule="exact"/>
        <w:ind w:firstLine="562" w:firstLineChars="200"/>
        <w:rPr>
          <w:rFonts w:hint="eastAsia" w:cs="宋体" w:asciiTheme="minorEastAsia" w:hAnsiTheme="minorEastAsia" w:eastAsiaTheme="minorEastAsia"/>
          <w:b/>
          <w:kern w:val="2"/>
          <w:sz w:val="28"/>
          <w:szCs w:val="24"/>
          <w:lang w:val="en-US" w:eastAsia="zh-CN" w:bidi="ar-SA"/>
        </w:rPr>
      </w:pPr>
      <w:r>
        <w:rPr>
          <w:rFonts w:hint="eastAsia" w:cs="宋体" w:asciiTheme="minorEastAsia" w:hAnsiTheme="minorEastAsia" w:eastAsiaTheme="minorEastAsia"/>
          <w:b/>
          <w:kern w:val="2"/>
          <w:sz w:val="28"/>
          <w:szCs w:val="24"/>
          <w:lang w:val="en-US" w:eastAsia="zh-CN" w:bidi="ar-SA"/>
        </w:rPr>
        <w:t>三、获取采购文件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1、时间：</w:t>
      </w:r>
      <w:r>
        <w:rPr>
          <w:rFonts w:hint="eastAsia" w:asciiTheme="minorEastAsia" w:hAnsiTheme="minorEastAsia" w:eastAsiaTheme="minorEastAsia"/>
          <w:sz w:val="24"/>
          <w:szCs w:val="24"/>
          <w:u w:val="single"/>
        </w:rPr>
        <w:t>自公告之日起至投标截止时间前1日</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2、地点：“盐城幼儿师范高等专科学校” 网站【www.yyz.edu.cn】</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3、方式：符合资格要求的投标人可自行下载采购文件。</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4、售价：投标人递交投标文件时，必须缴纳文件工本费</w:t>
      </w:r>
      <w:r>
        <w:rPr>
          <w:rFonts w:hint="eastAsia" w:asciiTheme="minorEastAsia" w:hAnsiTheme="minorEastAsia" w:eastAsiaTheme="minorEastAsia"/>
          <w:sz w:val="24"/>
          <w:szCs w:val="24"/>
          <w:u w:val="single"/>
          <w:lang w:val="en-US" w:eastAsia="zh-CN"/>
        </w:rPr>
        <w:t xml:space="preserve">  3</w:t>
      </w:r>
      <w:r>
        <w:rPr>
          <w:rFonts w:hint="eastAsia" w:asciiTheme="minorEastAsia" w:hAnsiTheme="minorEastAsia" w:eastAsiaTheme="minorEastAsia"/>
          <w:sz w:val="24"/>
          <w:szCs w:val="24"/>
          <w:u w:val="single"/>
        </w:rPr>
        <w:t>00</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w:t>
      </w:r>
      <w:r>
        <w:rPr>
          <w:rFonts w:hint="eastAsia" w:ascii="宋体" w:hAnsi="宋体" w:eastAsia="宋体" w:cs="宋体"/>
          <w:b/>
          <w:bCs/>
          <w:i w:val="0"/>
          <w:iCs w:val="0"/>
          <w:caps w:val="0"/>
          <w:color w:val="1B1B1B"/>
          <w:spacing w:val="0"/>
          <w:sz w:val="24"/>
          <w:szCs w:val="24"/>
          <w:shd w:val="clear" w:fill="FFFFFF"/>
        </w:rPr>
        <w:t>文件工本费的收取方式：开标时现场现金缴纳，由代理公司收取，投标人无论中标与否，文件工本费不退。</w:t>
      </w:r>
    </w:p>
    <w:p>
      <w:pPr>
        <w:spacing w:line="480" w:lineRule="exact"/>
        <w:ind w:firstLine="480" w:firstLineChars="200"/>
        <w:rPr>
          <w:rFonts w:eastAsiaTheme="minorEastAsia"/>
        </w:rPr>
      </w:pPr>
      <w:r>
        <w:rPr>
          <w:rFonts w:hint="eastAsia" w:asciiTheme="minorEastAsia" w:hAnsiTheme="minorEastAsia" w:eastAsiaTheme="minorEastAsia"/>
          <w:sz w:val="24"/>
          <w:szCs w:val="24"/>
        </w:rPr>
        <w:t>5、其他：本采购文件在“盐城幼儿师范高等专科学校” 网站【www.yyz.edu.cn】上免费下载，有关本次采购的事项若存在变动和修改，敬请及时关注“盐城幼儿师范高等专科学校”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1、响应文件接收时间：2021年 </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日</w:t>
      </w:r>
      <w:r>
        <w:rPr>
          <w:rFonts w:hint="eastAsia" w:asciiTheme="minorEastAsia" w:hAnsiTheme="minorEastAsia" w:eastAsiaTheme="minorEastAsia"/>
          <w:color w:val="auto"/>
          <w:sz w:val="24"/>
          <w:szCs w:val="24"/>
          <w:lang w:val="en-US" w:eastAsia="zh-CN"/>
        </w:rPr>
        <w:t>15</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15</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w:t>
      </w:r>
      <w:r>
        <w:rPr>
          <w:rFonts w:hint="eastAsia" w:asciiTheme="minorEastAsia" w:hAnsiTheme="minorEastAsia" w:eastAsiaTheme="minorEastAsia"/>
          <w:bCs/>
          <w:sz w:val="24"/>
          <w:szCs w:val="24"/>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2、响应文件接收截止时间：2021年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 xml:space="preserve">日 </w:t>
      </w:r>
      <w:r>
        <w:rPr>
          <w:rFonts w:hint="eastAsia" w:asciiTheme="minorEastAsia" w:hAnsiTheme="minorEastAsia" w:eastAsiaTheme="minorEastAsia"/>
          <w:color w:val="auto"/>
          <w:sz w:val="24"/>
          <w:szCs w:val="24"/>
          <w:lang w:val="en-US" w:eastAsia="zh-CN"/>
        </w:rPr>
        <w:t>15</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bCs/>
          <w:sz w:val="24"/>
          <w:szCs w:val="24"/>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3、投标文件接收地点：盐城幼儿师范高等专科学校学海路校区(盐城市学海路28号)财务处招标办公室。</w:t>
      </w:r>
    </w:p>
    <w:p>
      <w:pPr>
        <w:spacing w:line="48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
          <w:bCs/>
          <w:sz w:val="24"/>
          <w:szCs w:val="24"/>
        </w:rPr>
        <w:t>其他要求：投标人</w:t>
      </w:r>
      <w:r>
        <w:rPr>
          <w:rFonts w:hint="eastAsia" w:asciiTheme="minorEastAsia" w:hAnsiTheme="minorEastAsia" w:eastAsiaTheme="minorEastAsia"/>
          <w:b/>
          <w:bCs/>
          <w:sz w:val="24"/>
          <w:szCs w:val="24"/>
          <w:lang w:eastAsia="zh-CN"/>
        </w:rPr>
        <w:t>委托投标</w:t>
      </w:r>
      <w:r>
        <w:rPr>
          <w:rFonts w:hint="eastAsia" w:asciiTheme="minorEastAsia" w:hAnsiTheme="minorEastAsia" w:eastAsiaTheme="minorEastAsia"/>
          <w:b/>
          <w:bCs/>
          <w:sz w:val="24"/>
          <w:szCs w:val="24"/>
        </w:rPr>
        <w:t>代表必须携带本人有效身份证（其他证件无效），否则投标文件不予接收。</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六</w:t>
      </w:r>
      <w:r>
        <w:rPr>
          <w:rFonts w:hint="eastAsia" w:asciiTheme="minorEastAsia" w:hAnsiTheme="minorEastAsia" w:eastAsiaTheme="minorEastAsia"/>
          <w:b/>
          <w:szCs w:val="24"/>
        </w:rPr>
        <w:t>、其他补充事宜</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投标文件正本1份，副本4份。</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七</w:t>
      </w:r>
      <w:r>
        <w:rPr>
          <w:rFonts w:hint="eastAsia" w:asciiTheme="minorEastAsia" w:hAnsiTheme="minorEastAsia" w:eastAsiaTheme="minorEastAsia"/>
          <w:b/>
          <w:szCs w:val="24"/>
        </w:rPr>
        <w:t>、对本次采购提出询问，请按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8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w:t>
      </w:r>
      <w:r>
        <w:rPr>
          <w:rFonts w:hint="eastAsia" w:asciiTheme="minorEastAsia" w:hAnsiTheme="minorEastAsia" w:eastAsiaTheme="minorEastAsia"/>
          <w:sz w:val="24"/>
          <w:szCs w:val="24"/>
          <w:lang w:eastAsia="zh-CN"/>
        </w:rPr>
        <w:t>凌</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15365776076</w:t>
      </w:r>
      <w:r>
        <w:rPr>
          <w:rFonts w:hint="eastAsia" w:asciiTheme="minorEastAsia" w:hAnsiTheme="minorEastAsia" w:eastAsiaTheme="minorEastAsia"/>
          <w:sz w:val="24"/>
          <w:szCs w:val="24"/>
        </w:rPr>
        <w:t>。</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人地址：盐城市高职园区学海路28号 ，邮政编码：224005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2、技术服务单位：大洲</w:t>
      </w:r>
      <w:r>
        <w:rPr>
          <w:rFonts w:hint="eastAsia" w:asciiTheme="minorEastAsia" w:hAnsiTheme="minorEastAsia" w:eastAsiaTheme="minorEastAsia"/>
          <w:sz w:val="24"/>
          <w:szCs w:val="24"/>
          <w:lang w:val="en-US" w:eastAsia="zh-CN"/>
        </w:rPr>
        <w:t>设计咨询集团</w:t>
      </w:r>
      <w:r>
        <w:rPr>
          <w:rFonts w:hint="eastAsia" w:asciiTheme="minorEastAsia" w:hAnsiTheme="minorEastAsia" w:eastAsiaTheme="minorEastAsia"/>
          <w:sz w:val="24"/>
          <w:szCs w:val="24"/>
        </w:rPr>
        <w:t>有限公司。</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3、对项目需求部分的询问、质疑请与采购人联系、答复；其他部分的询问、质疑请与询价技术服务单位联系、答复。</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八</w:t>
      </w:r>
      <w:r>
        <w:rPr>
          <w:rFonts w:hint="eastAsia" w:asciiTheme="minorEastAsia" w:hAnsiTheme="minorEastAsia" w:eastAsiaTheme="minorEastAsia"/>
          <w:b/>
          <w:szCs w:val="24"/>
        </w:rPr>
        <w:t>、现场勘查</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1、投标人须在投标前自行组织现场踏勘，可自行到拟建现场踏勘；也可以联系采购人现场探勘联系人：</w:t>
      </w:r>
      <w:r>
        <w:rPr>
          <w:rFonts w:hint="eastAsia" w:asciiTheme="minorEastAsia" w:hAnsiTheme="minorEastAsia" w:eastAsiaTheme="minorEastAsia"/>
          <w:sz w:val="24"/>
          <w:szCs w:val="24"/>
          <w:lang w:eastAsia="zh-CN"/>
        </w:rPr>
        <w:t>凌</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15365776076</w:t>
      </w:r>
      <w:r>
        <w:rPr>
          <w:rFonts w:hint="eastAsia" w:asciiTheme="minorEastAsia" w:hAnsiTheme="minorEastAsia" w:eastAsiaTheme="minorEastAsia"/>
          <w:sz w:val="24"/>
          <w:szCs w:val="24"/>
        </w:rPr>
        <w:t>。如因投标人未踏勘现场，不予接收投标文件。</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踏勘时间：2021年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日-2021年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日（工作日）上午9：00—下午17:00。</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2、投标人踏勘现场发生的费用自理，自行负责在踏勘现场中所发生的人员伤亡和财产损失。</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ind w:firstLine="1200" w:firstLineChars="500"/>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4"/>
        <w:rPr>
          <w:rFonts w:hint="eastAsia" w:ascii="黑体" w:eastAsia="黑体"/>
          <w:color w:val="000000"/>
        </w:rPr>
      </w:pPr>
    </w:p>
    <w:p>
      <w:pPr>
        <w:pStyle w:val="4"/>
        <w:rPr>
          <w:rFonts w:hint="eastAsia" w:ascii="黑体" w:eastAsia="黑体"/>
          <w:color w:val="000000"/>
        </w:rPr>
      </w:pPr>
    </w:p>
    <w:p>
      <w:pPr>
        <w:pStyle w:val="5"/>
        <w:rPr>
          <w:rFonts w:hint="eastAsia"/>
        </w:rPr>
      </w:pPr>
    </w:p>
    <w:p>
      <w:pPr>
        <w:pStyle w:val="4"/>
        <w:rPr>
          <w:rFonts w:ascii="黑体" w:eastAsia="黑体"/>
          <w:b w:val="0"/>
          <w:bCs w:val="0"/>
          <w:color w:val="000000"/>
        </w:rPr>
      </w:pPr>
      <w:r>
        <w:rPr>
          <w:rFonts w:hint="eastAsia" w:ascii="黑体" w:eastAsia="黑体"/>
          <w:color w:val="000000"/>
        </w:rPr>
        <w:t>第二章  投标人须知</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一、总则</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1、招标方式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2、合格的投标人</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2.1满足招标公告中供应商的资格要求的规定。</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2.2 满足本文件实质性条款的规定。</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3、适用法律</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4、投标费用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pageBreakBefore w:val="0"/>
        <w:kinsoku/>
        <w:wordWrap/>
        <w:overflowPunct/>
        <w:topLinePunct w:val="0"/>
        <w:bidi w:val="0"/>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pageBreakBefore w:val="0"/>
        <w:kinsoku/>
        <w:wordWrap/>
        <w:overflowPunct/>
        <w:topLinePunct w:val="0"/>
        <w:bidi w:val="0"/>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pageBreakBefore w:val="0"/>
        <w:kinsoku/>
        <w:wordWrap/>
        <w:overflowPunct/>
        <w:topLinePunct w:val="0"/>
        <w:bidi w:val="0"/>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二、招标文件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7、招标文件构成</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（1）招标公告</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（2）投标人须知</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（3）合同条款及格式</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（4）项目需求</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（5）评标方法与评标标准</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（6）投标文件格式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请仔细检查招标文件是否齐全，如有缺漏请立即与采购人联系解决。</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8、招标文件的询问</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9、招标文件的修改</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pageBreakBefore w:val="0"/>
        <w:kinsoku/>
        <w:wordWrap/>
        <w:overflowPunct/>
        <w:topLinePunct w:val="0"/>
        <w:bidi w:val="0"/>
        <w:spacing w:line="48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三、投标文件的编制</w:t>
      </w:r>
    </w:p>
    <w:p>
      <w:pPr>
        <w:pStyle w:val="7"/>
        <w:pageBreakBefore w:val="0"/>
        <w:kinsoku/>
        <w:wordWrap/>
        <w:overflowPunct/>
        <w:topLinePunct w:val="0"/>
        <w:bidi w:val="0"/>
        <w:spacing w:before="0" w:after="0" w:line="480" w:lineRule="exact"/>
        <w:ind w:firstLine="420" w:firstLineChars="150"/>
        <w:rPr>
          <w:bCs w:val="0"/>
          <w:color w:val="000000"/>
        </w:rPr>
      </w:pPr>
      <w:r>
        <w:rPr>
          <w:rFonts w:hint="eastAsia"/>
          <w:b w:val="0"/>
          <w:bCs w:val="0"/>
          <w:color w:val="000000"/>
        </w:rPr>
        <w:t>10、投标文件的语言及度量衡单位</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11、投标文件构成</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（1）资信证明文件要求（见格式）；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（2）资格性审查响应对照表（见格式）；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（3）符合性检查响应对照表（见格式）；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（4）投标函（格式）；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pageBreakBefore w:val="0"/>
        <w:kinsoku/>
        <w:wordWrap/>
        <w:overflowPunct/>
        <w:topLinePunct w:val="0"/>
        <w:bidi w:val="0"/>
        <w:spacing w:line="480" w:lineRule="exact"/>
        <w:ind w:firstLine="482" w:firstLineChars="200"/>
        <w:rPr>
          <w:b/>
          <w:bCs/>
          <w:sz w:val="24"/>
        </w:rPr>
      </w:pPr>
      <w:r>
        <w:rPr>
          <w:rFonts w:hint="eastAsia"/>
          <w:b/>
          <w:bCs/>
          <w:sz w:val="24"/>
        </w:rPr>
        <w:t>（6）已标价工程量清单；</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（7）技术参数响应及偏离表；</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（8）商务条款响应及偏离表；</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（9）招标文件要求的或投标人认为有必要的其他材料。</w:t>
      </w:r>
    </w:p>
    <w:p>
      <w:pPr>
        <w:pageBreakBefore w:val="0"/>
        <w:kinsoku/>
        <w:wordWrap/>
        <w:overflowPunct/>
        <w:topLinePunct w:val="0"/>
        <w:bidi w:val="0"/>
        <w:spacing w:line="48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pageBreakBefore w:val="0"/>
        <w:kinsoku/>
        <w:wordWrap/>
        <w:overflowPunct/>
        <w:topLinePunct w:val="0"/>
        <w:bidi w:val="0"/>
        <w:spacing w:line="48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12、证明投标人资格及符合招标文件规定的文件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12.1投标人应按要求提交资格证明文件及符合招标文件规定的文件。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13、供货一览表和投标配置与分项报价表</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招标文件未列明，而投标人认为必需的费用也需列入报价。</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pageBreakBefore w:val="0"/>
        <w:kinsoku/>
        <w:wordWrap/>
        <w:overflowPunct/>
        <w:topLinePunct w:val="0"/>
        <w:bidi w:val="0"/>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pageBreakBefore w:val="0"/>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14.3 培训计划；</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pageBreakBefore w:val="0"/>
        <w:tabs>
          <w:tab w:val="left" w:pos="1035"/>
        </w:tabs>
        <w:kinsoku/>
        <w:wordWrap/>
        <w:overflowPunct/>
        <w:topLinePunct w:val="0"/>
        <w:autoSpaceDE w:val="0"/>
        <w:autoSpaceDN w:val="0"/>
        <w:bidi w:val="0"/>
        <w:adjustRightInd w:val="0"/>
        <w:spacing w:line="48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pageBreakBefore w:val="0"/>
        <w:kinsoku/>
        <w:wordWrap/>
        <w:overflowPunct/>
        <w:topLinePunct w:val="0"/>
        <w:bidi w:val="0"/>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16、投标函和开标一览表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17、投标有效期</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18、投标文件份数和签署</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四、投标文件的递交</w:t>
      </w:r>
    </w:p>
    <w:p>
      <w:pPr>
        <w:pStyle w:val="7"/>
        <w:pageBreakBefore w:val="0"/>
        <w:kinsoku/>
        <w:wordWrap/>
        <w:overflowPunct/>
        <w:topLinePunct w:val="0"/>
        <w:bidi w:val="0"/>
        <w:spacing w:before="0" w:after="0" w:line="480" w:lineRule="exact"/>
        <w:ind w:firstLine="420" w:firstLineChars="150"/>
        <w:rPr>
          <w:rFonts w:ascii="黑体"/>
          <w:b w:val="0"/>
          <w:bCs w:val="0"/>
          <w:color w:val="000000"/>
        </w:rPr>
      </w:pPr>
      <w:r>
        <w:rPr>
          <w:rFonts w:hint="eastAsia" w:ascii="黑体"/>
          <w:b w:val="0"/>
          <w:bCs w:val="0"/>
          <w:color w:val="000000"/>
        </w:rPr>
        <w:t>19、投标文件的密封和标记</w:t>
      </w:r>
    </w:p>
    <w:p>
      <w:pPr>
        <w:pageBreakBefore w:val="0"/>
        <w:kinsoku/>
        <w:wordWrap/>
        <w:overflowPunct/>
        <w:topLinePunct w:val="0"/>
        <w:bidi w:val="0"/>
        <w:spacing w:line="48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pageBreakBefore w:val="0"/>
        <w:kinsoku/>
        <w:wordWrap/>
        <w:overflowPunct/>
        <w:topLinePunct w:val="0"/>
        <w:bidi w:val="0"/>
        <w:spacing w:line="48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pageBreakBefore w:val="0"/>
        <w:kinsoku/>
        <w:wordWrap/>
        <w:overflowPunct/>
        <w:topLinePunct w:val="0"/>
        <w:bidi w:val="0"/>
        <w:spacing w:line="48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19.4.2  注明投标项目名称、标书编号及包号。</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20、投标截止日期</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21、迟交的投标文件</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22、投标文件的修改和撤回</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五、开标与评标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23、开标</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pageBreakBefore w:val="0"/>
        <w:kinsoku/>
        <w:wordWrap/>
        <w:overflowPunct/>
        <w:topLinePunct w:val="0"/>
        <w:bidi w:val="0"/>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24、资格审查</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pageBreakBefore w:val="0"/>
        <w:widowControl/>
        <w:kinsoku/>
        <w:wordWrap/>
        <w:overflowPunct/>
        <w:topLinePunct w:val="0"/>
        <w:bidi w:val="0"/>
        <w:spacing w:line="480" w:lineRule="exact"/>
        <w:jc w:val="left"/>
        <w:textAlignment w:val="baseline"/>
        <w:rPr>
          <w:color w:val="000000"/>
          <w:sz w:val="24"/>
          <w:szCs w:val="24"/>
        </w:rPr>
      </w:pPr>
      <w:r>
        <w:rPr>
          <w:color w:val="000000"/>
          <w:sz w:val="24"/>
          <w:szCs w:val="24"/>
        </w:rPr>
        <w:t>　　合格投标人不足3家的，不得评标。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25、评标委员会</w:t>
      </w:r>
    </w:p>
    <w:p>
      <w:pPr>
        <w:pageBreakBefore w:val="0"/>
        <w:kinsoku/>
        <w:wordWrap/>
        <w:overflowPunct/>
        <w:topLinePunct w:val="0"/>
        <w:bidi w:val="0"/>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pageBreakBefore w:val="0"/>
        <w:kinsoku/>
        <w:wordWrap/>
        <w:overflowPunct/>
        <w:topLinePunct w:val="0"/>
        <w:bidi w:val="0"/>
        <w:spacing w:before="0" w:after="0" w:line="480" w:lineRule="exact"/>
        <w:ind w:firstLine="420" w:firstLineChars="150"/>
        <w:rPr>
          <w:rFonts w:ascii="黑体"/>
          <w:b w:val="0"/>
          <w:bCs w:val="0"/>
          <w:color w:val="000000"/>
        </w:rPr>
      </w:pPr>
      <w:r>
        <w:rPr>
          <w:rFonts w:hint="eastAsia" w:ascii="黑体"/>
          <w:b w:val="0"/>
          <w:bCs w:val="0"/>
          <w:color w:val="000000"/>
        </w:rPr>
        <w:t>26、评标过程的保密与公正</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27、投标的澄清</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28、对投标文件的评审</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（2）大写金额和小写金额不一致的，以大写金额为准。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（4）总价金额与按单价汇总金额不一致的，以单价金额计算结果为准。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同时出现两种以上错误的，按照前款规定的顺序修正。</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ageBreakBefore w:val="0"/>
        <w:kinsoku/>
        <w:wordWrap/>
        <w:overflowPunct/>
        <w:topLinePunct w:val="0"/>
        <w:bidi w:val="0"/>
        <w:spacing w:line="48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wordWrap/>
        <w:overflowPunct/>
        <w:topLinePunct w:val="0"/>
        <w:bidi w:val="0"/>
        <w:spacing w:line="48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29、无效投标条款和废标条款</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29.1无效投标条款</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29.1.1未按照招标文件规定要求密封、签署、盖章的；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29.1.2投标人在报价时采用选择性报价；</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29.1.3投标人不具备招标文件中规定资格要求的；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29.1.4投标人的报价超过了采购预算或最高限价的；</w:t>
      </w:r>
    </w:p>
    <w:p>
      <w:pPr>
        <w:pageBreakBefore w:val="0"/>
        <w:kinsoku/>
        <w:wordWrap/>
        <w:overflowPunct/>
        <w:topLinePunct w:val="0"/>
        <w:bidi w:val="0"/>
        <w:spacing w:line="480" w:lineRule="exact"/>
        <w:ind w:firstLine="480" w:firstLineChars="200"/>
        <w:rPr>
          <w:bCs/>
          <w:i/>
          <w:color w:val="000000"/>
          <w:sz w:val="24"/>
          <w:u w:val="single"/>
        </w:rPr>
      </w:pPr>
      <w:r>
        <w:rPr>
          <w:rFonts w:hint="eastAsia"/>
          <w:bCs/>
          <w:color w:val="000000"/>
          <w:sz w:val="24"/>
        </w:rPr>
        <w:t>29.1.5未通过符合性检查的；</w:t>
      </w:r>
    </w:p>
    <w:p>
      <w:pPr>
        <w:pageBreakBefore w:val="0"/>
        <w:kinsoku/>
        <w:wordWrap/>
        <w:overflowPunct/>
        <w:topLinePunct w:val="0"/>
        <w:bidi w:val="0"/>
        <w:spacing w:line="48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29.1.7投标人串通投标；</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29.1.8  投标文件含有采购人不能接受的附加条件的。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29.1.10其他法律、法规及本招标文件规定的属无效投标的情形。</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 xml:space="preserve">29.2废标条款：                                                                                                                                                                                                                                                                                                                                                                                                                                                                                                                                                                                                                                                                                                                                                                                                                                                                                                                                                                                                                                                                                                                                                                                                                                                                                                                                                                                                                                                                         </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29.2.3因重大变故，采购任务取消的；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29.2.4评标委员会认定招标文件存在歧义、 重大缺陷导致评审工作无法进行。</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29.3 投标截止时间结束后参加投标的供应商不足三家的处理：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六、定标</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pageBreakBefore w:val="0"/>
        <w:tabs>
          <w:tab w:val="left" w:pos="4120"/>
        </w:tabs>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pageBreakBefore w:val="0"/>
        <w:kinsoku/>
        <w:wordWrap/>
        <w:overflowPunct/>
        <w:topLinePunct w:val="0"/>
        <w:bidi w:val="0"/>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31.4.4提起质疑的日期；</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pageBreakBefore w:val="0"/>
        <w:kinsoku/>
        <w:wordWrap/>
        <w:overflowPunct/>
        <w:topLinePunct w:val="0"/>
        <w:bidi w:val="0"/>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七、合同签订相关事项</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pageBreakBefore w:val="0"/>
        <w:kinsoku/>
        <w:wordWrap/>
        <w:overflowPunct/>
        <w:topLinePunct w:val="0"/>
        <w:bidi w:val="0"/>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pageBreakBefore w:val="0"/>
        <w:tabs>
          <w:tab w:val="left" w:pos="900"/>
        </w:tabs>
        <w:kinsoku/>
        <w:wordWrap/>
        <w:overflowPunct/>
        <w:topLinePunct w:val="0"/>
        <w:bidi w:val="0"/>
        <w:spacing w:line="48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pageBreakBefore w:val="0"/>
        <w:tabs>
          <w:tab w:val="left" w:pos="900"/>
        </w:tabs>
        <w:kinsoku/>
        <w:wordWrap/>
        <w:overflowPunct/>
        <w:topLinePunct w:val="0"/>
        <w:bidi w:val="0"/>
        <w:spacing w:line="480" w:lineRule="exact"/>
        <w:ind w:firstLine="480" w:firstLineChars="200"/>
        <w:rPr>
          <w:color w:val="000000"/>
          <w:sz w:val="24"/>
        </w:rPr>
      </w:pPr>
      <w:r>
        <w:rPr>
          <w:rFonts w:hint="eastAsia"/>
          <w:color w:val="000000"/>
          <w:sz w:val="24"/>
        </w:rPr>
        <w:t>在签订合同时，须向采购人交纳履约保证金（履约保证金为合同额的10%）,于合同履行后无息退还。履约保证金用以约束成交供应商在合同履行中的行为，弥补合同执行中由于自身行为可能给采购人带来的各种损失。</w:t>
      </w:r>
    </w:p>
    <w:p>
      <w:pPr>
        <w:pStyle w:val="5"/>
        <w:pageBreakBefore w:val="0"/>
        <w:kinsoku/>
        <w:wordWrap/>
        <w:overflowPunct/>
        <w:topLinePunct w:val="0"/>
        <w:bidi w:val="0"/>
        <w:spacing w:line="480" w:lineRule="exact"/>
        <w:rPr>
          <w:bCs/>
          <w:sz w:val="24"/>
        </w:rPr>
      </w:pPr>
    </w:p>
    <w:p>
      <w:pPr>
        <w:spacing w:line="500" w:lineRule="exact"/>
        <w:ind w:firstLine="555"/>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spacing w:line="500" w:lineRule="exact"/>
        <w:ind w:firstLine="555"/>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2"/>
        <w:rPr>
          <w:rFonts w:asciiTheme="minorEastAsia" w:hAnsiTheme="minorEastAsia" w:eastAsiaTheme="minorEastAsia"/>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pPr>
    </w:p>
    <w:p>
      <w:pPr>
        <w:pStyle w:val="25"/>
        <w:snapToGrid w:val="0"/>
        <w:spacing w:line="480" w:lineRule="exact"/>
        <w:ind w:firstLine="482" w:firstLineChars="200"/>
        <w:rPr>
          <w:rFonts w:hAnsi="宋体"/>
          <w:b/>
          <w:sz w:val="24"/>
          <w:szCs w:val="24"/>
        </w:rPr>
      </w:pPr>
    </w:p>
    <w:p>
      <w:pPr>
        <w:pStyle w:val="2"/>
      </w:pPr>
    </w:p>
    <w:p>
      <w:pPr>
        <w:wordWrap w:val="0"/>
        <w:overflowPunct w:val="0"/>
        <w:autoSpaceDE w:val="0"/>
        <w:autoSpaceDN w:val="0"/>
        <w:snapToGrid w:val="0"/>
        <w:ind w:right="120"/>
        <w:jc w:val="left"/>
        <w:rPr>
          <w:sz w:val="24"/>
          <w:szCs w:val="24"/>
          <w:u w:val="single"/>
        </w:rPr>
      </w:pPr>
    </w:p>
    <w:p>
      <w:pPr>
        <w:keepNext w:val="0"/>
        <w:keepLines w:val="0"/>
        <w:pageBreakBefore w:val="0"/>
        <w:widowControl w:val="0"/>
        <w:kinsoku/>
        <w:wordWrap/>
        <w:overflowPunct w:val="0"/>
        <w:topLinePunct w:val="0"/>
        <w:autoSpaceDE w:val="0"/>
        <w:autoSpaceDN w:val="0"/>
        <w:bidi w:val="0"/>
        <w:adjustRightInd/>
        <w:snapToGrid w:val="0"/>
        <w:spacing w:line="480" w:lineRule="exact"/>
        <w:ind w:right="120" w:firstLine="510"/>
        <w:textAlignment w:val="auto"/>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sz w:val="24"/>
          <w:szCs w:val="24"/>
          <w:u w:val="single"/>
        </w:rPr>
        <w:t>盐城幼儿师范高等专科学校</w:t>
      </w:r>
      <w:r>
        <w:rPr>
          <w:rFonts w:hint="eastAsia"/>
          <w:sz w:val="24"/>
          <w:szCs w:val="24"/>
          <w:u w:val="single"/>
          <w:lang w:val="en-US" w:eastAsia="zh-CN"/>
        </w:rPr>
        <w:t>学海路校区食堂强电间强电线路</w:t>
      </w:r>
      <w:r>
        <w:rPr>
          <w:rFonts w:hint="eastAsia" w:asciiTheme="minorEastAsia" w:hAnsiTheme="minorEastAsia" w:eastAsiaTheme="minorEastAsia"/>
          <w:sz w:val="24"/>
          <w:szCs w:val="24"/>
          <w:lang w:eastAsia="zh-CN"/>
        </w:rPr>
        <w:t>改造</w:t>
      </w:r>
      <w:r>
        <w:rPr>
          <w:rFonts w:hint="eastAsia"/>
          <w:sz w:val="24"/>
          <w:szCs w:val="24"/>
        </w:rPr>
        <w:t>施工及有关事项协商一致，共同达成如下协议：</w:t>
      </w:r>
    </w:p>
    <w:p>
      <w:pPr>
        <w:keepNext w:val="0"/>
        <w:keepLines w:val="0"/>
        <w:pageBreakBefore w:val="0"/>
        <w:widowControl w:val="0"/>
        <w:tabs>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sz w:val="24"/>
          <w:szCs w:val="24"/>
        </w:rPr>
        <w:t>　</w:t>
      </w:r>
      <w:r>
        <w:rPr>
          <w:rFonts w:hint="eastAsia"/>
          <w:b/>
          <w:sz w:val="24"/>
          <w:szCs w:val="24"/>
        </w:rPr>
        <w:t>　一、工程概况</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ind w:firstLine="564"/>
        <w:jc w:val="left"/>
        <w:textAlignment w:val="auto"/>
        <w:rPr>
          <w:rFonts w:hint="eastAsia" w:asciiTheme="minorEastAsia" w:hAnsiTheme="minorEastAsia" w:eastAsiaTheme="minorEastAsia"/>
          <w:sz w:val="24"/>
          <w:szCs w:val="24"/>
          <w:lang w:eastAsia="zh-CN"/>
        </w:rPr>
      </w:pPr>
      <w:r>
        <w:rPr>
          <w:rFonts w:hint="eastAsia"/>
          <w:sz w:val="24"/>
          <w:szCs w:val="24"/>
        </w:rPr>
        <w:t>1.工程名称：</w:t>
      </w:r>
      <w:r>
        <w:rPr>
          <w:rFonts w:hint="eastAsia"/>
          <w:sz w:val="24"/>
          <w:szCs w:val="24"/>
          <w:u w:val="single"/>
        </w:rPr>
        <w:t>盐城幼儿师范高等专科学校</w:t>
      </w:r>
      <w:r>
        <w:rPr>
          <w:rFonts w:hint="eastAsia"/>
          <w:sz w:val="24"/>
          <w:szCs w:val="24"/>
          <w:u w:val="single"/>
          <w:lang w:val="en-US" w:eastAsia="zh-CN"/>
        </w:rPr>
        <w:t>学海路校区食堂强电间强电线路</w:t>
      </w:r>
      <w:r>
        <w:rPr>
          <w:rFonts w:hint="eastAsia" w:asciiTheme="minorEastAsia" w:hAnsiTheme="minorEastAsia" w:eastAsiaTheme="minorEastAsia"/>
          <w:sz w:val="24"/>
          <w:szCs w:val="24"/>
          <w:lang w:eastAsia="zh-CN"/>
        </w:rPr>
        <w:t>改造</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ind w:firstLine="564"/>
        <w:jc w:val="left"/>
        <w:textAlignment w:val="auto"/>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keepNext w:val="0"/>
        <w:keepLines w:val="0"/>
        <w:pageBreakBefore w:val="0"/>
        <w:widowControl w:val="0"/>
        <w:tabs>
          <w:tab w:val="left" w:pos="3200"/>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3.工程立项批准文号：。</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keepNext w:val="0"/>
        <w:keepLines w:val="0"/>
        <w:pageBreakBefore w:val="0"/>
        <w:widowControl w:val="0"/>
        <w:tabs>
          <w:tab w:val="left" w:pos="1746"/>
          <w:tab w:val="left" w:pos="3200"/>
          <w:tab w:val="left" w:pos="5080"/>
          <w:tab w:val="left" w:pos="996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b/>
          <w:sz w:val="24"/>
          <w:szCs w:val="24"/>
        </w:rPr>
      </w:pPr>
      <w:r>
        <w:rPr>
          <w:rFonts w:hint="eastAsia"/>
          <w:b/>
          <w:sz w:val="24"/>
          <w:szCs w:val="24"/>
        </w:rPr>
        <w:t>　　二、合同工期</w:t>
      </w:r>
    </w:p>
    <w:p>
      <w:pPr>
        <w:keepNext w:val="0"/>
        <w:keepLines w:val="0"/>
        <w:pageBreakBefore w:val="0"/>
        <w:widowControl w:val="0"/>
        <w:tabs>
          <w:tab w:val="left" w:pos="2175"/>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   日，计划竣工日期：2021年   月   日。</w:t>
      </w:r>
    </w:p>
    <w:p>
      <w:pPr>
        <w:keepNext w:val="0"/>
        <w:keepLines w:val="0"/>
        <w:pageBreakBefore w:val="0"/>
        <w:widowControl w:val="0"/>
        <w:tabs>
          <w:tab w:val="left" w:pos="28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2、工期总日历天数：</w:t>
      </w:r>
      <w:r>
        <w:rPr>
          <w:rFonts w:hint="eastAsia"/>
          <w:sz w:val="24"/>
          <w:szCs w:val="24"/>
          <w:u w:val="single"/>
        </w:rPr>
        <w:t xml:space="preserve"> </w:t>
      </w:r>
      <w:r>
        <w:rPr>
          <w:rFonts w:hint="eastAsia"/>
          <w:sz w:val="24"/>
          <w:szCs w:val="24"/>
          <w:u w:val="single"/>
          <w:lang w:val="en-US" w:eastAsia="zh-CN"/>
        </w:rPr>
        <w:t>1</w:t>
      </w:r>
      <w:r>
        <w:rPr>
          <w:rFonts w:hint="eastAsia"/>
          <w:sz w:val="24"/>
          <w:szCs w:val="24"/>
          <w:u w:val="single"/>
        </w:rPr>
        <w:t xml:space="preserve">0 </w:t>
      </w:r>
      <w:r>
        <w:rPr>
          <w:rFonts w:hint="eastAsia"/>
          <w:sz w:val="24"/>
          <w:szCs w:val="24"/>
        </w:rPr>
        <w:t>天。工期总日历天数与根据前述计划开竣工日期计算的工期天数不一致的，以工期总日历天数为准。</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3、在施工过程中，如遇下列情况，经发包人书面同意后，工期合理顺延，但承包人无权提出其他任何要求。</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（1）因不可抗力影响；</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（3）发包人作出设计变更且对工期关键路径造成影响的；</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（4）市政停电、停水或停气并导致全面停工连续超过8小时以上的；</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（5）如遇政府有关部门强令停工导致工期延误的（由于承包人责任导致的除外）。</w:t>
      </w:r>
    </w:p>
    <w:p>
      <w:pPr>
        <w:keepNext w:val="0"/>
        <w:keepLines w:val="0"/>
        <w:pageBreakBefore w:val="0"/>
        <w:widowControl w:val="0"/>
        <w:tabs>
          <w:tab w:val="left" w:pos="2800"/>
          <w:tab w:val="left" w:pos="3880"/>
          <w:tab w:val="left" w:pos="758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三、质量标准</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2、验收要求按照采购文件执行。</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3、免费保修按照采购文件执行。</w:t>
      </w:r>
    </w:p>
    <w:p>
      <w:pPr>
        <w:keepNext w:val="0"/>
        <w:keepLines w:val="0"/>
        <w:pageBreakBefore w:val="0"/>
        <w:widowControl w:val="0"/>
        <w:tabs>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四、签约合同价与合同价格形式</w:t>
      </w:r>
    </w:p>
    <w:p>
      <w:pPr>
        <w:keepNext w:val="0"/>
        <w:keepLines w:val="0"/>
        <w:pageBreakBefore w:val="0"/>
        <w:widowControl w:val="0"/>
        <w:tabs>
          <w:tab w:val="left" w:pos="2800"/>
          <w:tab w:val="left" w:pos="3880"/>
          <w:tab w:val="left" w:pos="758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　　1.签约合同价为：人民币(大写                             )(￥       </w:t>
      </w:r>
      <w:r>
        <w:rPr>
          <w:rFonts w:hint="eastAsia"/>
          <w:w w:val="95"/>
          <w:sz w:val="24"/>
          <w:szCs w:val="24"/>
        </w:rPr>
        <w:t>元)</w:t>
      </w:r>
    </w:p>
    <w:p>
      <w:pPr>
        <w:keepNext w:val="0"/>
        <w:keepLines w:val="0"/>
        <w:pageBreakBefore w:val="0"/>
        <w:widowControl w:val="0"/>
        <w:tabs>
          <w:tab w:val="left" w:pos="2180"/>
          <w:tab w:val="left" w:pos="2800"/>
          <w:tab w:val="left" w:pos="4940"/>
          <w:tab w:val="left" w:pos="694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其中：(1)安全文明施工费：　人民币(大写                      )(￥       元)</w:t>
      </w:r>
    </w:p>
    <w:p>
      <w:pPr>
        <w:keepNext w:val="0"/>
        <w:keepLines w:val="0"/>
        <w:pageBreakBefore w:val="0"/>
        <w:widowControl w:val="0"/>
        <w:tabs>
          <w:tab w:val="left" w:pos="7560"/>
          <w:tab w:val="left" w:pos="996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(2)材料和工程设备暂估价金额：人民币(大写                 )(￥    元)</w:t>
      </w:r>
    </w:p>
    <w:p>
      <w:pPr>
        <w:keepNext w:val="0"/>
        <w:keepLines w:val="0"/>
        <w:pageBreakBefore w:val="0"/>
        <w:widowControl w:val="0"/>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(3)专业工程暂估价金额：人民币(大写                        )(￥     元)</w:t>
      </w:r>
    </w:p>
    <w:p>
      <w:pPr>
        <w:keepNext w:val="0"/>
        <w:keepLines w:val="0"/>
        <w:pageBreakBefore w:val="0"/>
        <w:widowControl w:val="0"/>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　　(4)暂列金额：人民币(大写                                  )(￥      </w:t>
      </w:r>
      <w:r>
        <w:rPr>
          <w:rFonts w:hint="eastAsia"/>
          <w:w w:val="81"/>
          <w:sz w:val="24"/>
          <w:szCs w:val="24"/>
        </w:rPr>
        <w:t>元)</w:t>
      </w:r>
    </w:p>
    <w:p>
      <w:pPr>
        <w:keepNext w:val="0"/>
        <w:keepLines w:val="0"/>
        <w:pageBreakBefore w:val="0"/>
        <w:widowControl w:val="0"/>
        <w:kinsoku/>
        <w:wordWrap/>
        <w:overflowPunct w:val="0"/>
        <w:topLinePunct w:val="0"/>
        <w:bidi w:val="0"/>
        <w:adjustRightInd/>
        <w:spacing w:line="480" w:lineRule="exact"/>
        <w:ind w:firstLine="480" w:firstLineChars="200"/>
        <w:jc w:val="left"/>
        <w:textAlignment w:val="auto"/>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w:t>
      </w:r>
      <w:r>
        <w:rPr>
          <w:rFonts w:hint="eastAsia"/>
          <w:sz w:val="24"/>
          <w:szCs w:val="24"/>
          <w:u w:val="single"/>
          <w:lang w:eastAsia="zh-CN"/>
        </w:rPr>
        <w:t>两</w:t>
      </w:r>
      <w:r>
        <w:rPr>
          <w:rFonts w:hint="eastAsia"/>
          <w:sz w:val="24"/>
          <w:szCs w:val="24"/>
          <w:u w:val="single"/>
        </w:rPr>
        <w:t>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w:t>
      </w:r>
      <w:r>
        <w:rPr>
          <w:rFonts w:hint="eastAsia"/>
          <w:sz w:val="24"/>
          <w:szCs w:val="24"/>
          <w:u w:val="single"/>
          <w:lang w:eastAsia="zh-CN"/>
        </w:rPr>
        <w:t>、免费质保</w:t>
      </w:r>
      <w:r>
        <w:rPr>
          <w:rFonts w:hint="eastAsia"/>
          <w:sz w:val="24"/>
          <w:szCs w:val="24"/>
          <w:u w:val="single"/>
        </w:rPr>
        <w:t>等伴随服务等相关事宜的一切费用。</w:t>
      </w:r>
      <w:r>
        <w:rPr>
          <w:rFonts w:hint="eastAsia"/>
          <w:sz w:val="24"/>
          <w:szCs w:val="24"/>
        </w:rPr>
        <w:t>结算时按照实际完成且经甲方验收合格的工程量予以结算，中标全费用综合单价不因物价上涨、法律、法规、标准及规范变化等任何因素予以调增。如发生变更按照采购文件约定计取。</w:t>
      </w:r>
    </w:p>
    <w:p>
      <w:pPr>
        <w:keepNext w:val="0"/>
        <w:keepLines w:val="0"/>
        <w:pageBreakBefore w:val="0"/>
        <w:widowControl w:val="0"/>
        <w:kinsoku/>
        <w:wordWrap/>
        <w:topLinePunct w:val="0"/>
        <w:bidi w:val="0"/>
        <w:adjustRightInd/>
        <w:snapToGrid w:val="0"/>
        <w:spacing w:line="480" w:lineRule="exact"/>
        <w:ind w:firstLine="482"/>
        <w:jc w:val="left"/>
        <w:textAlignment w:val="auto"/>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3.付款方式</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（2）工程竣工验收合格，甲方组织审计结束后支付至支付基数（审定价扣除水电费、应承担审计费、应承担处罚费等费用）的90%；</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（3）</w:t>
      </w:r>
      <w:r>
        <w:rPr>
          <w:rFonts w:hint="eastAsia"/>
          <w:sz w:val="24"/>
          <w:szCs w:val="24"/>
          <w:lang w:eastAsia="zh-CN"/>
        </w:rPr>
        <w:t>两</w:t>
      </w:r>
      <w:r>
        <w:rPr>
          <w:rFonts w:hint="eastAsia"/>
          <w:sz w:val="24"/>
          <w:szCs w:val="24"/>
        </w:rPr>
        <w:t>年免费保修期满且经甲方组织质保期满验收合格后，一次性付清所有剩余费用（无息）。</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keepNext w:val="0"/>
        <w:keepLines w:val="0"/>
        <w:pageBreakBefore w:val="0"/>
        <w:widowControl w:val="0"/>
        <w:tabs>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五、项目负责人</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1、甲方项目负责人：</w:t>
      </w:r>
      <w:r>
        <w:rPr>
          <w:rFonts w:hint="eastAsia" w:asciiTheme="minorEastAsia" w:hAnsiTheme="minorEastAsia" w:eastAsiaTheme="minorEastAsia"/>
          <w:sz w:val="24"/>
          <w:szCs w:val="24"/>
          <w:lang w:eastAsia="zh-CN"/>
        </w:rPr>
        <w:t>凌</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15365776076</w:t>
      </w:r>
      <w:r>
        <w:rPr>
          <w:rFonts w:hint="eastAsia" w:asciiTheme="minorEastAsia" w:hAnsiTheme="minorEastAsia" w:eastAsiaTheme="minorEastAsia"/>
          <w:sz w:val="24"/>
          <w:szCs w:val="24"/>
        </w:rPr>
        <w:t xml:space="preserve">  </w:t>
      </w:r>
      <w:r>
        <w:rPr>
          <w:rFonts w:hint="eastAsia"/>
          <w:sz w:val="24"/>
          <w:szCs w:val="24"/>
        </w:rPr>
        <w:t>。</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2、乙方项目负责人：        ，联系电话：      。</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乙方项目负责人权限与职责详见附件补充协议二《承包人项目负责人授权书》。</w:t>
      </w:r>
    </w:p>
    <w:p>
      <w:pPr>
        <w:keepNext w:val="0"/>
        <w:keepLines w:val="0"/>
        <w:pageBreakBefore w:val="0"/>
        <w:widowControl w:val="0"/>
        <w:tabs>
          <w:tab w:val="left" w:pos="2900"/>
          <w:tab w:val="left" w:pos="7580"/>
          <w:tab w:val="left" w:pos="796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六、合同文件构成</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本协议书与下列文件一起构成合同文件（文件的法律效率同此顺序）： </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（1）采购文件</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（2）中标通知书；</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（3）投标文件；</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（4）本协议书；</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（5）专用合同条款及其附件；</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（6）通用合同条款；</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37"/>
        <w:jc w:val="left"/>
        <w:textAlignment w:val="auto"/>
        <w:rPr>
          <w:sz w:val="24"/>
          <w:szCs w:val="24"/>
        </w:rPr>
      </w:pPr>
      <w:r>
        <w:rPr>
          <w:rFonts w:hint="eastAsia"/>
          <w:sz w:val="24"/>
          <w:szCs w:val="24"/>
        </w:rPr>
        <w:t>（7）技术标准和要求；</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（8）图纸；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4820"/>
        <w:jc w:val="left"/>
        <w:textAlignment w:val="auto"/>
        <w:rPr>
          <w:sz w:val="24"/>
          <w:szCs w:val="24"/>
        </w:rPr>
      </w:pPr>
      <w:r>
        <w:rPr>
          <w:rFonts w:hint="eastAsia"/>
          <w:sz w:val="24"/>
          <w:szCs w:val="24"/>
        </w:rPr>
        <w:t>（9）已标价工程量清单或预算；</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（10）补充协议等其他合同文件。</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80" w:firstLine="480"/>
        <w:jc w:val="left"/>
        <w:textAlignment w:val="auto"/>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b/>
          <w:sz w:val="24"/>
          <w:szCs w:val="24"/>
        </w:rPr>
      </w:pPr>
      <w:r>
        <w:rPr>
          <w:rFonts w:hint="eastAsia"/>
          <w:b/>
          <w:sz w:val="24"/>
          <w:szCs w:val="24"/>
        </w:rPr>
        <w:t>七、承诺</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1.甲方承诺按照法律规定履行项目审批手续、筹集工程建设资金并按照合同约定的期限和方式支付合同价款。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3.甲乙方通过招投标形式签订合同的，双方理解并承诺不再就同一工程另行签订与合同实质性内容相背离的协议。</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keepNext w:val="0"/>
        <w:keepLines w:val="0"/>
        <w:pageBreakBefore w:val="0"/>
        <w:widowControl w:val="0"/>
        <w:kinsoku/>
        <w:wordWrap/>
        <w:overflowPunct w:val="0"/>
        <w:topLinePunct w:val="0"/>
        <w:bidi w:val="0"/>
        <w:adjustRightInd/>
        <w:spacing w:line="480" w:lineRule="exact"/>
        <w:ind w:firstLine="482"/>
        <w:textAlignment w:val="auto"/>
        <w:rPr>
          <w:b/>
          <w:sz w:val="24"/>
          <w:szCs w:val="24"/>
        </w:rPr>
      </w:pPr>
      <w:r>
        <w:rPr>
          <w:rFonts w:hint="eastAsia"/>
          <w:b/>
          <w:sz w:val="24"/>
          <w:szCs w:val="24"/>
        </w:rPr>
        <w:t>八、违约责任</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5、采购文件约定或国家相关规定的乙方其他违约责任。</w:t>
      </w:r>
    </w:p>
    <w:p>
      <w:pPr>
        <w:keepNext w:val="0"/>
        <w:keepLines w:val="0"/>
        <w:pageBreakBefore w:val="0"/>
        <w:widowControl w:val="0"/>
        <w:kinsoku/>
        <w:wordWrap/>
        <w:overflowPunct w:val="0"/>
        <w:topLinePunct w:val="0"/>
        <w:bidi w:val="0"/>
        <w:adjustRightInd/>
        <w:spacing w:line="480" w:lineRule="exact"/>
        <w:ind w:firstLine="482"/>
        <w:textAlignment w:val="auto"/>
        <w:rPr>
          <w:b/>
          <w:sz w:val="24"/>
          <w:szCs w:val="24"/>
        </w:rPr>
      </w:pPr>
      <w:r>
        <w:rPr>
          <w:rFonts w:hint="eastAsia"/>
          <w:b/>
          <w:sz w:val="24"/>
          <w:szCs w:val="24"/>
        </w:rPr>
        <w:t>九、法律适用与争议解决</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 本合同适用中华人民共和国法律。</w:t>
      </w:r>
      <w:r>
        <w:rPr>
          <w:rFonts w:hint="eastAsia"/>
          <w:sz w:val="24"/>
          <w:szCs w:val="24"/>
        </w:rPr>
        <w:tab/>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 因本合同引发或与本合同相关的争议，双方应协商解决，协商不成的，应向发包人所在地人民法院提起诉讼。</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致甲方：</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单位： 盐城幼儿师范高等专科学校</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地址：盐城市高职园学海路28号</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电话：</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收件人：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邮箱：</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致乙方：</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单位：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地址：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电话：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收件人：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邮箱：</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 通知被视为有效送达的日期应按以下方式确定：</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通过个人当面送达的通知应于双方指定代表书面签收当日被视为有效送达；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通过快递送出的通知应以快递服务公司系统上载明的送达日期视为有效送达；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通过电子邮件送达的情况下，电子邮件发送当日即视为有效送达。</w:t>
      </w:r>
    </w:p>
    <w:p>
      <w:pPr>
        <w:keepNext w:val="0"/>
        <w:keepLines w:val="0"/>
        <w:pageBreakBefore w:val="0"/>
        <w:widowControl w:val="0"/>
        <w:numPr>
          <w:ilvl w:val="0"/>
          <w:numId w:val="2"/>
        </w:numPr>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、双方上述相关信息发生变更的，应及时书面通知对方，否则按原通讯方式送达仍视为有效送达。</w:t>
      </w:r>
    </w:p>
    <w:p>
      <w:pPr>
        <w:keepNext w:val="0"/>
        <w:keepLines w:val="0"/>
        <w:pageBreakBefore w:val="0"/>
        <w:widowControl w:val="0"/>
        <w:kinsoku/>
        <w:wordWrap/>
        <w:overflowPunct w:val="0"/>
        <w:topLinePunct w:val="0"/>
        <w:bidi w:val="0"/>
        <w:adjustRightInd/>
        <w:spacing w:line="480" w:lineRule="exact"/>
        <w:ind w:firstLine="482" w:firstLineChars="200"/>
        <w:jc w:val="left"/>
        <w:textAlignment w:val="auto"/>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keepNext w:val="0"/>
        <w:keepLines w:val="0"/>
        <w:pageBreakBefore w:val="0"/>
        <w:widowControl w:val="0"/>
        <w:kinsoku/>
        <w:wordWrap/>
        <w:overflowPunct w:val="0"/>
        <w:topLinePunct w:val="0"/>
        <w:bidi w:val="0"/>
        <w:adjustRightInd/>
        <w:spacing w:line="480" w:lineRule="exact"/>
        <w:ind w:firstLine="482" w:firstLineChars="200"/>
        <w:jc w:val="left"/>
        <w:textAlignment w:val="auto"/>
        <w:outlineLvl w:val="0"/>
        <w:rPr>
          <w:sz w:val="24"/>
          <w:szCs w:val="24"/>
        </w:rPr>
      </w:pPr>
      <w:r>
        <w:rPr>
          <w:rFonts w:hint="eastAsia"/>
          <w:b/>
          <w:bCs/>
          <w:sz w:val="24"/>
          <w:szCs w:val="24"/>
        </w:rPr>
        <w:t>十一、签订时间：</w:t>
      </w:r>
      <w:r>
        <w:rPr>
          <w:rFonts w:hint="eastAsia"/>
          <w:sz w:val="24"/>
          <w:szCs w:val="24"/>
        </w:rPr>
        <w:t>本合同于签订    年  月  日。</w:t>
      </w:r>
    </w:p>
    <w:p>
      <w:pPr>
        <w:keepNext w:val="0"/>
        <w:keepLines w:val="0"/>
        <w:pageBreakBefore w:val="0"/>
        <w:widowControl w:val="0"/>
        <w:kinsoku/>
        <w:wordWrap/>
        <w:overflowPunct w:val="0"/>
        <w:topLinePunct w:val="0"/>
        <w:bidi w:val="0"/>
        <w:adjustRightInd/>
        <w:spacing w:line="480" w:lineRule="exact"/>
        <w:ind w:firstLine="240" w:firstLineChars="100"/>
        <w:jc w:val="left"/>
        <w:textAlignment w:val="auto"/>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510"/>
        <w:jc w:val="left"/>
        <w:textAlignment w:val="auto"/>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480"/>
        <w:jc w:val="left"/>
        <w:textAlignment w:val="auto"/>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510"/>
        <w:jc w:val="left"/>
        <w:textAlignment w:val="auto"/>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2"/>
      </w:pPr>
    </w:p>
    <w:p>
      <w:pPr>
        <w:pStyle w:val="2"/>
      </w:pPr>
    </w:p>
    <w:p>
      <w:pPr>
        <w:pStyle w:val="2"/>
      </w:pPr>
    </w:p>
    <w:p>
      <w:pPr>
        <w:pStyle w:val="2"/>
      </w:pP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6"/>
        <w:spacing w:before="0" w:after="0" w:line="360" w:lineRule="exact"/>
        <w:ind w:firstLine="135" w:firstLineChars="42"/>
        <w:jc w:val="center"/>
        <w:rPr>
          <w:lang w:val="zh-CN"/>
        </w:rPr>
      </w:pPr>
    </w:p>
    <w:p>
      <w:pPr>
        <w:pStyle w:val="5"/>
        <w:rPr>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2"/>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 一般约定</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 词语定义</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1.1.1合同</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 合同当事人及其他相关方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1.1.2.4监理人：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名    称：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资质类别和等级：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1.1.2.5 设计人：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名    称：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资质类别和等级：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1.1.3 工程和设备</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1.3法律 </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 标准和规范</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 合同文件的优先顺序</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合同文件组成及优先顺序为：</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（1）合同协议书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（2）中标通知书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（3）投标函及其附件(含投标承诺书)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（4）本合同专用条款</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（5）通用合同条款</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（6）标准、规范及有关技术文件</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（7）图纸</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（8）工程量清单</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（9）甲方委托编制的预算书</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 图纸和乙方文件</w:t>
      </w:r>
      <w:r>
        <w:rPr>
          <w:rFonts w:hint="eastAsia"/>
          <w:sz w:val="24"/>
          <w:szCs w:val="24"/>
        </w:rPr>
        <w:tab/>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1.6.1 图纸的提供</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1.6.4 乙方文件</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1.6.5 现场图纸准备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 联络</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1.10 交通运输</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1.10.1 出入现场的权利</w:t>
      </w:r>
    </w:p>
    <w:p>
      <w:pPr>
        <w:pageBreakBefore w:val="0"/>
        <w:widowControl w:val="0"/>
        <w:kinsoku/>
        <w:wordWrap/>
        <w:overflowPunct/>
        <w:topLinePunct w:val="0"/>
        <w:bidi w:val="0"/>
        <w:spacing w:line="480" w:lineRule="exact"/>
        <w:ind w:firstLine="360" w:firstLineChars="150"/>
        <w:textAlignment w:val="auto"/>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1.10.3 场内交通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1.10.4超大件和超重件的运输</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1.11 知识产权</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pageBreakBefore w:val="0"/>
        <w:widowControl w:val="0"/>
        <w:kinsoku/>
        <w:wordWrap/>
        <w:overflowPunct/>
        <w:topLinePunct w:val="0"/>
        <w:bidi w:val="0"/>
        <w:spacing w:line="480" w:lineRule="exact"/>
        <w:ind w:firstLine="360" w:firstLineChars="150"/>
        <w:textAlignment w:val="auto"/>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1.13工程量清单错误的修正</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1.13.1出现工程量清单错误时，是否调整合同价格：</w:t>
      </w:r>
      <w:r>
        <w:rPr>
          <w:rFonts w:hint="eastAsia"/>
          <w:sz w:val="24"/>
          <w:szCs w:val="24"/>
          <w:u w:val="single"/>
        </w:rPr>
        <w:t>/。</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2. 甲方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2.2 甲方代表</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甲方代表：</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姓    名：；</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职    务：；</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 施工现场、施工条件和基础资料的提供。</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2.4.1 提供施工现场</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2.4.2 提供施工条件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2.5 资金来源证明及支付担保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3. 乙方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3.1 乙方的一般义务</w:t>
      </w:r>
    </w:p>
    <w:p>
      <w:pPr>
        <w:pageBreakBefore w:val="0"/>
        <w:widowControl w:val="0"/>
        <w:kinsoku/>
        <w:wordWrap/>
        <w:overflowPunct/>
        <w:topLinePunct w:val="0"/>
        <w:bidi w:val="0"/>
        <w:spacing w:line="480" w:lineRule="exact"/>
        <w:jc w:val="left"/>
        <w:textAlignment w:val="auto"/>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20"/>
        <w:jc w:val="left"/>
        <w:textAlignment w:val="auto"/>
        <w:rPr>
          <w:sz w:val="24"/>
          <w:szCs w:val="24"/>
          <w:u w:val="single"/>
        </w:rPr>
      </w:pPr>
      <w:r>
        <w:rPr>
          <w:rFonts w:hint="eastAsia"/>
          <w:sz w:val="24"/>
          <w:szCs w:val="24"/>
          <w:u w:val="single"/>
        </w:rPr>
        <w:t>乙方须自行做好与其他多专业工种间的交叉协调与配合施工工作，并承担相关费用。</w:t>
      </w:r>
    </w:p>
    <w:p>
      <w:pPr>
        <w:pageBreakBefore w:val="0"/>
        <w:widowControl w:val="0"/>
        <w:kinsoku/>
        <w:wordWrap/>
        <w:overflowPunct/>
        <w:topLinePunct w:val="0"/>
        <w:autoSpaceDE w:val="0"/>
        <w:autoSpaceDN w:val="0"/>
        <w:bidi w:val="0"/>
        <w:adjustRightInd w:val="0"/>
        <w:spacing w:line="480" w:lineRule="exact"/>
        <w:jc w:val="left"/>
        <w:textAlignment w:val="auto"/>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3.2 项目经理</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 xml:space="preserve">3.2.1 </w:t>
      </w:r>
      <w:r>
        <w:rPr>
          <w:rFonts w:hint="eastAsia"/>
          <w:sz w:val="24"/>
          <w:szCs w:val="24"/>
        </w:rPr>
        <w:t>项目经理：</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姓    名：；</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身份证号：；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建造师执业资格等级：；</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建造师注册证书号：；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建造师执业印章号：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安全生产考核合格证书号：；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联系电话：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通信地址： </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 乙方人员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pageBreakBefore w:val="0"/>
        <w:widowControl w:val="0"/>
        <w:kinsoku/>
        <w:wordWrap/>
        <w:overflowPunct/>
        <w:topLinePunct w:val="0"/>
        <w:bidi w:val="0"/>
        <w:spacing w:line="480" w:lineRule="exact"/>
        <w:jc w:val="left"/>
        <w:textAlignment w:val="auto"/>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pageBreakBefore w:val="0"/>
        <w:widowControl w:val="0"/>
        <w:kinsoku/>
        <w:wordWrap/>
        <w:overflowPunct/>
        <w:topLinePunct w:val="0"/>
        <w:bidi w:val="0"/>
        <w:spacing w:line="480" w:lineRule="exact"/>
        <w:ind w:firstLine="200"/>
        <w:textAlignment w:val="auto"/>
        <w:rPr>
          <w:sz w:val="24"/>
          <w:szCs w:val="24"/>
        </w:rPr>
      </w:pPr>
      <w:r>
        <w:rPr>
          <w:rFonts w:hint="eastAsia"/>
          <w:sz w:val="24"/>
          <w:szCs w:val="24"/>
        </w:rPr>
        <w:t xml:space="preserve">  3.5 分包</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3.5.1 分包的一般约定</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pageBreakBefore w:val="0"/>
        <w:widowControl w:val="0"/>
        <w:kinsoku/>
        <w:wordWrap/>
        <w:overflowPunct/>
        <w:topLinePunct w:val="0"/>
        <w:bidi w:val="0"/>
        <w:spacing w:line="480" w:lineRule="exact"/>
        <w:ind w:firstLine="200"/>
        <w:textAlignment w:val="auto"/>
        <w:rPr>
          <w:sz w:val="24"/>
          <w:szCs w:val="24"/>
        </w:rPr>
      </w:pPr>
      <w:r>
        <w:rPr>
          <w:rFonts w:hint="eastAsia"/>
          <w:sz w:val="24"/>
          <w:szCs w:val="24"/>
        </w:rPr>
        <w:t xml:space="preserve">  3.5.2分包的确定</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3.5.4 分包合同价款</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3.6 工程照管与成品、半成品保护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3.7 履约担保</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甲方颁发工程接受证书后一次性无息退还履约保证金。</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4. 监理人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4.1监理人的一般规定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4.2 监理人员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总监理工程师：</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姓    名：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职    务：</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监理工程师执业资格证书号：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4.4 商定或确定</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在甲方和乙方不能通过协商达成一致意见时，甲方授权监理人对以下事项进行确定：</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5.1 质量要求</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关于工程奖项的约定：</w:t>
      </w:r>
      <w:r>
        <w:rPr>
          <w:rFonts w:hint="eastAsia"/>
          <w:sz w:val="24"/>
          <w:szCs w:val="24"/>
          <w:u w:val="single"/>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5.3 隐蔽工程检查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6.1安全文明施工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 xml:space="preserve"> 6.1.5 文明施工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（2）施工工作面内所有现场清理、矛盾协调处理等含在合同价内，结算时不予调整。</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（5）工程施工过程中遇到的地方矛盾及由此发生的费用由乙方自行负责。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（6）施工过程中如因乙方造成周边地上、地下附作物等损坏，均由乙方自行负责赔偿。</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7. 工期和进度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7.1 施工组织设计</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sz w:val="24"/>
          <w:szCs w:val="24"/>
        </w:rPr>
        <w:t xml:space="preserve">7.1.2 </w:t>
      </w:r>
      <w:r>
        <w:rPr>
          <w:rFonts w:hint="eastAsia"/>
          <w:kern w:val="0"/>
          <w:sz w:val="24"/>
          <w:szCs w:val="24"/>
        </w:rPr>
        <w:t>施工组织设计的提交和修改</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7.2 施工进度计划</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7.2.2 施工进度计划的修订</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7.3 开工</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7.3.1 开工准备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7.3.2开工通知</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7.4 测量放线</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7.5 工期延误</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7.5.1 因甲方原因导致工期延误</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7.5.2 因乙方原因导致工期延误</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7.6 不利物质条件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7.7异常恶劣的气候条件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甲方和乙方同意以下情形视为异常恶劣的气候条件：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7.9 提前竣工的奖励</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sz w:val="24"/>
          <w:szCs w:val="24"/>
          <w:u w:val="single"/>
        </w:rPr>
      </w:pPr>
      <w:r>
        <w:rPr>
          <w:rFonts w:hint="eastAsia" w:ascii="宋体" w:hAnsi="宋体" w:eastAsia="宋体" w:cs="宋体"/>
          <w:b w:val="0"/>
          <w:sz w:val="24"/>
          <w:szCs w:val="24"/>
        </w:rPr>
        <w:t>8. 材料与设备</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8.4材料与工程设备的保管与使用</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8.6 样品</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8.6.1 样品的报送与封存</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8.8 施工设备和临时设施</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rPr>
      </w:pPr>
      <w:r>
        <w:rPr>
          <w:rFonts w:hint="eastAsia"/>
          <w:sz w:val="24"/>
          <w:szCs w:val="24"/>
        </w:rPr>
        <w:t>8.8.1 乙方提供的施工设备和临时设施</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9. 试验与检验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9.1试验设备与试验人员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9.1.2 试验设备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9.4 现场工艺试验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10. 变更</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10.1变更的范围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10.4 变更估价</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10.4.1 变更估价原则</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关于变更估价的约定: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中标下浮率计算公式如下：</w:t>
      </w:r>
    </w:p>
    <w:p>
      <w:pPr>
        <w:pageBreakBefore w:val="0"/>
        <w:widowControl w:val="0"/>
        <w:kinsoku/>
        <w:wordWrap/>
        <w:overflowPunct/>
        <w:topLinePunct w:val="0"/>
        <w:bidi w:val="0"/>
        <w:snapToGrid w:val="0"/>
        <w:spacing w:line="480" w:lineRule="exact"/>
        <w:ind w:firstLine="2891" w:firstLineChars="1200"/>
        <w:textAlignment w:val="auto"/>
        <w:rPr>
          <w:b/>
          <w:bCs/>
          <w:sz w:val="24"/>
          <w:szCs w:val="24"/>
        </w:rPr>
      </w:pPr>
      <w:r>
        <w:rPr>
          <w:rFonts w:hint="eastAsia"/>
          <w:b/>
          <w:bCs/>
          <w:sz w:val="24"/>
          <w:szCs w:val="24"/>
        </w:rPr>
        <w:t>预算价- 中标价</w:t>
      </w:r>
    </w:p>
    <w:p>
      <w:pPr>
        <w:pageBreakBefore w:val="0"/>
        <w:widowControl w:val="0"/>
        <w:kinsoku/>
        <w:wordWrap/>
        <w:overflowPunct/>
        <w:topLinePunct w:val="0"/>
        <w:bidi w:val="0"/>
        <w:snapToGrid w:val="0"/>
        <w:spacing w:line="480" w:lineRule="exact"/>
        <w:ind w:firstLine="420"/>
        <w:jc w:val="left"/>
        <w:textAlignment w:val="auto"/>
        <w:rPr>
          <w:b/>
          <w:bCs/>
          <w:sz w:val="24"/>
          <w:szCs w:val="24"/>
        </w:rPr>
      </w:pPr>
      <w:r>
        <w:rPr>
          <w:rFonts w:hint="eastAsia"/>
          <w:b/>
          <w:bCs/>
          <w:sz w:val="24"/>
          <w:szCs w:val="24"/>
        </w:rPr>
        <w:t>下浮率 ＝--------------------------------------×100%</w:t>
      </w:r>
    </w:p>
    <w:p>
      <w:pPr>
        <w:pageBreakBefore w:val="0"/>
        <w:widowControl w:val="0"/>
        <w:kinsoku/>
        <w:wordWrap/>
        <w:overflowPunct/>
        <w:topLinePunct w:val="0"/>
        <w:bidi w:val="0"/>
        <w:snapToGrid w:val="0"/>
        <w:spacing w:line="480" w:lineRule="exact"/>
        <w:ind w:firstLine="3373" w:firstLineChars="1400"/>
        <w:textAlignment w:val="auto"/>
        <w:rPr>
          <w:b/>
          <w:bCs/>
          <w:sz w:val="24"/>
          <w:szCs w:val="24"/>
        </w:rPr>
      </w:pPr>
      <w:r>
        <w:rPr>
          <w:rFonts w:hint="eastAsia"/>
          <w:b/>
          <w:bCs/>
          <w:sz w:val="24"/>
          <w:szCs w:val="24"/>
        </w:rPr>
        <w:t>预算价</w:t>
      </w:r>
    </w:p>
    <w:p>
      <w:pPr>
        <w:pageBreakBefore w:val="0"/>
        <w:widowControl w:val="0"/>
        <w:kinsoku/>
        <w:wordWrap/>
        <w:overflowPunct/>
        <w:topLinePunct w:val="0"/>
        <w:bidi w:val="0"/>
        <w:snapToGrid w:val="0"/>
        <w:spacing w:line="480" w:lineRule="exact"/>
        <w:ind w:firstLine="4560"/>
        <w:textAlignment w:val="auto"/>
        <w:rPr>
          <w:sz w:val="28"/>
          <w:szCs w:val="28"/>
        </w:rPr>
      </w:pP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注：a、下浮率的计算均需扣除预算价中甲方暂列金额、暂估价（含上述二项的规费、税金）。</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10.5乙方的合理化建议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10.7 暂估价</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10.7.1 依法必须招标的暂估价项目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对于依法必须招标的暂估价项目的确认和批准由甲方另行确定。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10.7.2 不属于依法必须招标的暂估价项目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sz w:val="24"/>
          <w:szCs w:val="24"/>
        </w:rPr>
        <w:t>第3种方式：</w:t>
      </w:r>
      <w:r>
        <w:rPr>
          <w:rFonts w:hint="eastAsia"/>
          <w:kern w:val="0"/>
          <w:sz w:val="24"/>
          <w:szCs w:val="24"/>
        </w:rPr>
        <w:t>乙方直接实施的暂估价项目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10.8 暂列金额</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11. 价格调整</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11.1 市场价格波动引起的调整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第1种方式：采用价格指数进行价格调整。</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第2种方式：采用造价信息进行价格调整。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第3种方式：其他价格调整方式：</w:t>
      </w:r>
      <w:r>
        <w:rPr>
          <w:rFonts w:hint="eastAsia"/>
          <w:sz w:val="24"/>
          <w:szCs w:val="24"/>
          <w:u w:val="single"/>
        </w:rPr>
        <w:t>/。</w:t>
      </w:r>
    </w:p>
    <w:p>
      <w:pPr>
        <w:pageBreakBefore w:val="0"/>
        <w:widowControl w:val="0"/>
        <w:kinsoku/>
        <w:wordWrap/>
        <w:overflowPunct/>
        <w:topLinePunct w:val="0"/>
        <w:bidi w:val="0"/>
        <w:spacing w:line="480" w:lineRule="exact"/>
        <w:ind w:firstLine="361" w:firstLineChars="150"/>
        <w:jc w:val="left"/>
        <w:textAlignment w:val="auto"/>
        <w:rPr>
          <w:b/>
          <w:sz w:val="24"/>
          <w:szCs w:val="24"/>
        </w:rPr>
      </w:pPr>
      <w:r>
        <w:rPr>
          <w:rFonts w:hint="eastAsia"/>
          <w:b/>
          <w:sz w:val="24"/>
          <w:szCs w:val="24"/>
        </w:rPr>
        <w:t>12. 合同价格、计量与支付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12.1 合同价格形式：</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1、固定单价合同。</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注：本工程结算方式为：</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kern w:val="0"/>
          <w:sz w:val="24"/>
          <w:szCs w:val="24"/>
          <w:u w:val="single"/>
        </w:rPr>
        <w:t>中标价＋招标文件和合同约定可以调整的价格。</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工程结算方式为:工程竣工结算价=分部分项工程费用+措施项目费用+其他项目费用+规费+税金。</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本工程施工过程中遇到的地方矛盾及由此发生的费用由乙方自行负责。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工程所发生施工、生活、消防用水、用电由乙方自行解决并承担相关费用。</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清杂、运输、便道、便桥、用水、用电及周边矛盾等由乙方自行负责，费用含在合同价中。</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乙方应在甲方确认的完工日之日起28日内编制并向甲方报送工程结算进行审核。</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 xml:space="preserve">特别注明：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2、总价合同。</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12.2 预付款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12.2.1 预付款的支付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12.2.2 预付款担保</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12.3 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12.3.1 计量原则</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12.3.2 计量周期</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12.3.3 单价合同的计量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12.3.4 总价合同的计量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12.3.6 其他价格形式合同的计量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12.4 工程进度款支付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12.4.1 付款周期</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关于付款周期的约定：</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（1）本项目无预付款，经采购人组织竣工验收合格交付使用后支付至合同价的70%【如实际施工量不足，则以实际完成的工作额度为支付基数；如实际施工量超过合同量，则以合同量为支付基数）】；</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（2）工程竣工验收合格，采购人组织审计结束后支付至支付基数（审定价扣除水电费、应承担审计费、应承担处罚费等费用）的90%；</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（3）</w:t>
      </w:r>
      <w:r>
        <w:rPr>
          <w:rFonts w:hint="eastAsia"/>
          <w:b/>
          <w:bCs/>
          <w:sz w:val="24"/>
          <w:szCs w:val="24"/>
          <w:lang w:eastAsia="zh-CN"/>
        </w:rPr>
        <w:t>两</w:t>
      </w:r>
      <w:r>
        <w:rPr>
          <w:rFonts w:hint="eastAsia"/>
          <w:b/>
          <w:bCs/>
          <w:sz w:val="24"/>
          <w:szCs w:val="24"/>
        </w:rPr>
        <w:t>年免费保修期满且经采购人组织质保期满验收合格后，一次性付清所有剩余费用（无息）。</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12.4.2 进度付款申请单的编制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12.4.3 进度付款申请单的提交</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12.4.4 进度款审核和支付</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12.4.6 支付分解表的编制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13. 验收和工程试车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13.1 分部分项工程验收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13.2 竣工验收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13.2.2竣工验收程序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13.2.5移交、接收全部与部分工程</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13.3 工程试车</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13.3.1 试车程序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工程试车内容：</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13.3.3 投料试车</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13.6 竣工退场</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13.6.1 竣工退场</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14. 竣工结算</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14.1 竣工结算申请</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乙方提交竣工结算申请单的期限：按通用条款。</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14.2 竣工结算审核</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14.4 最终结清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14.4.1 最终结清申请单</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14.4.2 最终结清证书和支付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15. 缺陷责任期与保修</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15.2缺陷责任期</w:t>
      </w:r>
    </w:p>
    <w:p>
      <w:pPr>
        <w:pageBreakBefore w:val="0"/>
        <w:widowControl w:val="0"/>
        <w:kinsoku/>
        <w:wordWrap/>
        <w:overflowPunct/>
        <w:topLinePunct w:val="0"/>
        <w:bidi w:val="0"/>
        <w:spacing w:line="480" w:lineRule="exact"/>
        <w:ind w:firstLine="480" w:firstLineChars="200"/>
        <w:jc w:val="left"/>
        <w:textAlignment w:val="auto"/>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15.3 质量保证金</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在工程项目竣工前，乙方按专用合同条款第3.7条提供履约担保的，甲方不得同时预留工程质量保证金。</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15.3.1 乙方提供质量保证金的方式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 xml:space="preserve">（1）质量保证金保函，保证金额为： </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color w:val="0000FF"/>
          <w:kern w:val="0"/>
          <w:sz w:val="24"/>
          <w:szCs w:val="24"/>
        </w:rPr>
      </w:pPr>
      <w:r>
        <w:rPr>
          <w:rFonts w:hint="eastAsia"/>
          <w:color w:val="0000FF"/>
          <w:kern w:val="0"/>
          <w:sz w:val="24"/>
          <w:szCs w:val="24"/>
        </w:rPr>
        <w:t>（2）</w:t>
      </w:r>
      <w:r>
        <w:rPr>
          <w:rFonts w:hint="eastAsia"/>
          <w:color w:val="0000FF"/>
          <w:kern w:val="0"/>
          <w:sz w:val="24"/>
          <w:szCs w:val="24"/>
          <w:u w:val="single"/>
        </w:rPr>
        <w:t>10</w:t>
      </w:r>
      <w:r>
        <w:rPr>
          <w:rFonts w:hint="eastAsia"/>
          <w:color w:val="0000FF"/>
          <w:kern w:val="0"/>
          <w:sz w:val="24"/>
          <w:szCs w:val="24"/>
        </w:rPr>
        <w:t>%的工程款；</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 xml:space="preserve">（3）其他方式: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 xml:space="preserve">15.3.2 质量保证金的扣留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（2）工程竣工结算时一次性扣留质量保证金；</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15.4保修</w:t>
      </w:r>
    </w:p>
    <w:p>
      <w:pPr>
        <w:pageBreakBefore w:val="0"/>
        <w:widowControl w:val="0"/>
        <w:kinsoku/>
        <w:wordWrap/>
        <w:overflowPunct/>
        <w:topLinePunct w:val="0"/>
        <w:bidi w:val="0"/>
        <w:spacing w:line="480" w:lineRule="exact"/>
        <w:ind w:firstLine="468" w:firstLineChars="195"/>
        <w:jc w:val="left"/>
        <w:textAlignment w:val="auto"/>
        <w:rPr>
          <w:sz w:val="24"/>
          <w:szCs w:val="24"/>
        </w:rPr>
      </w:pPr>
      <w:r>
        <w:rPr>
          <w:rFonts w:hint="eastAsia"/>
          <w:sz w:val="24"/>
          <w:szCs w:val="24"/>
        </w:rPr>
        <w:t>15.4.1 保修责任</w:t>
      </w:r>
    </w:p>
    <w:p>
      <w:pPr>
        <w:pageBreakBefore w:val="0"/>
        <w:widowControl w:val="0"/>
        <w:kinsoku/>
        <w:wordWrap/>
        <w:overflowPunct/>
        <w:topLinePunct w:val="0"/>
        <w:bidi w:val="0"/>
        <w:spacing w:line="480" w:lineRule="exact"/>
        <w:ind w:firstLine="468" w:firstLineChars="195"/>
        <w:jc w:val="left"/>
        <w:textAlignment w:val="auto"/>
        <w:rPr>
          <w:kern w:val="0"/>
          <w:sz w:val="24"/>
          <w:szCs w:val="24"/>
          <w:u w:val="single"/>
        </w:rPr>
      </w:pPr>
      <w:r>
        <w:rPr>
          <w:rFonts w:hint="eastAsia"/>
          <w:sz w:val="24"/>
          <w:szCs w:val="24"/>
        </w:rPr>
        <w:t>工程保修期为：</w:t>
      </w:r>
      <w:r>
        <w:rPr>
          <w:rFonts w:hint="eastAsia"/>
          <w:sz w:val="24"/>
          <w:szCs w:val="24"/>
          <w:u w:val="single"/>
        </w:rPr>
        <w:t xml:space="preserve">   2年  </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15.4.3 修复通知</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乙方收到保修通知并到达工程现场的合理时间：</w:t>
      </w:r>
    </w:p>
    <w:p>
      <w:pPr>
        <w:pageBreakBefore w:val="0"/>
        <w:widowControl w:val="0"/>
        <w:numPr>
          <w:ilvl w:val="0"/>
          <w:numId w:val="3"/>
        </w:numPr>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16. 违约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16.1 甲方违约</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16.1.1甲方违约的情形</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left="1200" w:hanging="1200" w:hangingChars="500"/>
        <w:jc w:val="left"/>
        <w:textAlignment w:val="auto"/>
        <w:rPr>
          <w:kern w:val="0"/>
          <w:sz w:val="24"/>
          <w:szCs w:val="24"/>
        </w:rPr>
      </w:pPr>
      <w:r>
        <w:rPr>
          <w:rFonts w:hint="eastAsia"/>
          <w:kern w:val="0"/>
          <w:sz w:val="24"/>
          <w:szCs w:val="24"/>
        </w:rPr>
        <w:t xml:space="preserve">    16.1.2 甲方违约的责任</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甲方违约责任的承担方式和计算方法：</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16.1.3 因甲方违约解除合同</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16.2 乙方违约</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16.2.1 乙方违约的情形</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16.2.2乙方违约的责任</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16.2.3 因乙方违约解除合同</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关于乙方违约解除合同的特别约定：</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17.1 不可抗力的确认</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17.4 因不可抗力解除合同</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18. 保险</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18.1 工程保险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18.3 其他保险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18.7 通知义务</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20.3 争议评审</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20.3.1 争议评审小组的确定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20.3.2 争议评审小组的决定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20.4仲裁或诉讼</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5"/>
        <w:pageBreakBefore w:val="0"/>
        <w:widowControl w:val="0"/>
        <w:kinsoku/>
        <w:wordWrap/>
        <w:overflowPunct/>
        <w:topLinePunct w:val="0"/>
        <w:bidi w:val="0"/>
        <w:snapToGrid w:val="0"/>
        <w:spacing w:line="480" w:lineRule="exact"/>
        <w:textAlignment w:val="auto"/>
        <w:rPr>
          <w:rFonts w:hAnsi="宋体"/>
          <w:b/>
          <w:color w:val="000000"/>
          <w:sz w:val="24"/>
          <w:szCs w:val="24"/>
        </w:rPr>
      </w:pPr>
    </w:p>
    <w:p>
      <w:pPr>
        <w:pStyle w:val="25"/>
        <w:pageBreakBefore w:val="0"/>
        <w:widowControl w:val="0"/>
        <w:kinsoku/>
        <w:wordWrap/>
        <w:overflowPunct/>
        <w:topLinePunct w:val="0"/>
        <w:bidi w:val="0"/>
        <w:snapToGrid w:val="0"/>
        <w:spacing w:line="480" w:lineRule="exact"/>
        <w:textAlignment w:val="auto"/>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ind w:firstLine="484"/>
      </w:pPr>
      <w:r>
        <w:rPr>
          <w:rFonts w:hint="eastAsia"/>
          <w:sz w:val="24"/>
          <w:szCs w:val="24"/>
        </w:rPr>
        <w:t>甲方和乙方根据《中华人民共和国建筑法》和《建设工程质量管理条例》，经协商一致就</w:t>
      </w:r>
      <w:r>
        <w:rPr>
          <w:rFonts w:hint="eastAsia"/>
          <w:sz w:val="24"/>
          <w:szCs w:val="24"/>
          <w:u w:val="single"/>
        </w:rPr>
        <w:t>盐城幼儿师范高等专科学校</w:t>
      </w:r>
      <w:r>
        <w:rPr>
          <w:rFonts w:hint="eastAsia"/>
          <w:sz w:val="24"/>
          <w:szCs w:val="24"/>
          <w:u w:val="single"/>
          <w:lang w:eastAsia="zh-CN"/>
        </w:rPr>
        <w:t>学海路校区食堂强电间强电线路改造</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lang w:val="en-US" w:eastAsia="zh-CN"/>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2"/>
        <w:ind w:firstLine="481"/>
      </w:pPr>
    </w:p>
    <w:p>
      <w:pPr>
        <w:pStyle w:val="2"/>
        <w:ind w:firstLine="481"/>
      </w:pPr>
    </w:p>
    <w:p>
      <w:pPr>
        <w:pStyle w:val="2"/>
        <w:ind w:firstLine="481"/>
      </w:pPr>
    </w:p>
    <w:p>
      <w:pPr>
        <w:pStyle w:val="2"/>
        <w:ind w:firstLine="481"/>
      </w:pPr>
    </w:p>
    <w:p>
      <w:pPr>
        <w:pStyle w:val="2"/>
        <w:ind w:firstLine="481"/>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spacing w:line="440" w:lineRule="exact"/>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spacing w:line="440" w:lineRule="exact"/>
        <w:ind w:firstLine="482" w:firstLineChars="200"/>
        <w:rPr>
          <w:b/>
          <w:sz w:val="24"/>
          <w:szCs w:val="24"/>
        </w:rPr>
      </w:pPr>
      <w:r>
        <w:rPr>
          <w:rFonts w:hint="eastAsia"/>
          <w:b/>
          <w:sz w:val="24"/>
          <w:szCs w:val="24"/>
        </w:rPr>
        <w:t>一、建立以项目经理为首的安全保证体系</w:t>
      </w:r>
    </w:p>
    <w:p>
      <w:pPr>
        <w:spacing w:line="440" w:lineRule="exact"/>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40" w:lineRule="exact"/>
        <w:ind w:firstLine="482" w:firstLineChars="200"/>
        <w:rPr>
          <w:b/>
          <w:sz w:val="24"/>
          <w:szCs w:val="24"/>
        </w:rPr>
      </w:pPr>
      <w:r>
        <w:rPr>
          <w:rFonts w:hint="eastAsia"/>
          <w:b/>
          <w:sz w:val="24"/>
          <w:szCs w:val="24"/>
        </w:rPr>
        <w:t>1、建立健全各项安全管理制度</w:t>
      </w:r>
    </w:p>
    <w:p>
      <w:pPr>
        <w:spacing w:line="440" w:lineRule="exact"/>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sz w:val="24"/>
          <w:szCs w:val="24"/>
        </w:rPr>
      </w:pPr>
      <w:r>
        <w:rPr>
          <w:rFonts w:hint="eastAsia"/>
          <w:b/>
          <w:sz w:val="24"/>
          <w:szCs w:val="24"/>
        </w:rPr>
        <w:t>2、建立安全教育制度</w:t>
      </w:r>
    </w:p>
    <w:p>
      <w:pPr>
        <w:spacing w:line="440" w:lineRule="exact"/>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sz w:val="24"/>
          <w:szCs w:val="24"/>
        </w:rPr>
      </w:pPr>
      <w:r>
        <w:rPr>
          <w:rFonts w:hint="eastAsia"/>
          <w:b/>
          <w:sz w:val="24"/>
          <w:szCs w:val="24"/>
        </w:rPr>
        <w:t>3、坚持安全检查制度</w:t>
      </w:r>
    </w:p>
    <w:p>
      <w:pPr>
        <w:spacing w:line="440" w:lineRule="exact"/>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40" w:lineRule="exact"/>
        <w:ind w:firstLine="482" w:firstLineChars="200"/>
        <w:rPr>
          <w:b/>
          <w:sz w:val="24"/>
          <w:szCs w:val="24"/>
        </w:rPr>
      </w:pPr>
      <w:r>
        <w:rPr>
          <w:rFonts w:hint="eastAsia"/>
          <w:b/>
          <w:sz w:val="24"/>
          <w:szCs w:val="24"/>
        </w:rPr>
        <w:t>4、坚持安全交底制度</w:t>
      </w:r>
    </w:p>
    <w:p>
      <w:pPr>
        <w:spacing w:line="440" w:lineRule="exact"/>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sz w:val="24"/>
          <w:szCs w:val="24"/>
        </w:rPr>
      </w:pPr>
      <w:r>
        <w:rPr>
          <w:rFonts w:hint="eastAsia"/>
          <w:b/>
          <w:sz w:val="24"/>
          <w:szCs w:val="24"/>
        </w:rPr>
        <w:t>5、规范安全事故处理制度</w:t>
      </w:r>
    </w:p>
    <w:p>
      <w:pPr>
        <w:spacing w:line="440" w:lineRule="exact"/>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sz w:val="24"/>
          <w:szCs w:val="24"/>
        </w:rPr>
      </w:pPr>
      <w:r>
        <w:rPr>
          <w:rFonts w:hint="eastAsia"/>
          <w:b/>
          <w:sz w:val="24"/>
          <w:szCs w:val="24"/>
        </w:rPr>
        <w:t>6、坚持特殊工种持证上岗制度</w:t>
      </w:r>
    </w:p>
    <w:p>
      <w:pPr>
        <w:spacing w:line="440" w:lineRule="exact"/>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40" w:lineRule="exact"/>
        <w:ind w:firstLine="482" w:firstLineChars="200"/>
        <w:rPr>
          <w:b/>
          <w:sz w:val="24"/>
          <w:szCs w:val="24"/>
        </w:rPr>
      </w:pPr>
      <w:r>
        <w:rPr>
          <w:rFonts w:hint="eastAsia"/>
          <w:b/>
          <w:sz w:val="24"/>
          <w:szCs w:val="24"/>
        </w:rPr>
        <w:t>二、安全施工措施</w:t>
      </w:r>
    </w:p>
    <w:p>
      <w:pPr>
        <w:spacing w:line="440" w:lineRule="exact"/>
        <w:ind w:firstLine="413"/>
        <w:rPr>
          <w:b/>
          <w:sz w:val="24"/>
          <w:szCs w:val="24"/>
        </w:rPr>
      </w:pPr>
      <w:r>
        <w:rPr>
          <w:rFonts w:hint="eastAsia"/>
          <w:b/>
          <w:sz w:val="24"/>
          <w:szCs w:val="24"/>
        </w:rPr>
        <w:t>1、强电施工安全管理</w:t>
      </w:r>
    </w:p>
    <w:p>
      <w:pPr>
        <w:spacing w:line="440" w:lineRule="exact"/>
        <w:ind w:firstLine="420"/>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sz w:val="24"/>
          <w:szCs w:val="24"/>
        </w:rPr>
      </w:pPr>
      <w:r>
        <w:rPr>
          <w:rFonts w:hint="eastAsia"/>
          <w:b/>
          <w:sz w:val="24"/>
          <w:szCs w:val="24"/>
        </w:rPr>
        <w:t>2、施工用水安全管理</w:t>
      </w:r>
    </w:p>
    <w:p>
      <w:pPr>
        <w:spacing w:line="440" w:lineRule="exact"/>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sz w:val="24"/>
          <w:szCs w:val="24"/>
        </w:rPr>
      </w:pPr>
      <w:r>
        <w:rPr>
          <w:rFonts w:hint="eastAsia"/>
          <w:b/>
          <w:sz w:val="24"/>
          <w:szCs w:val="24"/>
        </w:rPr>
        <w:t>3、用气用火安全管理</w:t>
      </w:r>
    </w:p>
    <w:p>
      <w:pPr>
        <w:spacing w:line="440" w:lineRule="exact"/>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sz w:val="24"/>
          <w:szCs w:val="24"/>
        </w:rPr>
      </w:pPr>
      <w:r>
        <w:rPr>
          <w:rFonts w:hint="eastAsia"/>
          <w:b/>
          <w:sz w:val="24"/>
          <w:szCs w:val="24"/>
        </w:rPr>
        <w:t>4、机械设备使用安全管理</w:t>
      </w:r>
    </w:p>
    <w:p>
      <w:pPr>
        <w:spacing w:line="440" w:lineRule="exact"/>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sz w:val="24"/>
          <w:szCs w:val="24"/>
        </w:rPr>
      </w:pPr>
      <w:r>
        <w:rPr>
          <w:rFonts w:hint="eastAsia"/>
          <w:b/>
          <w:sz w:val="24"/>
          <w:szCs w:val="24"/>
        </w:rPr>
        <w:t>5、施工区域安全管理</w:t>
      </w:r>
    </w:p>
    <w:p>
      <w:pPr>
        <w:shd w:val="clear" w:color="000000" w:fill="FFFFFF"/>
        <w:spacing w:line="440" w:lineRule="exact"/>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pPr>
        <w:spacing w:line="440" w:lineRule="exact"/>
        <w:rPr>
          <w:b/>
          <w:sz w:val="24"/>
          <w:szCs w:val="24"/>
        </w:rPr>
      </w:pPr>
      <w:r>
        <w:rPr>
          <w:rFonts w:hint="eastAsia"/>
          <w:b/>
          <w:sz w:val="24"/>
          <w:szCs w:val="24"/>
        </w:rPr>
        <w:t>三、文明施工要求</w:t>
      </w:r>
    </w:p>
    <w:p>
      <w:pPr>
        <w:shd w:val="clear" w:color="000000" w:fill="FFFFFF"/>
        <w:spacing w:line="440" w:lineRule="exact"/>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sz w:val="24"/>
          <w:szCs w:val="24"/>
        </w:rPr>
      </w:pPr>
      <w:r>
        <w:rPr>
          <w:rFonts w:hint="eastAsia"/>
          <w:sz w:val="24"/>
          <w:szCs w:val="24"/>
        </w:rPr>
        <w:t>3、施工队伍须响应学校管理，车辆进出校门须遵守门卫有关规定。</w:t>
      </w:r>
    </w:p>
    <w:p>
      <w:pPr>
        <w:spacing w:line="440" w:lineRule="exact"/>
        <w:ind w:firstLine="480"/>
        <w:rPr>
          <w:sz w:val="24"/>
          <w:szCs w:val="24"/>
        </w:rPr>
      </w:pPr>
      <w:r>
        <w:rPr>
          <w:rFonts w:hint="eastAsia"/>
          <w:sz w:val="24"/>
          <w:szCs w:val="24"/>
        </w:rPr>
        <w:t>4、建筑材料须有序堆放，不得堆放在道路上，不得影响师生出行，不得在道路上搅拌砂浆、砼。</w:t>
      </w:r>
    </w:p>
    <w:p>
      <w:pPr>
        <w:spacing w:line="440" w:lineRule="exact"/>
        <w:ind w:firstLine="480"/>
        <w:rPr>
          <w:sz w:val="24"/>
          <w:szCs w:val="24"/>
        </w:rPr>
      </w:pPr>
      <w:r>
        <w:rPr>
          <w:rFonts w:hint="eastAsia"/>
          <w:sz w:val="24"/>
          <w:szCs w:val="24"/>
        </w:rPr>
        <w:t>5、施工中未经甲方同意或有关部门批准，不得随意拆改原建筑物结构及各种设备管线。</w:t>
      </w:r>
    </w:p>
    <w:p>
      <w:pPr>
        <w:spacing w:line="440" w:lineRule="exact"/>
        <w:ind w:firstLine="480"/>
        <w:rPr>
          <w:sz w:val="24"/>
          <w:szCs w:val="24"/>
        </w:rPr>
      </w:pPr>
      <w:r>
        <w:rPr>
          <w:rFonts w:hint="eastAsia"/>
          <w:sz w:val="24"/>
          <w:szCs w:val="24"/>
        </w:rPr>
        <w:t>6、工程竣工未移交甲方之前，乙方负责对现场的一切设施和工程成品进行保护。</w:t>
      </w:r>
    </w:p>
    <w:p>
      <w:pPr>
        <w:spacing w:line="440" w:lineRule="exact"/>
        <w:rPr>
          <w:b/>
          <w:sz w:val="24"/>
          <w:szCs w:val="24"/>
        </w:rPr>
      </w:pPr>
      <w:r>
        <w:rPr>
          <w:rFonts w:hint="eastAsia"/>
          <w:b/>
          <w:sz w:val="24"/>
          <w:szCs w:val="24"/>
        </w:rPr>
        <w:t>四、安全责任</w:t>
      </w:r>
    </w:p>
    <w:p>
      <w:pPr>
        <w:shd w:val="clear" w:color="000000" w:fill="FFFFFF"/>
        <w:spacing w:line="440" w:lineRule="exact"/>
        <w:ind w:firstLine="480"/>
        <w:jc w:val="left"/>
        <w:rPr>
          <w:sz w:val="24"/>
          <w:szCs w:val="24"/>
        </w:rPr>
      </w:pPr>
      <w:r>
        <w:rPr>
          <w:rFonts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hd w:val="clear" w:color="000000" w:fill="FFFFFF"/>
        <w:spacing w:line="440" w:lineRule="exact"/>
        <w:ind w:firstLine="480"/>
        <w:jc w:val="left"/>
        <w:rPr>
          <w:sz w:val="24"/>
          <w:szCs w:val="24"/>
        </w:rPr>
      </w:pPr>
      <w:r>
        <w:rPr>
          <w:rFonts w:hint="eastAsia"/>
          <w:sz w:val="24"/>
          <w:szCs w:val="24"/>
        </w:rPr>
        <w:t>2、乙方必须确保此工程安全（上下班交通安全、施工场地内及施工运输过程中的安全，包括工作期间饮酒），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hd w:val="clear" w:color="000000" w:fill="FFFFFF"/>
        <w:spacing w:line="440" w:lineRule="exact"/>
        <w:ind w:firstLine="480"/>
        <w:jc w:val="left"/>
        <w:rPr>
          <w:sz w:val="24"/>
          <w:szCs w:val="24"/>
        </w:rPr>
      </w:pPr>
      <w:r>
        <w:rPr>
          <w:rFonts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hd w:val="clear" w:color="000000" w:fill="FFFFFF"/>
        <w:spacing w:line="440" w:lineRule="exact"/>
        <w:ind w:firstLine="480"/>
        <w:jc w:val="left"/>
        <w:rPr>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hd w:val="clear" w:color="000000" w:fill="FFFFFF"/>
        <w:spacing w:line="440" w:lineRule="exact"/>
        <w:ind w:firstLine="480"/>
        <w:jc w:val="left"/>
        <w:rPr>
          <w:sz w:val="24"/>
          <w:szCs w:val="24"/>
        </w:rPr>
      </w:pPr>
      <w:r>
        <w:rPr>
          <w:rFonts w:hint="eastAsia"/>
          <w:sz w:val="24"/>
          <w:szCs w:val="24"/>
        </w:rPr>
        <w:t>乙方在施工中污染周围环境、施工噪音干扰他人等所引起的政府职能部门罚款或停工整改或引起周围居民纠纷和索赔时，其所有发生的费用与损失将全部由乙方自行承担。</w:t>
      </w:r>
    </w:p>
    <w:p>
      <w:pPr>
        <w:shd w:val="clear" w:color="000000" w:fill="FFFFFF"/>
        <w:spacing w:line="440" w:lineRule="exact"/>
        <w:ind w:firstLine="480"/>
        <w:jc w:val="left"/>
        <w:rPr>
          <w:sz w:val="24"/>
          <w:szCs w:val="24"/>
        </w:rPr>
      </w:pPr>
      <w:r>
        <w:rPr>
          <w:rFonts w:hint="eastAsia"/>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rPr>
          <w:sz w:val="24"/>
          <w:szCs w:val="24"/>
        </w:rPr>
      </w:pPr>
    </w:p>
    <w:p>
      <w:pPr>
        <w:pStyle w:val="2"/>
      </w:pPr>
    </w:p>
    <w:p>
      <w:pPr>
        <w:pStyle w:val="2"/>
      </w:pPr>
    </w:p>
    <w:p>
      <w:pPr>
        <w:pStyle w:val="2"/>
      </w:pPr>
    </w:p>
    <w:p>
      <w:pPr>
        <w:pStyle w:val="2"/>
      </w:pPr>
    </w:p>
    <w:p>
      <w:pPr>
        <w:pStyle w:val="2"/>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pStyle w:val="2"/>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2"/>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pStyle w:val="2"/>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keepNext w:val="0"/>
        <w:keepLines w:val="0"/>
        <w:pageBreakBefore w:val="0"/>
        <w:shd w:val="clear" w:color="auto" w:fill="FFFFFF"/>
        <w:kinsoku/>
        <w:wordWrap/>
        <w:overflowPunct/>
        <w:topLinePunct w:val="0"/>
        <w:autoSpaceDE/>
        <w:autoSpaceDN/>
        <w:bidi w:val="0"/>
        <w:adjustRightInd/>
        <w:spacing w:line="480" w:lineRule="exact"/>
        <w:textAlignment w:val="auto"/>
        <w:rPr>
          <w:b/>
          <w:sz w:val="24"/>
          <w:szCs w:val="24"/>
        </w:rPr>
      </w:pPr>
      <w:r>
        <w:rPr>
          <w:rFonts w:hint="eastAsia"/>
          <w:b/>
          <w:sz w:val="24"/>
          <w:szCs w:val="24"/>
        </w:rPr>
        <w:t>一、项目内容</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包括但不限于</w:t>
      </w:r>
      <w:r>
        <w:rPr>
          <w:rFonts w:hint="eastAsia" w:asciiTheme="minorEastAsia" w:hAnsiTheme="minorEastAsia" w:eastAsiaTheme="minorEastAsia"/>
          <w:sz w:val="24"/>
          <w:szCs w:val="24"/>
          <w:lang w:eastAsia="zh-CN"/>
        </w:rPr>
        <w:t>配电箱检修改造安装、电缆抽取敷设、线路检查标识</w:t>
      </w:r>
      <w:r>
        <w:rPr>
          <w:rFonts w:hint="eastAsia" w:asciiTheme="minorEastAsia" w:hAnsiTheme="minorEastAsia" w:eastAsiaTheme="minorEastAsia"/>
          <w:sz w:val="24"/>
          <w:szCs w:val="24"/>
        </w:rPr>
        <w:t>等。招标人保留对上述</w:t>
      </w:r>
      <w:r>
        <w:rPr>
          <w:rFonts w:hint="eastAsia" w:asciiTheme="minorEastAsia" w:hAnsiTheme="minorEastAsia" w:eastAsiaTheme="minorEastAsia"/>
          <w:sz w:val="24"/>
          <w:szCs w:val="24"/>
          <w:lang w:eastAsia="zh-CN"/>
        </w:rPr>
        <w:t>采购范围、数量等进行适当调整的权利，投标人无条件服从，不得异议，详见《工程量清单报价表》。</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1</w:t>
      </w:r>
      <w:r>
        <w:rPr>
          <w:rFonts w:hint="eastAsia" w:asciiTheme="minorEastAsia" w:hAnsiTheme="minorEastAsia" w:eastAsiaTheme="minorEastAsia"/>
          <w:color w:val="0000FF"/>
          <w:sz w:val="24"/>
          <w:szCs w:val="24"/>
          <w:lang w:eastAsia="zh-CN"/>
        </w:rPr>
        <w:t>、开闭所到强电间：</w:t>
      </w:r>
      <w:r>
        <w:rPr>
          <w:rFonts w:hint="eastAsia" w:asciiTheme="minorEastAsia" w:hAnsiTheme="minorEastAsia" w:eastAsiaTheme="minorEastAsia"/>
          <w:color w:val="0000FF"/>
          <w:sz w:val="24"/>
          <w:szCs w:val="24"/>
          <w:lang w:val="en-US" w:eastAsia="zh-CN"/>
        </w:rPr>
        <w:t>2#开闭所内600A控开下分二路</w:t>
      </w:r>
      <w:r>
        <w:rPr>
          <w:rFonts w:hint="eastAsia" w:asciiTheme="minorEastAsia" w:hAnsiTheme="minorEastAsia" w:eastAsiaTheme="minorEastAsia"/>
          <w:color w:val="0000FF"/>
          <w:sz w:val="24"/>
          <w:szCs w:val="24"/>
          <w:lang w:eastAsia="zh-CN"/>
        </w:rPr>
        <w:t>敷设240×4电缆到食堂一层中部强电间（已完成）。</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2</w:t>
      </w:r>
      <w:r>
        <w:rPr>
          <w:rFonts w:hint="eastAsia" w:asciiTheme="minorEastAsia" w:hAnsiTheme="minorEastAsia" w:eastAsiaTheme="minorEastAsia"/>
          <w:color w:val="0000FF"/>
          <w:sz w:val="24"/>
          <w:szCs w:val="24"/>
          <w:lang w:eastAsia="zh-CN"/>
        </w:rPr>
        <w:t>、拆除原食堂一层中部强电间内和第三层强电间内所有配电箱柜电缆线，电线贴上标签保留；原有弱电箱一只拆除。原有</w:t>
      </w:r>
      <w:r>
        <w:rPr>
          <w:rFonts w:hint="eastAsia" w:asciiTheme="minorEastAsia" w:hAnsiTheme="minorEastAsia" w:eastAsiaTheme="minorEastAsia"/>
          <w:color w:val="0000FF"/>
          <w:sz w:val="24"/>
          <w:szCs w:val="24"/>
          <w:lang w:val="en-US" w:eastAsia="zh-CN"/>
        </w:rPr>
        <w:t>1-3层食堂</w:t>
      </w:r>
      <w:r>
        <w:rPr>
          <w:rFonts w:hint="eastAsia" w:asciiTheme="minorEastAsia" w:hAnsiTheme="minorEastAsia" w:eastAsiaTheme="minorEastAsia"/>
          <w:color w:val="0000FF"/>
          <w:sz w:val="24"/>
          <w:szCs w:val="24"/>
          <w:lang w:eastAsia="zh-CN"/>
        </w:rPr>
        <w:t>备餐间内的原电缆可以供新承包人继续利用，但必须从</w:t>
      </w:r>
      <w:r>
        <w:rPr>
          <w:rFonts w:hint="eastAsia" w:asciiTheme="minorEastAsia" w:hAnsiTheme="minorEastAsia" w:eastAsiaTheme="minorEastAsia"/>
          <w:color w:val="0000FF"/>
          <w:sz w:val="24"/>
          <w:szCs w:val="24"/>
          <w:lang w:val="en-US" w:eastAsia="zh-CN"/>
        </w:rPr>
        <w:t>2只新指定的配电箱内连接</w:t>
      </w:r>
      <w:r>
        <w:rPr>
          <w:rFonts w:hint="eastAsia" w:asciiTheme="minorEastAsia" w:hAnsiTheme="minorEastAsia" w:eastAsiaTheme="minorEastAsia"/>
          <w:color w:val="0000FF"/>
          <w:sz w:val="24"/>
          <w:szCs w:val="24"/>
          <w:lang w:eastAsia="zh-CN"/>
        </w:rPr>
        <w:t>。其他拆除物资根据学校意见运送到指定地点存放。</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3</w:t>
      </w:r>
      <w:r>
        <w:rPr>
          <w:rFonts w:hint="eastAsia" w:asciiTheme="minorEastAsia" w:hAnsiTheme="minorEastAsia" w:eastAsiaTheme="minorEastAsia"/>
          <w:color w:val="0000FF"/>
          <w:sz w:val="24"/>
          <w:szCs w:val="24"/>
          <w:lang w:eastAsia="zh-CN"/>
        </w:rPr>
        <w:t>、在一层强电间内，增加170</w:t>
      </w:r>
      <w:r>
        <w:rPr>
          <w:rFonts w:hint="eastAsia" w:asciiTheme="minorEastAsia" w:hAnsiTheme="minorEastAsia" w:eastAsiaTheme="minorEastAsia"/>
          <w:color w:val="0000FF"/>
          <w:sz w:val="24"/>
          <w:szCs w:val="24"/>
          <w:lang w:val="en-US" w:eastAsia="zh-CN"/>
        </w:rPr>
        <w:t>0*</w:t>
      </w:r>
      <w:r>
        <w:rPr>
          <w:rFonts w:hint="eastAsia" w:asciiTheme="minorEastAsia" w:hAnsiTheme="minorEastAsia" w:eastAsiaTheme="minorEastAsia"/>
          <w:color w:val="0000FF"/>
          <w:sz w:val="24"/>
          <w:szCs w:val="24"/>
          <w:lang w:eastAsia="zh-CN"/>
        </w:rPr>
        <w:t>70</w:t>
      </w:r>
      <w:r>
        <w:rPr>
          <w:rFonts w:hint="eastAsia" w:asciiTheme="minorEastAsia" w:hAnsiTheme="minorEastAsia" w:eastAsiaTheme="minorEastAsia"/>
          <w:color w:val="0000FF"/>
          <w:sz w:val="24"/>
          <w:szCs w:val="24"/>
          <w:lang w:val="en-US" w:eastAsia="zh-CN"/>
        </w:rPr>
        <w:t>0*500</w:t>
      </w:r>
      <w:r>
        <w:rPr>
          <w:rFonts w:hint="eastAsia" w:asciiTheme="minorEastAsia" w:hAnsiTheme="minorEastAsia" w:eastAsiaTheme="minorEastAsia"/>
          <w:color w:val="0000FF"/>
          <w:sz w:val="24"/>
          <w:szCs w:val="24"/>
          <w:lang w:eastAsia="zh-CN"/>
        </w:rPr>
        <w:t>强电配电柜2只（内含400A控开</w:t>
      </w: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个、</w:t>
      </w:r>
      <w:r>
        <w:rPr>
          <w:rFonts w:hint="eastAsia" w:asciiTheme="minorEastAsia" w:hAnsiTheme="minorEastAsia" w:eastAsiaTheme="minorEastAsia"/>
          <w:color w:val="0000FF"/>
          <w:sz w:val="24"/>
          <w:szCs w:val="24"/>
          <w:lang w:val="en-US" w:eastAsia="zh-CN"/>
        </w:rPr>
        <w:t>160A控开2只、200:5</w:t>
      </w:r>
      <w:r>
        <w:rPr>
          <w:rFonts w:hint="eastAsia" w:asciiTheme="minorEastAsia" w:hAnsiTheme="minorEastAsia" w:eastAsiaTheme="minorEastAsia"/>
          <w:color w:val="0000FF"/>
          <w:sz w:val="24"/>
          <w:szCs w:val="24"/>
          <w:lang w:eastAsia="zh-CN"/>
        </w:rPr>
        <w:t>互感器</w:t>
      </w: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组、三相四线电表</w:t>
      </w: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只、</w:t>
      </w:r>
      <w:r>
        <w:rPr>
          <w:rFonts w:hint="eastAsia" w:asciiTheme="minorEastAsia" w:hAnsiTheme="minorEastAsia" w:eastAsiaTheme="minorEastAsia"/>
          <w:color w:val="0000FF"/>
          <w:sz w:val="24"/>
          <w:szCs w:val="24"/>
          <w:lang w:val="en-US" w:eastAsia="zh-CN"/>
        </w:rPr>
        <w:t>C45电流表6只等电器元件</w:t>
      </w:r>
      <w:r>
        <w:rPr>
          <w:rFonts w:hint="eastAsia" w:asciiTheme="minorEastAsia" w:hAnsiTheme="minorEastAsia" w:eastAsiaTheme="minorEastAsia"/>
          <w:color w:val="0000FF"/>
          <w:sz w:val="24"/>
          <w:szCs w:val="24"/>
          <w:lang w:eastAsia="zh-CN"/>
        </w:rPr>
        <w:t>，配电柜内采用铜排进行连接，配电柜上口采用绝缘板覆盖封堵泥密封）、学校备用弱电配电柜</w:t>
      </w:r>
      <w:r>
        <w:rPr>
          <w:rFonts w:hint="eastAsia" w:asciiTheme="minorEastAsia" w:hAnsiTheme="minorEastAsia" w:eastAsiaTheme="minorEastAsia"/>
          <w:color w:val="0000FF"/>
          <w:sz w:val="24"/>
          <w:szCs w:val="24"/>
          <w:lang w:val="en-US" w:eastAsia="zh-CN"/>
        </w:rPr>
        <w:t>1只</w:t>
      </w:r>
      <w:r>
        <w:rPr>
          <w:rFonts w:hint="eastAsia" w:asciiTheme="minorEastAsia" w:hAnsiTheme="minorEastAsia" w:eastAsiaTheme="minorEastAsia"/>
          <w:color w:val="0000FF"/>
          <w:sz w:val="24"/>
          <w:szCs w:val="24"/>
          <w:lang w:eastAsia="zh-CN"/>
        </w:rPr>
        <w:t>（供公共区域的弱电灯及安全岀口灯使用，内含100A控开2个、63AC45控开4个、</w:t>
      </w:r>
      <w:r>
        <w:rPr>
          <w:rFonts w:hint="eastAsia" w:asciiTheme="minorEastAsia" w:hAnsiTheme="minorEastAsia" w:eastAsiaTheme="minorEastAsia"/>
          <w:color w:val="0000FF"/>
          <w:sz w:val="24"/>
          <w:szCs w:val="24"/>
          <w:lang w:val="en-US" w:eastAsia="zh-CN"/>
        </w:rPr>
        <w:t>32AC45漏电4个</w:t>
      </w:r>
      <w:r>
        <w:rPr>
          <w:rFonts w:hint="eastAsia" w:asciiTheme="minorEastAsia" w:hAnsiTheme="minorEastAsia" w:eastAsiaTheme="minorEastAsia"/>
          <w:color w:val="0000FF"/>
          <w:sz w:val="24"/>
          <w:szCs w:val="24"/>
          <w:lang w:eastAsia="zh-CN"/>
        </w:rPr>
        <w:t>）。</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4</w:t>
      </w:r>
      <w:r>
        <w:rPr>
          <w:rFonts w:hint="eastAsia" w:asciiTheme="minorEastAsia" w:hAnsiTheme="minorEastAsia" w:eastAsiaTheme="minorEastAsia"/>
          <w:color w:val="0000FF"/>
          <w:sz w:val="24"/>
          <w:szCs w:val="24"/>
          <w:lang w:eastAsia="zh-CN"/>
        </w:rPr>
        <w:t>、一层食堂：从一层强电间内的一只强电配电柜内使用YJV4×95+1×50的电缆分二路至二次更衣室西墙上的两个配电箱（</w:t>
      </w:r>
      <w:r>
        <w:rPr>
          <w:rFonts w:hint="eastAsia" w:asciiTheme="minorEastAsia" w:hAnsiTheme="minorEastAsia" w:eastAsiaTheme="minorEastAsia"/>
          <w:color w:val="0000FF"/>
          <w:sz w:val="24"/>
          <w:szCs w:val="24"/>
          <w:lang w:val="en-US" w:eastAsia="zh-CN"/>
        </w:rPr>
        <w:t xml:space="preserve"> 尺寸为800*800*450，</w:t>
      </w:r>
      <w:r>
        <w:rPr>
          <w:rFonts w:hint="eastAsia" w:asciiTheme="minorEastAsia" w:hAnsiTheme="minorEastAsia" w:eastAsiaTheme="minorEastAsia"/>
          <w:color w:val="0000FF"/>
          <w:sz w:val="24"/>
          <w:szCs w:val="24"/>
          <w:lang w:eastAsia="zh-CN"/>
        </w:rPr>
        <w:t>内含400A控开2只，配电箱上口采用绝缘板覆盖封堵泥密封）。</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5</w:t>
      </w:r>
      <w:r>
        <w:rPr>
          <w:rFonts w:hint="eastAsia" w:asciiTheme="minorEastAsia" w:hAnsiTheme="minorEastAsia" w:eastAsiaTheme="minorEastAsia"/>
          <w:color w:val="0000FF"/>
          <w:sz w:val="24"/>
          <w:szCs w:val="24"/>
          <w:lang w:eastAsia="zh-CN"/>
        </w:rPr>
        <w:t>、二层食堂：从一层强电间内的一只强电配电柜内使用YJV4×95+1×50电缆分二路至二层强电间内的两只配电箱（原有第三层强电间内的一路YJV4×95+1×50电缆拆除后重新使用，配电箱</w:t>
      </w:r>
      <w:r>
        <w:rPr>
          <w:rFonts w:hint="eastAsia" w:asciiTheme="minorEastAsia" w:hAnsiTheme="minorEastAsia" w:eastAsiaTheme="minorEastAsia"/>
          <w:color w:val="0000FF"/>
          <w:sz w:val="24"/>
          <w:szCs w:val="24"/>
          <w:lang w:val="en-US" w:eastAsia="zh-CN"/>
        </w:rPr>
        <w:t>尺寸为800*800*450，</w:t>
      </w:r>
      <w:r>
        <w:rPr>
          <w:rFonts w:hint="eastAsia" w:asciiTheme="minorEastAsia" w:hAnsiTheme="minorEastAsia" w:eastAsiaTheme="minorEastAsia"/>
          <w:color w:val="0000FF"/>
          <w:sz w:val="24"/>
          <w:szCs w:val="24"/>
          <w:lang w:eastAsia="zh-CN"/>
        </w:rPr>
        <w:t>400A控开2只，配电箱上口采用绝缘板覆盖封堵泥密封）。</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color w:val="0000FF"/>
          <w:sz w:val="24"/>
          <w:szCs w:val="24"/>
          <w:lang w:val="en-US" w:eastAsia="zh-CN"/>
        </w:rPr>
        <w:t>6</w:t>
      </w:r>
      <w:r>
        <w:rPr>
          <w:rFonts w:hint="eastAsia" w:asciiTheme="minorEastAsia" w:hAnsiTheme="minorEastAsia" w:eastAsiaTheme="minorEastAsia"/>
          <w:color w:val="0000FF"/>
          <w:sz w:val="24"/>
          <w:szCs w:val="24"/>
          <w:lang w:eastAsia="zh-CN"/>
        </w:rPr>
        <w:t>、三层食堂：从一层强电间内的一只强电配电柜内使用YJV4×95+1×50电缆分二路至三层强电间内的两只配电箱（原有第三层强电间内的一路YJV4×95+1×50电缆拆除后重新使用，配电箱</w:t>
      </w:r>
      <w:r>
        <w:rPr>
          <w:rFonts w:hint="eastAsia" w:asciiTheme="minorEastAsia" w:hAnsiTheme="minorEastAsia" w:eastAsiaTheme="minorEastAsia"/>
          <w:color w:val="0000FF"/>
          <w:sz w:val="24"/>
          <w:szCs w:val="24"/>
          <w:lang w:val="en-US" w:eastAsia="zh-CN"/>
        </w:rPr>
        <w:t>尺寸为800*800*450，</w:t>
      </w:r>
      <w:r>
        <w:rPr>
          <w:rFonts w:hint="eastAsia" w:asciiTheme="minorEastAsia" w:hAnsiTheme="minorEastAsia" w:eastAsiaTheme="minorEastAsia"/>
          <w:color w:val="0000FF"/>
          <w:sz w:val="24"/>
          <w:szCs w:val="24"/>
          <w:lang w:eastAsia="zh-CN"/>
        </w:rPr>
        <w:t>400A控开2只，配电箱上口采用绝缘板覆盖封堵泥密封）。</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sz w:val="24"/>
          <w:szCs w:val="24"/>
          <w:lang w:eastAsia="zh-CN"/>
        </w:rPr>
      </w:pPr>
    </w:p>
    <w:p>
      <w:pPr>
        <w:keepNext w:val="0"/>
        <w:keepLines w:val="0"/>
        <w:pageBreakBefore w:val="0"/>
        <w:shd w:val="clear" w:color="auto" w:fill="FFFFFF"/>
        <w:kinsoku/>
        <w:wordWrap/>
        <w:overflowPunct/>
        <w:topLinePunct w:val="0"/>
        <w:autoSpaceDE/>
        <w:autoSpaceDN/>
        <w:bidi w:val="0"/>
        <w:adjustRightInd/>
        <w:spacing w:line="480" w:lineRule="exact"/>
        <w:textAlignment w:val="auto"/>
        <w:rPr>
          <w:b/>
          <w:sz w:val="24"/>
          <w:szCs w:val="24"/>
        </w:rPr>
      </w:pPr>
      <w:r>
        <w:rPr>
          <w:rFonts w:hint="eastAsia"/>
          <w:b/>
          <w:sz w:val="24"/>
          <w:szCs w:val="24"/>
        </w:rPr>
        <w:t>二、最高限价（预算）的编制</w:t>
      </w:r>
    </w:p>
    <w:p>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bCs/>
          <w:sz w:val="24"/>
          <w:szCs w:val="24"/>
        </w:rPr>
      </w:pPr>
      <w:r>
        <w:rPr>
          <w:rFonts w:hint="eastAsia" w:cs="仿宋" w:asciiTheme="minorEastAsia" w:hAnsiTheme="minorEastAsia" w:eastAsiaTheme="minorEastAsia"/>
          <w:sz w:val="24"/>
          <w:szCs w:val="24"/>
        </w:rPr>
        <w:t>项目预算价为人民</w:t>
      </w:r>
      <w:r>
        <w:rPr>
          <w:rFonts w:hint="eastAsia" w:cs="仿宋" w:asciiTheme="minorEastAsia" w:hAnsiTheme="minorEastAsia" w:eastAsiaTheme="minorEastAsia"/>
          <w:sz w:val="24"/>
          <w:szCs w:val="24"/>
          <w:lang w:val="en-US" w:eastAsia="zh-CN"/>
        </w:rPr>
        <w:t>币84954.74</w:t>
      </w:r>
      <w:r>
        <w:rPr>
          <w:rFonts w:hint="eastAsia" w:cs="仿宋" w:asciiTheme="minorEastAsia" w:hAnsiTheme="minorEastAsia" w:eastAsiaTheme="minorEastAsia"/>
          <w:sz w:val="24"/>
          <w:szCs w:val="24"/>
        </w:rPr>
        <w:t>元。</w:t>
      </w:r>
      <w:r>
        <w:rPr>
          <w:rFonts w:hint="eastAsia"/>
          <w:bCs/>
          <w:sz w:val="24"/>
          <w:szCs w:val="24"/>
        </w:rPr>
        <w:t>投标人的投标报价（包含本项目全部费用）不得超过最高限价，最高限价为：</w:t>
      </w:r>
      <w:r>
        <w:rPr>
          <w:rFonts w:hint="eastAsia" w:cs="仿宋" w:asciiTheme="minorEastAsia" w:hAnsiTheme="minorEastAsia" w:eastAsiaTheme="minorEastAsia"/>
          <w:sz w:val="24"/>
          <w:szCs w:val="24"/>
          <w:lang w:val="en-US" w:eastAsia="zh-CN"/>
        </w:rPr>
        <w:t>80000.00</w:t>
      </w:r>
      <w:r>
        <w:rPr>
          <w:rFonts w:hint="eastAsia"/>
          <w:bCs/>
          <w:sz w:val="24"/>
          <w:szCs w:val="24"/>
        </w:rPr>
        <w:t>元。</w:t>
      </w:r>
    </w:p>
    <w:p>
      <w:pPr>
        <w:keepNext w:val="0"/>
        <w:keepLines w:val="0"/>
        <w:pageBreakBefore w:val="0"/>
        <w:kinsoku/>
        <w:wordWrap/>
        <w:overflowPunct/>
        <w:topLinePunct w:val="0"/>
        <w:autoSpaceDE/>
        <w:autoSpaceDN/>
        <w:bidi w:val="0"/>
        <w:adjustRightInd/>
        <w:spacing w:line="480" w:lineRule="exact"/>
        <w:textAlignment w:val="auto"/>
        <w:rPr>
          <w:b/>
          <w:sz w:val="24"/>
          <w:szCs w:val="24"/>
        </w:rPr>
      </w:pPr>
      <w:r>
        <w:rPr>
          <w:rFonts w:hint="eastAsia"/>
          <w:b/>
          <w:sz w:val="24"/>
          <w:szCs w:val="24"/>
        </w:rPr>
        <w:t>三、最高限价确定的依据</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bCs/>
          <w:sz w:val="24"/>
          <w:szCs w:val="24"/>
        </w:rPr>
      </w:pPr>
      <w:r>
        <w:rPr>
          <w:rFonts w:hint="eastAsia"/>
          <w:bCs/>
          <w:sz w:val="24"/>
          <w:szCs w:val="24"/>
        </w:rPr>
        <w:t>本项目采用一般计税方法，按照施工图纸、招标文件（含工程量清单）、《建设工程工程量清单计价规范》（GB50500-2013）、《房屋建筑与装饰工程工程量计算规范》（GB50854-2013）、《市政工程工程量计算规范》（GB50857-2013）、</w:t>
      </w:r>
      <w:r>
        <w:rPr>
          <w:rFonts w:hint="eastAsia"/>
          <w:sz w:val="24"/>
          <w:szCs w:val="24"/>
        </w:rPr>
        <w:t>《通用安装工程工程量计算规范》</w:t>
      </w:r>
      <w:r>
        <w:rPr>
          <w:rFonts w:hint="eastAsia"/>
          <w:bCs/>
          <w:sz w:val="24"/>
          <w:szCs w:val="24"/>
        </w:rPr>
        <w:t>（GB50856-2013）……（以下简称《工程量计算规范》）；</w:t>
      </w:r>
      <w:r>
        <w:rPr>
          <w:rFonts w:hint="eastAsia"/>
          <w:sz w:val="24"/>
          <w:szCs w:val="24"/>
        </w:rPr>
        <w:t>《江苏省市政工程计价定额》（2014版）、《江苏省安装工程计价定额》（2014版）和《江苏省房屋建筑与装饰工程计价定额》（2014版）</w:t>
      </w:r>
      <w:r>
        <w:rPr>
          <w:rFonts w:hint="eastAsia"/>
          <w:bCs/>
          <w:sz w:val="24"/>
          <w:szCs w:val="24"/>
        </w:rPr>
        <w:t>……（以下简称《计价定额》）、《江苏省建设工程费用定额》（2014年）以及关于营改增后工程计价依据调整内容（苏建价[2016]154号）以下简称《费用定额》）、</w:t>
      </w:r>
      <w:r>
        <w:rPr>
          <w:rFonts w:hint="eastAsia"/>
          <w:b/>
          <w:sz w:val="24"/>
          <w:szCs w:val="24"/>
        </w:rPr>
        <w:t xml:space="preserve"> 2021年第6期《盐城工程造价》、</w:t>
      </w:r>
      <w:r>
        <w:rPr>
          <w:rFonts w:hint="eastAsia"/>
          <w:bCs/>
          <w:sz w:val="24"/>
          <w:szCs w:val="24"/>
        </w:rPr>
        <w:t>相关计价文件的规定，计算出分部分项工程费、措施项目费、其他项目费、规费、税金等确定工程预算价，工程预算价即最高限价。</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bCs/>
          <w:sz w:val="24"/>
          <w:szCs w:val="24"/>
        </w:rPr>
      </w:pPr>
      <w:r>
        <w:rPr>
          <w:rFonts w:hint="eastAsia"/>
          <w:bCs/>
          <w:sz w:val="24"/>
          <w:szCs w:val="24"/>
        </w:rPr>
        <w:t>（一）一般计税方法单位工程费用计费程序如下：</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sz w:val="24"/>
          <w:szCs w:val="24"/>
        </w:rPr>
      </w:pPr>
      <w:r>
        <w:rPr>
          <w:rFonts w:hint="eastAsia"/>
          <w:bCs/>
          <w:sz w:val="24"/>
          <w:szCs w:val="24"/>
        </w:rPr>
        <w:t>一）、分部分项工程费       人工费+材料费+施工机具使用费+管理费+利润；</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其  中：</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人工费                  人工消耗量×人工单价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材料费                  材料消耗量×除税材料单价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施工机具使用费          机械消耗量×除税机械单价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管理费                  按《费用定额》及苏建价[2016]154号计取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利  润                  按《费用定额》及苏建价[2016]154号计取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二）、措施项目费           单价措施费+总价措施费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单价措施项目费          清单工程量×除税综合单价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总价措施项目费         （分部分项工程费+单价措施项目费-除税工程设备费）×费率或以项计</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三）、其他项目费           详见工程量清单</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四)、规   费              （分部分项工程费+措施项目费+其他项目费-除税工程设备费）×费率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其中：</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1、环境保护税           （暂按招标人提供的工程量清单中的费率执行）。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2、社会保险费        （ 执行《费用定额》及苏建价[2016]154号规定的费率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3、住房公积金        （ 执行《费用定额》及苏建价[2016]154号规定的费率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五）、税  金         [分部分项工程费+措施项目费+其他项目费+规费-（除税甲供材料费+除税甲供设备费）/1.01]×费率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六）、工程造价     分部分项工程费+措施项目费+其他项目费+规费-（除税甲供材料 费+ 除税甲供设备费）/1.01+税金</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（二）、说明：</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一）、分部分项工程费用部分</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1、工程类别：按《费用定额》中的“工程类别划分”执行。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2、工程量按《建设工程工程量清单计价规范》、《工程量计算规范》、《费用定额》、《计价定额》及施工图纸等计算。</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3、人工工资单价参照苏建函价[2021]62号文件执行。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4、材料单价执行2021年第4期《盐城工程造价》市场指导价或市场信息价和招标人提供的《材料暂估价格表》中的暂定价格，无市场指导价或市场信息价和暂定价格的参照材料目前市场价格。</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5、机械单价中燃料费按2021年第6期 《盐城工程造价信息》市场指导价或市场信息价。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6、企业管理费按《费用定额》结合苏建价（2016）154号文中的“工程费用取费标准及有关规定”对应的取费标准计取。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7、利润率：按《费用定额》结合苏建价（2016）154号文中的“工程费用取费标准及有关规定”对应的取费标准计取。</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二）、措施项目部分：</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1、单价措施项目</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①脚手架工程：按清单工程量×除税综合单价。</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②混凝土模板及支架（撑）：按清单工程量×除税综合单价。</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③大型机械设备进出场及安拆：</w:t>
      </w:r>
    </w:p>
    <w:p>
      <w:pPr>
        <w:pStyle w:val="136"/>
        <w:keepNext w:val="0"/>
        <w:keepLines w:val="0"/>
        <w:pageBreakBefore w:val="0"/>
        <w:kinsoku/>
        <w:wordWrap/>
        <w:overflowPunct/>
        <w:topLinePunct w:val="0"/>
        <w:autoSpaceDE/>
        <w:autoSpaceDN/>
        <w:bidi w:val="0"/>
        <w:adjustRightInd/>
        <w:spacing w:line="480" w:lineRule="exact"/>
        <w:ind w:firstLine="240" w:firstLineChars="100"/>
        <w:textAlignment w:val="auto"/>
        <w:rPr>
          <w:rFonts w:cs="宋体"/>
          <w:bCs/>
          <w:sz w:val="24"/>
          <w:szCs w:val="24"/>
        </w:rPr>
      </w:pPr>
      <w:r>
        <w:rPr>
          <w:rFonts w:hint="eastAsia" w:cs="宋体"/>
          <w:bCs/>
          <w:sz w:val="24"/>
          <w:szCs w:val="24"/>
        </w:rPr>
        <w:t>④其他……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2、总价措施项目</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①通用的总价措施项目费：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1）、安全文明施工措施费：该费用为不可竞争费，在投标报价中应对照控制价文件等额计取最高限价编制和投标报价中应根据文件规定足额计取。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根据《费用定额》的规定，本招标工程的现场安全文明施工措施费标准投标时统一按招标工程量清单中的费率执行，不得作任何调整。</w:t>
      </w:r>
    </w:p>
    <w:p>
      <w:pPr>
        <w:keepNext w:val="0"/>
        <w:keepLines w:val="0"/>
        <w:pageBreakBefore w:val="0"/>
        <w:kinsoku/>
        <w:wordWrap/>
        <w:overflowPunct/>
        <w:topLinePunct w:val="0"/>
        <w:autoSpaceDE/>
        <w:autoSpaceDN/>
        <w:bidi w:val="0"/>
        <w:adjustRightInd/>
        <w:spacing w:line="480" w:lineRule="exact"/>
        <w:ind w:firstLine="482" w:firstLineChars="200"/>
        <w:textAlignment w:val="auto"/>
        <w:rPr>
          <w:b/>
          <w:sz w:val="24"/>
          <w:szCs w:val="24"/>
        </w:rPr>
      </w:pPr>
      <w:r>
        <w:rPr>
          <w:rFonts w:hint="eastAsia"/>
          <w:b/>
          <w:sz w:val="24"/>
          <w:szCs w:val="24"/>
        </w:rPr>
        <w:t>注：安全文明施工措施费根据工地代表过程跟踪书面验收意见予以确认结算。</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2）、夜间施工费：招标人在编制招标控制价时已按相关规定计取，投标人可根据工期要求及施工组织设计自行考虑。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3）、非夜间施工照明费：投标人可根据工期要求及施工组织设计自行考虑。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4）、二次搬运费：执行《计价定额》。</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5）、冬雨季施工增加费：招标人在编制招标控制价时已按相关规定计取，投标人可根据工期要求及施工组织设计自行考虑。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6）、地上地下设施、建筑物的临时保护设施费：执行《计价定额》。</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7）、已完工程及设备保护费：招标人在编制招标控制价时已按相关规定计取，投标人可根据工期要求及施工组织设计自行考虑。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8）、临时设施费：按分部分项工程费+单价措施项目费-除税工程设备费（费率按费用定额对应区间值中值）计算。</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9）、赶工措施费：招标人在编制招标控制价时已按相关规定计取，投标人可根据工期要求及施工组织设计自行考虑。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10）、工程按质论价费：招标人在编制招标控制价时未计取。</w:t>
      </w:r>
    </w:p>
    <w:p>
      <w:pPr>
        <w:pStyle w:val="136"/>
        <w:keepNext w:val="0"/>
        <w:keepLines w:val="0"/>
        <w:pageBreakBefore w:val="0"/>
        <w:kinsoku/>
        <w:wordWrap/>
        <w:overflowPunct/>
        <w:topLinePunct w:val="0"/>
        <w:autoSpaceDE/>
        <w:autoSpaceDN/>
        <w:bidi w:val="0"/>
        <w:adjustRightInd/>
        <w:spacing w:line="480" w:lineRule="exact"/>
        <w:ind w:firstLine="480" w:firstLineChars="0"/>
        <w:textAlignment w:val="auto"/>
        <w:rPr>
          <w:rFonts w:cs="宋体"/>
          <w:bCs/>
          <w:sz w:val="24"/>
          <w:szCs w:val="24"/>
        </w:rPr>
      </w:pPr>
      <w:r>
        <w:rPr>
          <w:rFonts w:hint="eastAsia" w:cs="宋体"/>
          <w:bCs/>
          <w:sz w:val="24"/>
          <w:szCs w:val="24"/>
        </w:rPr>
        <w:t>11）、特殊条件下施工增加费：招标人在编制招标控制价时不计取，投标人可根据工期要求及施工组织设计自行考虑。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480" w:firstLineChars="0"/>
        <w:textAlignment w:val="auto"/>
        <w:rPr>
          <w:rFonts w:cs="宋体"/>
          <w:bCs/>
          <w:sz w:val="24"/>
          <w:szCs w:val="24"/>
        </w:rPr>
      </w:pPr>
      <w:r>
        <w:rPr>
          <w:rFonts w:hint="eastAsia" w:cs="宋体"/>
          <w:bCs/>
          <w:sz w:val="24"/>
          <w:szCs w:val="24"/>
        </w:rPr>
        <w:t xml:space="preserve"> 12）、建筑工人实名制费用：按分部分项工程费+单价措施项目费-除税工程设备费（工程费率为0.03%）计算。</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3、专业措施项目</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三）、其他项目费用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1、暂列金额、暂估价：按招标人《其他项目清单与计价汇总表》执行。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暂估价是招标人在工程量清单中提供的用于支付必然发生但暂时不能确定价格的材料的单价以及专业工程的金额。包括材料暂估价和专业工程暂估价。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2、计日工：由承发包双方在施工合同中约定，招标时暂不考虑此项费用。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计日工是在施工过程中，完成招标人提出的施工图纸以外的零星项目或工作，按合同中约定的综合单价计价。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 xml:space="preserve">3、总承包服务费：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总承包服务费是总承包人为配合、协调招标人进行的专业工程发包，对招标人自行采购的材料、工程设备等进行保管以及施工现场管理、竣工资料汇总整理等服务所需的费用。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4、其余详见《其他项目清单与计价汇总表》。</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四）、规 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1、环境保护税：按江苏省住房城乡建设厅的（2018）24号文。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2、社会保险费和住房公积金：《费用定额》中的标准执行。</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五）、税 金：</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color w:val="000000"/>
          <w:sz w:val="24"/>
          <w:szCs w:val="24"/>
        </w:rPr>
      </w:pPr>
      <w:r>
        <w:rPr>
          <w:rFonts w:hint="eastAsia"/>
          <w:bCs/>
          <w:sz w:val="24"/>
          <w:szCs w:val="24"/>
        </w:rPr>
        <w:t>1、税金是指根据建筑服务销售价格，按规定税率计算的增值税销项税额。并以除税工程造价为计取基础，费率为9%。</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二、施工、交货地点：</w:t>
      </w:r>
      <w:r>
        <w:rPr>
          <w:rFonts w:hint="eastAsia"/>
          <w:bCs/>
          <w:sz w:val="24"/>
          <w:szCs w:val="24"/>
        </w:rPr>
        <w:t>盐城幼儿师范高等专科学校（南/北）校区采购人指定地点。</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三、工期：</w:t>
      </w:r>
      <w:r>
        <w:rPr>
          <w:rFonts w:hint="eastAsia"/>
          <w:bCs/>
          <w:sz w:val="24"/>
          <w:szCs w:val="24"/>
        </w:rPr>
        <w:t>签约后</w:t>
      </w:r>
      <w:r>
        <w:rPr>
          <w:rFonts w:hint="eastAsia"/>
          <w:bCs/>
          <w:sz w:val="24"/>
          <w:szCs w:val="24"/>
          <w:lang w:val="en-US" w:eastAsia="zh-CN"/>
        </w:rPr>
        <w:t>1</w:t>
      </w:r>
      <w:r>
        <w:rPr>
          <w:rFonts w:hint="eastAsia"/>
          <w:bCs/>
          <w:sz w:val="24"/>
          <w:szCs w:val="24"/>
        </w:rPr>
        <w:t>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四、质量要求及验收标准：</w:t>
      </w:r>
      <w:r>
        <w:rPr>
          <w:rFonts w:hint="eastAsia"/>
          <w:bCs/>
          <w:sz w:val="24"/>
          <w:szCs w:val="24"/>
        </w:rPr>
        <w:t>不低于采购人具体要求，不低于国家“合格”标准。</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五、免费保修期：</w:t>
      </w:r>
      <w:r>
        <w:rPr>
          <w:rFonts w:hint="eastAsia"/>
          <w:bCs/>
          <w:sz w:val="24"/>
          <w:szCs w:val="24"/>
          <w:lang w:eastAsia="zh-CN"/>
        </w:rPr>
        <w:t>两</w:t>
      </w:r>
      <w:r>
        <w:rPr>
          <w:rFonts w:hint="eastAsia"/>
          <w:bCs/>
          <w:sz w:val="24"/>
          <w:szCs w:val="24"/>
        </w:rPr>
        <w:t>年（自采购项目竣工验收合格之日起计）。如果竣工验收因采购人原因产生拖延，免费保修期应在全部工作量施工结束后第三十（30）天起计</w:t>
      </w:r>
      <w:r>
        <w:rPr>
          <w:rFonts w:hint="eastAsia"/>
          <w:bCs/>
          <w:sz w:val="24"/>
          <w:szCs w:val="24"/>
          <w:lang w:val="en-US" w:eastAsia="zh-CN"/>
        </w:rPr>
        <w:t>24</w:t>
      </w:r>
      <w:r>
        <w:rPr>
          <w:rFonts w:hint="eastAsia"/>
          <w:bCs/>
          <w:sz w:val="24"/>
          <w:szCs w:val="24"/>
        </w:rPr>
        <w:t>个月。</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六、报价方式：</w:t>
      </w:r>
      <w:r>
        <w:rPr>
          <w:rFonts w:hint="eastAsia"/>
          <w:bCs/>
          <w:sz w:val="24"/>
          <w:szCs w:val="24"/>
        </w:rPr>
        <w:t>投标人在投标文件中已标价的《工程量清单报价表》中各子项综合单价为完成本采购项目所有工作内容的全费用价格，该价格不予调整，工作量按实结算，项目最终的总支付金额根据验收情况按实结算。合同形式：固定全费用综合单价合同，合同价一律不调整，中标全费用综合单价不因物价上涨、法律、法规、标准及规范变化等任何因素予以调增；综合单价已经包含完成本采购文件约定的所有工作的全费用，包括投标人为完成采购文件（含货物清单）确定的采购范围内的以及中标后经采购人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完成本项目所有人员施工的一切费用、货物价格(含设计费)、包装费、运输费、卸货费、安装费、检测费（含声学检测、环保检测等检测费用）、</w:t>
      </w:r>
      <w:r>
        <w:rPr>
          <w:rFonts w:hint="eastAsia"/>
          <w:bCs/>
          <w:sz w:val="24"/>
          <w:szCs w:val="24"/>
          <w:lang w:eastAsia="zh-CN"/>
        </w:rPr>
        <w:t>免费质保费、</w:t>
      </w:r>
      <w:r>
        <w:rPr>
          <w:rFonts w:hint="eastAsia"/>
          <w:bCs/>
          <w:sz w:val="24"/>
          <w:szCs w:val="24"/>
        </w:rPr>
        <w:t>管理费、利润、规费、税金（增值税）、市场风险、国家政策性调整风险、不可预见费、规范安全施工、工完场清等一切费用，凡漏项或少计均视为优惠，采购人不另行增加费用。</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七、支付方式：（</w:t>
      </w:r>
      <w:r>
        <w:rPr>
          <w:rFonts w:hint="eastAsia"/>
          <w:bCs/>
          <w:sz w:val="24"/>
          <w:szCs w:val="24"/>
        </w:rPr>
        <w:t>1）本项目无预付款，经采购人组织竣工验收合格交付使用后支付至合同价的70%【如实际施工量不足，则以实际完成的工作额度为支付基数；如实际施工量超过合同量，则以合同量为支付基数）】；（2）工程竣工验收合格，采购人组织审计结束后支付至支付基数（审定价扣除水电费、应承担审计费、应承担处罚费等费用）的90%；（3）</w:t>
      </w:r>
      <w:r>
        <w:rPr>
          <w:rFonts w:hint="eastAsia"/>
          <w:bCs/>
          <w:sz w:val="24"/>
          <w:szCs w:val="24"/>
          <w:lang w:eastAsia="zh-CN"/>
        </w:rPr>
        <w:t>两</w:t>
      </w:r>
      <w:r>
        <w:rPr>
          <w:rFonts w:hint="eastAsia"/>
          <w:bCs/>
          <w:sz w:val="24"/>
          <w:szCs w:val="24"/>
        </w:rPr>
        <w:t>年免费保修期满且经采购人组织质保期满验收合格后，一次性付清所有剩余费用（无息）。</w:t>
      </w:r>
    </w:p>
    <w:p>
      <w:pPr>
        <w:keepNext w:val="0"/>
        <w:keepLines w:val="0"/>
        <w:pageBreakBefore w:val="0"/>
        <w:kinsoku/>
        <w:wordWrap/>
        <w:overflowPunct/>
        <w:topLinePunct w:val="0"/>
        <w:autoSpaceDE/>
        <w:autoSpaceDN/>
        <w:bidi w:val="0"/>
        <w:adjustRightInd/>
        <w:spacing w:line="480" w:lineRule="exact"/>
        <w:ind w:firstLine="420"/>
        <w:textAlignment w:val="auto"/>
        <w:rPr>
          <w:bCs/>
          <w:sz w:val="24"/>
          <w:szCs w:val="24"/>
        </w:rPr>
      </w:pPr>
      <w:r>
        <w:rPr>
          <w:rFonts w:hint="eastAsia"/>
          <w:bCs/>
          <w:sz w:val="24"/>
          <w:szCs w:val="24"/>
        </w:rPr>
        <w:t>上述款项支付前，投标人应当提供符合国家税务规定、本市税务部门认可、符合工程实际情况的增值税专用完税发票供采购人办理付款手续。如投标人人不提供完税发票的，采购人有权拒绝付款。</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八、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keepNext w:val="0"/>
        <w:keepLines w:val="0"/>
        <w:pageBreakBefore w:val="0"/>
        <w:kinsoku/>
        <w:wordWrap/>
        <w:overflowPunct/>
        <w:topLinePunct w:val="0"/>
        <w:autoSpaceDE/>
        <w:autoSpaceDN/>
        <w:bidi w:val="0"/>
        <w:adjustRightInd/>
        <w:spacing w:line="480" w:lineRule="exact"/>
        <w:textAlignment w:val="auto"/>
        <w:rPr>
          <w:bCs/>
          <w:color w:val="0000FF"/>
          <w:sz w:val="24"/>
          <w:szCs w:val="24"/>
        </w:rPr>
      </w:pPr>
    </w:p>
    <w:p>
      <w:pPr>
        <w:pStyle w:val="2"/>
        <w:rPr>
          <w:b/>
          <w:sz w:val="28"/>
          <w:szCs w:val="28"/>
        </w:rPr>
      </w:pPr>
    </w:p>
    <w:p>
      <w:pPr>
        <w:pStyle w:val="2"/>
        <w:rPr>
          <w:b/>
          <w:sz w:val="28"/>
          <w:szCs w:val="28"/>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rPr>
          <w:rFonts w:hint="eastAsia"/>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snapToGrid w:val="0"/>
        <w:spacing w:line="360" w:lineRule="auto"/>
        <w:rPr>
          <w:rFonts w:cs="Courier New"/>
          <w:b/>
          <w:bCs/>
          <w:color w:val="000000"/>
          <w:sz w:val="24"/>
          <w:szCs w:val="24"/>
        </w:rPr>
      </w:pPr>
    </w:p>
    <w:p>
      <w:pPr>
        <w:spacing w:line="440" w:lineRule="exact"/>
        <w:ind w:firstLine="600" w:firstLineChars="250"/>
        <w:rPr>
          <w:rFonts w:hint="eastAsia"/>
          <w:kern w:val="0"/>
          <w:sz w:val="24"/>
          <w:szCs w:val="24"/>
          <w:u w:color="000000"/>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5"/>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5"/>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（4）其他招标公告申请人的资格要求中需要提供的资料。</w:t>
      </w:r>
    </w:p>
    <w:p>
      <w:pPr>
        <w:spacing w:line="440" w:lineRule="exact"/>
        <w:ind w:firstLine="482" w:firstLineChars="200"/>
        <w:contextualSpacing/>
        <w:rPr>
          <w:b/>
          <w:bCs/>
          <w:sz w:val="24"/>
          <w:szCs w:val="24"/>
        </w:rPr>
      </w:pPr>
      <w:r>
        <w:rPr>
          <w:rFonts w:hint="eastAsia"/>
          <w:b/>
          <w:sz w:val="24"/>
          <w:szCs w:val="24"/>
        </w:rPr>
        <w:t>注：投标人未提交上述资料或资料不全的，则不予通过资格审查。</w:t>
      </w:r>
    </w:p>
    <w:p>
      <w:pPr>
        <w:spacing w:line="440" w:lineRule="exact"/>
        <w:ind w:firstLine="480" w:firstLineChars="200"/>
        <w:contextualSpacing/>
        <w:rPr>
          <w:sz w:val="24"/>
          <w:szCs w:val="24"/>
        </w:rPr>
      </w:pPr>
      <w:r>
        <w:rPr>
          <w:rFonts w:hint="eastAsia"/>
          <w:sz w:val="24"/>
          <w:szCs w:val="24"/>
        </w:rPr>
        <w:t>（1）对招标文件要求的工期、质量标准、投标保证金、投标有效期、暂定价、不可竞争费用等实质性要求的响应性进行评审。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A（若有效投标文件&lt;7 家时，直接计算有效投标报价计取算术平均值为 A；若有效投标文件≥7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sz w:val="24"/>
          <w:szCs w:val="24"/>
        </w:rPr>
      </w:pPr>
      <w:r>
        <w:rPr>
          <w:rFonts w:hint="eastAsia" w:cs="Arial"/>
          <w:bCs/>
          <w:sz w:val="24"/>
          <w:szCs w:val="24"/>
        </w:rPr>
        <w:t>评标基准价 =A×K，K 值在开标前由投标人推选的代表随机抽取确定，K 值的取值范围为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sz w:val="24"/>
          <w:szCs w:val="24"/>
        </w:rPr>
        <w:t>投标报价等于评标基准价的得满分</w:t>
      </w:r>
      <w:r>
        <w:rPr>
          <w:rFonts w:hint="eastAsia"/>
          <w:sz w:val="24"/>
          <w:szCs w:val="24"/>
          <w:u w:val="single"/>
        </w:rPr>
        <w:t xml:space="preserve"> </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0.1 </w:t>
      </w:r>
      <w:r>
        <w:rPr>
          <w:rFonts w:hint="eastAsia"/>
          <w:sz w:val="24"/>
          <w:szCs w:val="24"/>
        </w:rPr>
        <w:t>分，投标报价与评标基准价相比，每低评标基准价1%的扣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50"/>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1"/>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1"/>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1"/>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w:t>
      </w:r>
      <w:r>
        <w:rPr>
          <w:rFonts w:hint="eastAsia"/>
          <w:b/>
          <w:bCs/>
          <w:sz w:val="24"/>
          <w:szCs w:val="24"/>
        </w:rPr>
        <w:t>单独装袋密封后递交</w:t>
      </w:r>
      <w:r>
        <w:rPr>
          <w:rFonts w:hint="eastAsia"/>
          <w:b/>
          <w:bCs/>
          <w:color w:val="000000"/>
          <w:sz w:val="24"/>
        </w:rPr>
        <w:t>，格式为: *.13jt格式文件、软件版造价文件</w:t>
      </w:r>
      <w:r>
        <w:rPr>
          <w:rFonts w:hint="eastAsia"/>
          <w:b/>
          <w:bCs/>
          <w:color w:val="000000"/>
          <w:sz w:val="24"/>
          <w:szCs w:val="24"/>
        </w:rPr>
        <w:t>）</w:t>
      </w:r>
    </w:p>
    <w:p>
      <w:pPr>
        <w:ind w:firstLine="420" w:firstLineChars="200"/>
        <w:rPr>
          <w:color w:val="000000"/>
          <w:sz w:val="24"/>
        </w:rPr>
      </w:pPr>
      <w:r>
        <w:rPr>
          <w:rFonts w:hint="eastAsia"/>
        </w:rPr>
        <w:t>七</w:t>
      </w:r>
      <w:r>
        <w:rPr>
          <w:rFonts w:hint="eastAsia"/>
          <w:color w:val="000000"/>
          <w:sz w:val="24"/>
        </w:rPr>
        <w:t>、盐城市政府采购事前信用承诺书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1</w:t>
      </w:r>
      <w:r>
        <w:rPr>
          <w:rFonts w:hint="eastAsia" w:ascii="仿宋_GB2312" w:cs="Arial"/>
          <w:color w:val="000000"/>
          <w:sz w:val="24"/>
        </w:rPr>
        <w:t>法人</w:t>
      </w:r>
      <w:r>
        <w:rPr>
          <w:rFonts w:ascii="仿宋_GB2312" w:cs="Arial"/>
          <w:color w:val="000000"/>
          <w:sz w:val="24"/>
        </w:rPr>
        <w:t>授权书</w:t>
      </w:r>
    </w:p>
    <w:p>
      <w:pPr>
        <w:snapToGrid w:val="0"/>
        <w:spacing w:line="500" w:lineRule="exact"/>
        <w:ind w:firstLine="480" w:firstLineChars="200"/>
        <w:rPr>
          <w:sz w:val="24"/>
          <w:szCs w:val="24"/>
        </w:rPr>
      </w:pPr>
      <w:r>
        <w:rPr>
          <w:rFonts w:hint="eastAsia"/>
          <w:sz w:val="24"/>
          <w:szCs w:val="24"/>
        </w:rPr>
        <w:t>文件2 营业执照（副本）、资质证书（副本）、安全生产合格证（副本）；</w:t>
      </w:r>
    </w:p>
    <w:p>
      <w:pPr>
        <w:snapToGrid w:val="0"/>
        <w:spacing w:line="500" w:lineRule="exact"/>
        <w:ind w:firstLine="480" w:firstLineChars="200"/>
        <w:rPr>
          <w:sz w:val="24"/>
          <w:szCs w:val="24"/>
        </w:rPr>
      </w:pPr>
      <w:r>
        <w:rPr>
          <w:rFonts w:hint="eastAsia"/>
          <w:sz w:val="24"/>
          <w:szCs w:val="24"/>
        </w:rPr>
        <w:t>文件 3 项目负责人资质、安全证书；</w:t>
      </w:r>
    </w:p>
    <w:p>
      <w:pPr>
        <w:snapToGrid w:val="0"/>
        <w:spacing w:line="500" w:lineRule="exact"/>
        <w:ind w:firstLine="480" w:firstLineChars="200"/>
        <w:rPr>
          <w:b/>
          <w:bCs/>
          <w:sz w:val="24"/>
          <w:szCs w:val="24"/>
        </w:rPr>
      </w:pPr>
      <w:r>
        <w:rPr>
          <w:rFonts w:hint="eastAsia"/>
          <w:sz w:val="24"/>
          <w:szCs w:val="24"/>
        </w:rPr>
        <w:t>文件4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4"/>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4"/>
        <w:ind w:firstLine="480"/>
        <w:rPr>
          <w:color w:val="000000"/>
          <w:sz w:val="24"/>
          <w:szCs w:val="24"/>
        </w:rPr>
      </w:pPr>
      <w:r>
        <w:rPr>
          <w:rFonts w:hint="eastAsia"/>
          <w:color w:val="000000"/>
          <w:sz w:val="24"/>
          <w:szCs w:val="24"/>
        </w:rPr>
        <w:t>本授权书于______年____月____日起生效，特此声明。</w:t>
      </w:r>
    </w:p>
    <w:p>
      <w:pPr>
        <w:pStyle w:val="134"/>
        <w:ind w:firstLine="0" w:firstLineChars="0"/>
        <w:rPr>
          <w:color w:val="000000"/>
          <w:sz w:val="24"/>
          <w:szCs w:val="24"/>
        </w:rPr>
      </w:pPr>
      <w:r>
        <w:rPr>
          <w:rFonts w:hint="eastAsia"/>
          <w:color w:val="000000"/>
          <w:sz w:val="24"/>
          <w:szCs w:val="24"/>
        </w:rPr>
        <w:t xml:space="preserve">          代理人（被授权人）：_______________________</w:t>
      </w:r>
    </w:p>
    <w:p>
      <w:pPr>
        <w:pStyle w:val="134"/>
        <w:ind w:firstLine="0" w:firstLineChars="0"/>
        <w:rPr>
          <w:color w:val="000000"/>
          <w:sz w:val="24"/>
          <w:szCs w:val="24"/>
        </w:rPr>
      </w:pPr>
    </w:p>
    <w:p>
      <w:pPr>
        <w:pStyle w:val="134"/>
        <w:ind w:firstLine="0" w:firstLineChars="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rPr>
      </w:pPr>
    </w:p>
    <w:p>
      <w:pPr>
        <w:pStyle w:val="134"/>
        <w:ind w:firstLine="0" w:firstLineChars="0"/>
        <w:rPr>
          <w:color w:val="000000"/>
          <w:sz w:val="24"/>
          <w:szCs w:val="24"/>
        </w:rPr>
      </w:pPr>
      <w:r>
        <w:rPr>
          <w:rFonts w:hint="eastAsia"/>
          <w:color w:val="000000"/>
          <w:sz w:val="24"/>
          <w:szCs w:val="24"/>
        </w:rPr>
        <w:t xml:space="preserve">          授权单位盖章：_________________________________</w:t>
      </w:r>
    </w:p>
    <w:p>
      <w:pPr>
        <w:pStyle w:val="134"/>
        <w:ind w:firstLine="48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u w:val="single"/>
        </w:rPr>
      </w:pPr>
      <w:r>
        <w:rPr>
          <w:rFonts w:hint="eastAsia"/>
          <w:color w:val="000000"/>
          <w:sz w:val="24"/>
          <w:szCs w:val="24"/>
        </w:rPr>
        <w:t xml:space="preserve">      地址：</w:t>
      </w:r>
    </w:p>
    <w:p>
      <w:pPr>
        <w:pStyle w:val="134"/>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50"/>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50"/>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0"/>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50"/>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4"/>
        </w:numPr>
        <w:rPr>
          <w:color w:val="000000"/>
          <w:sz w:val="24"/>
        </w:rPr>
      </w:pPr>
      <w:r>
        <w:rPr>
          <w:rFonts w:hint="eastAsia"/>
          <w:color w:val="000000"/>
          <w:sz w:val="24"/>
        </w:rPr>
        <w:t>开标一览表不得填报选择性报价，否则将作为无效投标；</w:t>
      </w:r>
    </w:p>
    <w:p>
      <w:pPr>
        <w:numPr>
          <w:ilvl w:val="0"/>
          <w:numId w:val="4"/>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  月  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2"/>
        <w:rPr>
          <w:rFonts w:ascii="宋体" w:hAnsi="宋体"/>
        </w:rPr>
      </w:pPr>
    </w:p>
    <w:p>
      <w:pPr>
        <w:pStyle w:val="2"/>
        <w:rPr>
          <w:rFonts w:ascii="宋体" w:hAnsi="宋体"/>
        </w:rPr>
      </w:pPr>
    </w:p>
    <w:p>
      <w:pPr>
        <w:widowControl/>
        <w:shd w:val="clear" w:color="auto" w:fill="FFFFFF"/>
        <w:spacing w:line="420" w:lineRule="atLeast"/>
        <w:jc w:val="left"/>
        <w:rPr>
          <w:bCs/>
          <w:color w:val="000000"/>
          <w:sz w:val="24"/>
        </w:rPr>
      </w:pPr>
    </w:p>
    <w:p>
      <w:pPr>
        <w:snapToGrid w:val="0"/>
        <w:spacing w:before="50" w:after="50"/>
        <w:jc w:val="both"/>
        <w:rPr>
          <w:rFonts w:ascii="黑体" w:eastAsia="黑体"/>
          <w:color w:val="000000"/>
          <w:sz w:val="32"/>
          <w:szCs w:val="32"/>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rPr>
        <w:t>七、盐城市政府采购事前信用承诺书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p>
    <w:p>
      <w:pPr>
        <w:widowControl/>
        <w:spacing w:line="500" w:lineRule="exact"/>
        <w:rPr>
          <w:color w:val="000000"/>
          <w:sz w:val="24"/>
          <w:szCs w:val="24"/>
        </w:rPr>
      </w:pPr>
      <w:bookmarkStart w:id="0" w:name="_Hlt16619475"/>
      <w:bookmarkEnd w:id="0"/>
      <w:bookmarkStart w:id="1" w:name="_Hlt26670482"/>
      <w:bookmarkEnd w:id="1"/>
      <w:bookmarkStart w:id="2" w:name="_Hlt26955039"/>
      <w:bookmarkEnd w:id="2"/>
      <w:bookmarkStart w:id="3" w:name="_Hlt26668983"/>
      <w:bookmarkEnd w:id="3"/>
      <w:bookmarkStart w:id="4" w:name="_Hlt26670360"/>
      <w:bookmarkEnd w:id="4"/>
      <w:bookmarkStart w:id="5" w:name="_Hlt26954838"/>
      <w:bookmarkEnd w:id="5"/>
      <w:bookmarkStart w:id="6" w:name="_Hlt26668999"/>
      <w:bookmarkEnd w:id="6"/>
      <w:bookmarkStart w:id="7" w:name="_Hlt26954848"/>
      <w:bookmarkEnd w:id="7"/>
      <w:bookmarkStart w:id="8" w:name="_Hlt26670486"/>
      <w:bookmarkEnd w:id="8"/>
      <w:bookmarkStart w:id="9" w:name="_Hlt26954844"/>
      <w:bookmarkEnd w:id="9"/>
      <w:bookmarkStart w:id="10" w:name="_Hlt26668975"/>
      <w:bookmarkEnd w:id="10"/>
      <w:bookmarkStart w:id="11" w:name="page4"/>
      <w:bookmarkEnd w:id="11"/>
      <w:bookmarkStart w:id="12" w:name="_Hlt26671244"/>
      <w:bookmarkEnd w:id="12"/>
      <w:bookmarkStart w:id="13" w:name="_Hlt26955070"/>
      <w:bookmarkEnd w:id="13"/>
      <w:bookmarkStart w:id="14" w:name="_Hlt26954739"/>
      <w:bookmarkEnd w:id="14"/>
      <w:bookmarkStart w:id="15" w:name="_Hlt26954734"/>
      <w:bookmarkEnd w:id="15"/>
      <w:bookmarkStart w:id="16" w:name="_Hlt26670489"/>
      <w:bookmarkEnd w:id="16"/>
      <w:bookmarkStart w:id="17" w:name="_Hlt26954731"/>
      <w:bookmarkEnd w:id="17"/>
      <w:bookmarkStart w:id="18" w:name="_Hlt26670403"/>
      <w:bookmarkEnd w:id="18"/>
      <w:bookmarkStart w:id="19" w:name="_Hlt26954846"/>
      <w:bookmarkEnd w:id="19"/>
      <w:bookmarkStart w:id="20" w:name="_Hlt26954850"/>
      <w:bookmarkEnd w:id="20"/>
      <w:bookmarkStart w:id="21" w:name="_Hlt26954852"/>
      <w:bookmarkEnd w:id="21"/>
      <w:bookmarkStart w:id="22" w:name="_Hlt26954842"/>
      <w:bookmarkEnd w:id="22"/>
      <w:bookmarkStart w:id="23" w:name="_Hlt26670425"/>
      <w:bookmarkEnd w:id="23"/>
      <w:bookmarkStart w:id="24" w:name="_Hlt16619369"/>
      <w:bookmarkEnd w:id="24"/>
      <w:bookmarkStart w:id="25" w:name="_Hlt26671372"/>
      <w:bookmarkEnd w:id="25"/>
      <w:bookmarkStart w:id="26" w:name="_Hlt26955056"/>
      <w:bookmarkEnd w:id="26"/>
      <w:bookmarkStart w:id="27" w:name="_Hlt26955054"/>
      <w:bookmarkEnd w:id="27"/>
      <w:bookmarkStart w:id="28" w:name="_Hlt26671380"/>
      <w:bookmarkEnd w:id="28"/>
      <w:bookmarkStart w:id="29" w:name="_格式3__银行出具的资信证明"/>
      <w:bookmarkEnd w:id="29"/>
      <w:bookmarkStart w:id="30" w:name="_Hlt26671343"/>
      <w:bookmarkEnd w:id="30"/>
      <w:bookmarkStart w:id="31" w:name="_Hlt24879081"/>
      <w:bookmarkEnd w:id="31"/>
      <w:bookmarkStart w:id="32" w:name="_Hlt26580838"/>
      <w:bookmarkEnd w:id="32"/>
      <w:bookmarkStart w:id="33" w:name="_Hlt26609391"/>
      <w:bookmarkEnd w:id="33"/>
      <w:bookmarkStart w:id="34" w:name="_Hlt26782999"/>
      <w:bookmarkEnd w:id="34"/>
      <w:bookmarkStart w:id="35" w:name="_Hlt26955064"/>
      <w:bookmarkEnd w:id="35"/>
    </w:p>
    <w:p>
      <w:pPr>
        <w:pStyle w:val="6"/>
        <w:spacing w:line="460" w:lineRule="exact"/>
        <w:jc w:val="center"/>
        <w:rPr>
          <w:rFonts w:ascii="黑体" w:hAnsi="黑体" w:eastAsia="黑体"/>
          <w:b w:val="0"/>
          <w:bCs w:val="0"/>
        </w:rPr>
      </w:pPr>
      <w:r>
        <w:rPr>
          <w:rFonts w:hint="eastAsia" w:ascii="黑体" w:hAnsi="黑体" w:eastAsia="黑体"/>
          <w:b w:val="0"/>
          <w:bCs w:val="0"/>
        </w:rPr>
        <w:t>八、现场踏勘证明书</w:t>
      </w:r>
    </w:p>
    <w:tbl>
      <w:tblPr>
        <w:tblStyle w:val="50"/>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4"/>
        <w:gridCol w:w="2871"/>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871"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251"/>
              <w:jc w:val="center"/>
              <w:rPr>
                <w:rFonts w:ascii="宋体" w:hAnsi="宋体" w:cs="Calibri"/>
                <w:sz w:val="28"/>
                <w:szCs w:val="28"/>
              </w:rPr>
            </w:pPr>
            <w:r>
              <w:rPr>
                <w:rFonts w:hint="eastAsia" w:ascii="宋体" w:hAnsi="宋体" w:cs="Calibri"/>
                <w:sz w:val="28"/>
                <w:szCs w:val="28"/>
              </w:rPr>
              <w:t>采购单位名称</w:t>
            </w:r>
          </w:p>
        </w:tc>
        <w:tc>
          <w:tcPr>
            <w:tcW w:w="2871"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rPr>
            </w:pPr>
            <w:r>
              <w:rPr>
                <w:rFonts w:hint="eastAsia" w:ascii="宋体" w:hAnsi="宋体" w:cs="Calibri"/>
                <w:sz w:val="28"/>
                <w:szCs w:val="28"/>
              </w:rPr>
              <w:t>身份证复印件</w:t>
            </w:r>
          </w:p>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是否收存</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824"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474"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38"/>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38"/>
              <w:spacing w:line="460" w:lineRule="exact"/>
              <w:rPr>
                <w:rFonts w:ascii="宋体" w:hAnsi="宋体" w:cs="Calibri"/>
                <w:b/>
                <w:bCs/>
                <w:sz w:val="28"/>
                <w:szCs w:val="28"/>
              </w:rPr>
            </w:pPr>
          </w:p>
          <w:p>
            <w:pPr>
              <w:pStyle w:val="138"/>
              <w:spacing w:line="460" w:lineRule="exact"/>
              <w:rPr>
                <w:rFonts w:ascii="宋体" w:hAnsi="宋体" w:cs="Calibri"/>
                <w:b/>
                <w:bCs/>
                <w:sz w:val="28"/>
                <w:szCs w:val="28"/>
              </w:rPr>
            </w:pPr>
          </w:p>
          <w:p>
            <w:pPr>
              <w:pStyle w:val="138"/>
              <w:spacing w:line="460" w:lineRule="exact"/>
              <w:rPr>
                <w:rFonts w:ascii="宋体" w:hAnsi="宋体" w:cs="Calibri"/>
                <w:sz w:val="28"/>
                <w:szCs w:val="28"/>
              </w:rPr>
            </w:pPr>
          </w:p>
          <w:p>
            <w:pPr>
              <w:pStyle w:val="138"/>
              <w:spacing w:line="460" w:lineRule="exact"/>
              <w:ind w:left="108"/>
              <w:rPr>
                <w:rFonts w:ascii="宋体" w:hAnsi="宋体" w:cs="Calibri"/>
                <w:sz w:val="28"/>
                <w:szCs w:val="28"/>
              </w:rPr>
            </w:pPr>
          </w:p>
          <w:p>
            <w:pPr>
              <w:pStyle w:val="138"/>
              <w:spacing w:line="460" w:lineRule="exact"/>
              <w:ind w:left="108"/>
              <w:rPr>
                <w:rFonts w:ascii="宋体" w:hAnsi="宋体" w:cs="Calibri"/>
                <w:sz w:val="28"/>
                <w:szCs w:val="28"/>
              </w:rPr>
            </w:pPr>
          </w:p>
          <w:p>
            <w:pPr>
              <w:pStyle w:val="138"/>
              <w:spacing w:line="460" w:lineRule="exact"/>
              <w:ind w:left="108"/>
              <w:rPr>
                <w:rFonts w:ascii="宋体" w:hAnsi="宋体" w:cs="Calibri"/>
                <w:sz w:val="28"/>
                <w:szCs w:val="28"/>
              </w:rPr>
            </w:pPr>
            <w:r>
              <w:rPr>
                <w:rFonts w:hint="eastAsia" w:ascii="宋体" w:hAnsi="宋体" w:cs="Calibri"/>
                <w:sz w:val="28"/>
                <w:szCs w:val="28"/>
              </w:rPr>
              <w:t>采购人现场踏勘验证人签字并加盖公章：</w:t>
            </w:r>
          </w:p>
        </w:tc>
      </w:tr>
    </w:tbl>
    <w:p>
      <w:pPr>
        <w:pStyle w:val="2"/>
        <w:ind w:firstLine="560" w:firstLineChars="200"/>
      </w:pPr>
      <w:r>
        <w:rPr>
          <w:rFonts w:hint="eastAsia" w:ascii="宋体" w:hAnsi="宋体"/>
          <w:sz w:val="28"/>
          <w:szCs w:val="28"/>
        </w:rPr>
        <w:t>注：参与现场踏勘的投标人，需携带此表，由采购人签字确认。并且将此《现场踏勘证明书》原件附到报价文件正本中，否则视为无效投标。</w:t>
      </w:r>
    </w:p>
    <w:p/>
    <w:p/>
    <w:sectPr>
      <w:headerReference r:id="rId4" w:type="first"/>
      <w:footerReference r:id="rId7" w:type="first"/>
      <w:headerReference r:id="rId3" w:type="default"/>
      <w:footerReference r:id="rId5" w:type="default"/>
      <w:footerReference r:id="rId6" w:type="even"/>
      <w:pgSz w:w="11906" w:h="16838"/>
      <w:pgMar w:top="1418" w:right="1588" w:bottom="1418" w:left="1365" w:header="851" w:footer="907" w:gutter="0"/>
      <w:pgNumType w:fmt="decimal" w:start="1"/>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howcard Gothic">
    <w:altName w:val="Gabriola"/>
    <w:panose1 w:val="04020904020102020604"/>
    <w:charset w:val="00"/>
    <w:family w:val="decorative"/>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color w:val="0000FF"/>
      </w:rPr>
    </w:pPr>
    <w:r>
      <w:rPr>
        <w:rFonts w:hint="eastAsia" w:eastAsia="华文隶书"/>
        <w:sz w:val="21"/>
      </w:rPr>
      <w:t>盐城幼儿师范高等专科学校采购文件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FE653"/>
    <w:multiLevelType w:val="singleLevel"/>
    <w:tmpl w:val="C7AFE653"/>
    <w:lvl w:ilvl="0" w:tentative="0">
      <w:start w:val="3"/>
      <w:numFmt w:val="decimal"/>
      <w:suff w:val="nothing"/>
      <w:lvlText w:val="（%1）"/>
      <w:lvlJc w:val="left"/>
    </w:lvl>
  </w:abstractNum>
  <w:abstractNum w:abstractNumId="1">
    <w:nsid w:val="CB065047"/>
    <w:multiLevelType w:val="singleLevel"/>
    <w:tmpl w:val="CB065047"/>
    <w:lvl w:ilvl="0" w:tentative="0">
      <w:start w:val="1"/>
      <w:numFmt w:val="decimal"/>
      <w:suff w:val="nothing"/>
      <w:lvlText w:val="%1、"/>
      <w:lvlJc w:val="left"/>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72"/>
    <w:rsid w:val="0000062E"/>
    <w:rsid w:val="000855A2"/>
    <w:rsid w:val="000C1232"/>
    <w:rsid w:val="000D79EF"/>
    <w:rsid w:val="000E2035"/>
    <w:rsid w:val="000F5CEC"/>
    <w:rsid w:val="00151320"/>
    <w:rsid w:val="001F2792"/>
    <w:rsid w:val="002A3C07"/>
    <w:rsid w:val="00335472"/>
    <w:rsid w:val="003A4CB0"/>
    <w:rsid w:val="00403063"/>
    <w:rsid w:val="0044465D"/>
    <w:rsid w:val="005719E1"/>
    <w:rsid w:val="005F7F34"/>
    <w:rsid w:val="006400A4"/>
    <w:rsid w:val="0068043A"/>
    <w:rsid w:val="006C00FE"/>
    <w:rsid w:val="00732A95"/>
    <w:rsid w:val="007B6024"/>
    <w:rsid w:val="00855517"/>
    <w:rsid w:val="00894A63"/>
    <w:rsid w:val="008C0E32"/>
    <w:rsid w:val="00A57396"/>
    <w:rsid w:val="00AA4A42"/>
    <w:rsid w:val="00AD6DC0"/>
    <w:rsid w:val="00AE226A"/>
    <w:rsid w:val="00C730E7"/>
    <w:rsid w:val="00C76E8E"/>
    <w:rsid w:val="00CC05DC"/>
    <w:rsid w:val="00E429C3"/>
    <w:rsid w:val="00F11994"/>
    <w:rsid w:val="00F54CD7"/>
    <w:rsid w:val="00FD1B22"/>
    <w:rsid w:val="00FF6E18"/>
    <w:rsid w:val="016D0E45"/>
    <w:rsid w:val="046F3D28"/>
    <w:rsid w:val="048C0307"/>
    <w:rsid w:val="04BA34EC"/>
    <w:rsid w:val="05177157"/>
    <w:rsid w:val="055A5DCC"/>
    <w:rsid w:val="069265A5"/>
    <w:rsid w:val="0729748A"/>
    <w:rsid w:val="08837C65"/>
    <w:rsid w:val="09BF33D7"/>
    <w:rsid w:val="0AE32047"/>
    <w:rsid w:val="0B037EE8"/>
    <w:rsid w:val="0C8A2DBF"/>
    <w:rsid w:val="0CE64A9A"/>
    <w:rsid w:val="0DE868EC"/>
    <w:rsid w:val="0E4D0174"/>
    <w:rsid w:val="0FB538F8"/>
    <w:rsid w:val="101873BA"/>
    <w:rsid w:val="109859BB"/>
    <w:rsid w:val="10C424CA"/>
    <w:rsid w:val="112B3A71"/>
    <w:rsid w:val="116E2E23"/>
    <w:rsid w:val="130D0E5E"/>
    <w:rsid w:val="14343642"/>
    <w:rsid w:val="146309D4"/>
    <w:rsid w:val="14F01D86"/>
    <w:rsid w:val="151E0CBD"/>
    <w:rsid w:val="15223F4C"/>
    <w:rsid w:val="16413A30"/>
    <w:rsid w:val="16A53388"/>
    <w:rsid w:val="17010DA4"/>
    <w:rsid w:val="1714428D"/>
    <w:rsid w:val="17157E9C"/>
    <w:rsid w:val="18B36AFB"/>
    <w:rsid w:val="191D2F99"/>
    <w:rsid w:val="19BB255D"/>
    <w:rsid w:val="1C5C01C7"/>
    <w:rsid w:val="1D63540F"/>
    <w:rsid w:val="1EAB1C22"/>
    <w:rsid w:val="1EC004CC"/>
    <w:rsid w:val="1F1141BC"/>
    <w:rsid w:val="1F346858"/>
    <w:rsid w:val="1F563B3D"/>
    <w:rsid w:val="20162BB5"/>
    <w:rsid w:val="21731186"/>
    <w:rsid w:val="219F3311"/>
    <w:rsid w:val="21AC0108"/>
    <w:rsid w:val="228801C3"/>
    <w:rsid w:val="2440106F"/>
    <w:rsid w:val="26835053"/>
    <w:rsid w:val="26836281"/>
    <w:rsid w:val="26CE5E22"/>
    <w:rsid w:val="27000B29"/>
    <w:rsid w:val="27362520"/>
    <w:rsid w:val="27C615A3"/>
    <w:rsid w:val="285F173E"/>
    <w:rsid w:val="291B20C6"/>
    <w:rsid w:val="2A7B3B39"/>
    <w:rsid w:val="2AA2417B"/>
    <w:rsid w:val="2AB20AB8"/>
    <w:rsid w:val="2B750AC1"/>
    <w:rsid w:val="2B813F6E"/>
    <w:rsid w:val="2C223B8A"/>
    <w:rsid w:val="2C596AA1"/>
    <w:rsid w:val="2C6115CD"/>
    <w:rsid w:val="2C9737AA"/>
    <w:rsid w:val="2CE32E3B"/>
    <w:rsid w:val="2EB67717"/>
    <w:rsid w:val="2EDF6CD7"/>
    <w:rsid w:val="2FDA1804"/>
    <w:rsid w:val="300C0A26"/>
    <w:rsid w:val="31A90BC6"/>
    <w:rsid w:val="31E32D22"/>
    <w:rsid w:val="321854EC"/>
    <w:rsid w:val="3294667F"/>
    <w:rsid w:val="330B17E0"/>
    <w:rsid w:val="331C730A"/>
    <w:rsid w:val="35490A25"/>
    <w:rsid w:val="365450D4"/>
    <w:rsid w:val="369C3A7A"/>
    <w:rsid w:val="36D2645A"/>
    <w:rsid w:val="36EB7370"/>
    <w:rsid w:val="371D64B0"/>
    <w:rsid w:val="37295BFE"/>
    <w:rsid w:val="378B7A5E"/>
    <w:rsid w:val="380E2C2F"/>
    <w:rsid w:val="39A372CF"/>
    <w:rsid w:val="3A673E8E"/>
    <w:rsid w:val="3AA64850"/>
    <w:rsid w:val="3B3E1871"/>
    <w:rsid w:val="3B4A77BA"/>
    <w:rsid w:val="3CE65A59"/>
    <w:rsid w:val="3DBF2D50"/>
    <w:rsid w:val="3E0E1AA4"/>
    <w:rsid w:val="3E5A3221"/>
    <w:rsid w:val="3F5A6A3C"/>
    <w:rsid w:val="41E85700"/>
    <w:rsid w:val="42187C21"/>
    <w:rsid w:val="42EC2749"/>
    <w:rsid w:val="45536A3C"/>
    <w:rsid w:val="456B369E"/>
    <w:rsid w:val="467C3B7B"/>
    <w:rsid w:val="47AC5729"/>
    <w:rsid w:val="48343EDF"/>
    <w:rsid w:val="48F9055C"/>
    <w:rsid w:val="4900518A"/>
    <w:rsid w:val="49636F02"/>
    <w:rsid w:val="498D2D89"/>
    <w:rsid w:val="4A4D6F20"/>
    <w:rsid w:val="4CDC20D3"/>
    <w:rsid w:val="4D4B5EEB"/>
    <w:rsid w:val="4FBF1F87"/>
    <w:rsid w:val="50B51838"/>
    <w:rsid w:val="50D976BE"/>
    <w:rsid w:val="515A612D"/>
    <w:rsid w:val="52727481"/>
    <w:rsid w:val="52975C0A"/>
    <w:rsid w:val="52BE3B36"/>
    <w:rsid w:val="54497966"/>
    <w:rsid w:val="54501D06"/>
    <w:rsid w:val="54D40186"/>
    <w:rsid w:val="554A374A"/>
    <w:rsid w:val="55B67EC8"/>
    <w:rsid w:val="576615A8"/>
    <w:rsid w:val="580E341E"/>
    <w:rsid w:val="590F350F"/>
    <w:rsid w:val="59974B12"/>
    <w:rsid w:val="5B5B6290"/>
    <w:rsid w:val="5D0F4F5B"/>
    <w:rsid w:val="5D364D9D"/>
    <w:rsid w:val="5E04040B"/>
    <w:rsid w:val="5E7F10B4"/>
    <w:rsid w:val="5EC57A31"/>
    <w:rsid w:val="5F903405"/>
    <w:rsid w:val="61F10D86"/>
    <w:rsid w:val="63941A11"/>
    <w:rsid w:val="63C63AF4"/>
    <w:rsid w:val="64920815"/>
    <w:rsid w:val="68882D3F"/>
    <w:rsid w:val="69080837"/>
    <w:rsid w:val="69635C7F"/>
    <w:rsid w:val="6C2610B6"/>
    <w:rsid w:val="6E3969C9"/>
    <w:rsid w:val="6F273539"/>
    <w:rsid w:val="6FC32E16"/>
    <w:rsid w:val="710C4DF9"/>
    <w:rsid w:val="72396218"/>
    <w:rsid w:val="74096152"/>
    <w:rsid w:val="740F6F6A"/>
    <w:rsid w:val="75351F4D"/>
    <w:rsid w:val="75BF650B"/>
    <w:rsid w:val="762F1AE2"/>
    <w:rsid w:val="76A77710"/>
    <w:rsid w:val="77240A59"/>
    <w:rsid w:val="78193DBB"/>
    <w:rsid w:val="79C43DD9"/>
    <w:rsid w:val="7BD36E1F"/>
    <w:rsid w:val="7C98774C"/>
    <w:rsid w:val="7CB24039"/>
    <w:rsid w:val="7CD90B8E"/>
    <w:rsid w:val="7E3059EF"/>
    <w:rsid w:val="7EA766C1"/>
    <w:rsid w:val="7F8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2"/>
    <w:qFormat/>
    <w:uiPriority w:val="0"/>
    <w:pPr>
      <w:keepNext/>
      <w:jc w:val="center"/>
      <w:outlineLvl w:val="0"/>
    </w:pPr>
    <w:rPr>
      <w:rFonts w:ascii="楷体_GB2312" w:eastAsia="楷体_GB2312"/>
      <w:sz w:val="28"/>
      <w:szCs w:val="28"/>
    </w:rPr>
  </w:style>
  <w:style w:type="paragraph" w:styleId="4">
    <w:name w:val="heading 2"/>
    <w:basedOn w:val="1"/>
    <w:next w:val="5"/>
    <w:link w:val="5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4"/>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0"/>
    <w:pPr>
      <w:keepNext/>
      <w:keepLines/>
      <w:spacing w:before="240" w:after="64" w:line="320" w:lineRule="auto"/>
      <w:outlineLvl w:val="6"/>
    </w:pPr>
    <w:rPr>
      <w:b/>
      <w:bCs/>
      <w:sz w:val="24"/>
      <w:szCs w:val="24"/>
    </w:rPr>
  </w:style>
  <w:style w:type="paragraph" w:styleId="11">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6"/>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3"/>
    <w:semiHidden/>
    <w:qFormat/>
    <w:uiPriority w:val="0"/>
    <w:rPr>
      <w:b/>
      <w:bCs/>
    </w:rPr>
  </w:style>
  <w:style w:type="paragraph" w:styleId="15">
    <w:name w:val="annotation text"/>
    <w:basedOn w:val="1"/>
    <w:link w:val="64"/>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1"/>
    <w:link w:val="83"/>
    <w:qFormat/>
    <w:uiPriority w:val="0"/>
    <w:pPr>
      <w:spacing w:line="360" w:lineRule="auto"/>
      <w:ind w:firstLine="200" w:firstLineChars="200"/>
    </w:pPr>
    <w:rPr>
      <w:rFonts w:ascii="仿宋_GB2312" w:hAnsi="Arial" w:eastAsia="仿宋_GB2312" w:cstheme="minorBidi"/>
      <w:sz w:val="30"/>
      <w:szCs w:val="30"/>
    </w:rPr>
  </w:style>
  <w:style w:type="paragraph" w:styleId="18">
    <w:name w:val="Document Map"/>
    <w:basedOn w:val="1"/>
    <w:link w:val="79"/>
    <w:semiHidden/>
    <w:qFormat/>
    <w:uiPriority w:val="0"/>
    <w:pPr>
      <w:shd w:val="clear" w:color="auto" w:fill="000080"/>
    </w:pPr>
    <w:rPr>
      <w:rFonts w:asciiTheme="minorHAnsi" w:hAnsiTheme="minorHAnsi" w:cstheme="minorBidi"/>
    </w:rPr>
  </w:style>
  <w:style w:type="paragraph" w:styleId="19">
    <w:name w:val="Body Text 3"/>
    <w:basedOn w:val="1"/>
    <w:link w:val="82"/>
    <w:qFormat/>
    <w:uiPriority w:val="0"/>
    <w:rPr>
      <w:rFonts w:ascii="仿宋_GB2312" w:hAnsi="Arial" w:eastAsia="仿宋_GB2312" w:cstheme="minorBidi"/>
      <w:sz w:val="32"/>
      <w:szCs w:val="32"/>
    </w:rPr>
  </w:style>
  <w:style w:type="paragraph" w:styleId="20">
    <w:name w:val="Body Text"/>
    <w:basedOn w:val="1"/>
    <w:link w:val="69"/>
    <w:qFormat/>
    <w:uiPriority w:val="0"/>
    <w:rPr>
      <w:rFonts w:ascii="楷体_GB2312" w:hAnsi="Arial" w:eastAsia="楷体_GB2312" w:cstheme="minorBidi"/>
      <w:sz w:val="28"/>
      <w:szCs w:val="28"/>
    </w:rPr>
  </w:style>
  <w:style w:type="paragraph" w:styleId="21">
    <w:name w:val="Body Text Indent"/>
    <w:basedOn w:val="1"/>
    <w:link w:val="65"/>
    <w:qFormat/>
    <w:uiPriority w:val="0"/>
    <w:pPr>
      <w:ind w:firstLine="645"/>
    </w:pPr>
    <w:rPr>
      <w:rFonts w:ascii="楷体_GB2312" w:eastAsia="楷体_GB2312" w:hAnsiTheme="minorHAnsi" w:cstheme="minorBidi"/>
      <w:sz w:val="32"/>
      <w:szCs w:val="32"/>
    </w:rPr>
  </w:style>
  <w:style w:type="paragraph" w:styleId="22">
    <w:name w:val="List 2"/>
    <w:basedOn w:val="1"/>
    <w:qFormat/>
    <w:uiPriority w:val="0"/>
    <w:pPr>
      <w:ind w:left="100" w:leftChars="200" w:hanging="200" w:hangingChars="2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80"/>
    <w:qFormat/>
    <w:uiPriority w:val="0"/>
    <w:rPr>
      <w:rFonts w:hAnsi="Courier New" w:cs="Courier New" w:eastAsiaTheme="minorEastAsia"/>
    </w:rPr>
  </w:style>
  <w:style w:type="paragraph" w:styleId="26">
    <w:name w:val="toc 8"/>
    <w:basedOn w:val="1"/>
    <w:next w:val="1"/>
    <w:semiHidden/>
    <w:qFormat/>
    <w:uiPriority w:val="0"/>
    <w:pPr>
      <w:ind w:left="1470"/>
      <w:jc w:val="left"/>
    </w:pPr>
  </w:style>
  <w:style w:type="paragraph" w:styleId="27">
    <w:name w:val="Date"/>
    <w:basedOn w:val="1"/>
    <w:next w:val="1"/>
    <w:link w:val="86"/>
    <w:qFormat/>
    <w:uiPriority w:val="0"/>
    <w:rPr>
      <w:rFonts w:asciiTheme="minorHAnsi" w:hAnsiTheme="minorHAnsi" w:eastAsiaTheme="minorEastAsia" w:cstheme="minorBidi"/>
      <w:sz w:val="24"/>
      <w:szCs w:val="24"/>
    </w:rPr>
  </w:style>
  <w:style w:type="paragraph" w:styleId="28">
    <w:name w:val="Body Text Indent 2"/>
    <w:basedOn w:val="1"/>
    <w:link w:val="84"/>
    <w:qFormat/>
    <w:uiPriority w:val="0"/>
    <w:pPr>
      <w:ind w:left="630" w:firstLine="645"/>
    </w:pPr>
    <w:rPr>
      <w:rFonts w:ascii="Arial" w:hAnsi="Arial" w:eastAsia="仿宋_GB2312" w:cs="Arial"/>
      <w:sz w:val="32"/>
      <w:szCs w:val="32"/>
    </w:rPr>
  </w:style>
  <w:style w:type="paragraph" w:styleId="29">
    <w:name w:val="Balloon Text"/>
    <w:basedOn w:val="1"/>
    <w:link w:val="67"/>
    <w:semiHidden/>
    <w:qFormat/>
    <w:uiPriority w:val="0"/>
    <w:rPr>
      <w:rFonts w:asciiTheme="minorHAnsi" w:hAnsiTheme="minorHAnsi" w:eastAsiaTheme="minorEastAsia" w:cstheme="minorBidi"/>
      <w:sz w:val="18"/>
      <w:szCs w:val="18"/>
    </w:rPr>
  </w:style>
  <w:style w:type="paragraph" w:styleId="30">
    <w:name w:val="footer"/>
    <w:basedOn w:val="1"/>
    <w:link w:val="8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1">
    <w:name w:val="Body Text First Indent 2"/>
    <w:basedOn w:val="21"/>
    <w:link w:val="68"/>
    <w:qFormat/>
    <w:uiPriority w:val="0"/>
    <w:pPr>
      <w:spacing w:line="360" w:lineRule="auto"/>
      <w:ind w:firstLine="420" w:firstLineChars="200"/>
    </w:pPr>
    <w:rPr>
      <w:sz w:val="21"/>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3">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4">
    <w:name w:val="toc 4"/>
    <w:basedOn w:val="1"/>
    <w:next w:val="1"/>
    <w:semiHidden/>
    <w:qFormat/>
    <w:uiPriority w:val="0"/>
    <w:pPr>
      <w:ind w:left="630"/>
      <w:jc w:val="left"/>
    </w:pPr>
  </w:style>
  <w:style w:type="paragraph" w:styleId="35">
    <w:name w:val="List"/>
    <w:basedOn w:val="1"/>
    <w:qFormat/>
    <w:uiPriority w:val="0"/>
    <w:pPr>
      <w:ind w:left="200" w:hanging="200" w:hangingChars="200"/>
    </w:pPr>
  </w:style>
  <w:style w:type="paragraph" w:styleId="36">
    <w:name w:val="toc 6"/>
    <w:basedOn w:val="1"/>
    <w:next w:val="1"/>
    <w:semiHidden/>
    <w:qFormat/>
    <w:uiPriority w:val="0"/>
    <w:pPr>
      <w:ind w:left="1050"/>
      <w:jc w:val="left"/>
    </w:pPr>
  </w:style>
  <w:style w:type="paragraph" w:styleId="37">
    <w:name w:val="Body Text Indent 3"/>
    <w:basedOn w:val="1"/>
    <w:link w:val="73"/>
    <w:qFormat/>
    <w:uiPriority w:val="0"/>
    <w:pPr>
      <w:ind w:left="645" w:firstLine="645"/>
    </w:pPr>
    <w:rPr>
      <w:rFonts w:ascii="Arial" w:hAnsi="Arial" w:eastAsia="仿宋_GB2312" w:cs="Arial"/>
      <w:color w:val="FFFF00"/>
      <w:sz w:val="32"/>
      <w:szCs w:val="32"/>
    </w:rPr>
  </w:style>
  <w:style w:type="paragraph" w:styleId="38">
    <w:name w:val="table of figures"/>
    <w:basedOn w:val="1"/>
    <w:next w:val="1"/>
    <w:semiHidden/>
    <w:qFormat/>
    <w:uiPriority w:val="0"/>
    <w:pPr>
      <w:ind w:left="840" w:hanging="420"/>
    </w:pPr>
  </w:style>
  <w:style w:type="paragraph" w:styleId="39">
    <w:name w:val="toc 2"/>
    <w:basedOn w:val="1"/>
    <w:next w:val="1"/>
    <w:semiHidden/>
    <w:qFormat/>
    <w:uiPriority w:val="0"/>
    <w:pPr>
      <w:ind w:left="210"/>
      <w:jc w:val="left"/>
    </w:pPr>
    <w:rPr>
      <w:smallCaps/>
      <w:szCs w:val="24"/>
    </w:rPr>
  </w:style>
  <w:style w:type="paragraph" w:styleId="40">
    <w:name w:val="toc 9"/>
    <w:basedOn w:val="1"/>
    <w:next w:val="1"/>
    <w:semiHidden/>
    <w:qFormat/>
    <w:uiPriority w:val="0"/>
    <w:pPr>
      <w:ind w:left="1680"/>
      <w:jc w:val="left"/>
    </w:pPr>
  </w:style>
  <w:style w:type="paragraph" w:styleId="41">
    <w:name w:val="Body Text 2"/>
    <w:basedOn w:val="1"/>
    <w:link w:val="72"/>
    <w:qFormat/>
    <w:uiPriority w:val="0"/>
    <w:pPr>
      <w:widowControl/>
      <w:jc w:val="center"/>
    </w:pPr>
    <w:rPr>
      <w:rFonts w:ascii="楷体_GB2312" w:eastAsia="楷体_GB2312" w:hAnsiTheme="minorHAnsi" w:cstheme="minorBidi"/>
      <w:sz w:val="28"/>
      <w:szCs w:val="28"/>
    </w:rPr>
  </w:style>
  <w:style w:type="paragraph" w:styleId="42">
    <w:name w:val="Normal (Web)"/>
    <w:basedOn w:val="1"/>
    <w:qFormat/>
    <w:uiPriority w:val="0"/>
    <w:pPr>
      <w:widowControl/>
      <w:spacing w:before="100" w:beforeAutospacing="1" w:after="100" w:afterAutospacing="1"/>
      <w:jc w:val="left"/>
    </w:pPr>
    <w:rPr>
      <w:kern w:val="0"/>
      <w:sz w:val="24"/>
      <w:szCs w:val="24"/>
    </w:rPr>
  </w:style>
  <w:style w:type="paragraph" w:styleId="43">
    <w:name w:val="index 1"/>
    <w:basedOn w:val="1"/>
    <w:next w:val="1"/>
    <w:semiHidden/>
    <w:qFormat/>
    <w:uiPriority w:val="0"/>
    <w:pPr>
      <w:spacing w:line="240" w:lineRule="atLeast"/>
    </w:pPr>
    <w:rPr>
      <w:b/>
      <w:bCs/>
    </w:r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table" w:styleId="51">
    <w:name w:val="Table Grid"/>
    <w:basedOn w:val="50"/>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2">
    <w:name w:val="标题 1 Char"/>
    <w:basedOn w:val="44"/>
    <w:link w:val="3"/>
    <w:qFormat/>
    <w:uiPriority w:val="0"/>
    <w:rPr>
      <w:rFonts w:ascii="楷体_GB2312" w:hAnsi="宋体" w:eastAsia="楷体_GB2312" w:cs="宋体"/>
      <w:sz w:val="28"/>
      <w:szCs w:val="28"/>
    </w:rPr>
  </w:style>
  <w:style w:type="character" w:customStyle="1" w:styleId="53">
    <w:name w:val="标题 2 Char"/>
    <w:basedOn w:val="44"/>
    <w:link w:val="4"/>
    <w:qFormat/>
    <w:uiPriority w:val="0"/>
    <w:rPr>
      <w:rFonts w:ascii="Arial" w:hAnsi="Arial" w:eastAsia="幼圆" w:cs="Arial"/>
      <w:b/>
      <w:bCs/>
      <w:sz w:val="44"/>
      <w:szCs w:val="44"/>
    </w:rPr>
  </w:style>
  <w:style w:type="character" w:customStyle="1" w:styleId="54">
    <w:name w:val="标题 3 Char"/>
    <w:basedOn w:val="44"/>
    <w:link w:val="6"/>
    <w:qFormat/>
    <w:uiPriority w:val="0"/>
    <w:rPr>
      <w:rFonts w:ascii="宋体" w:hAnsi="宋体" w:eastAsia="宋体" w:cs="宋体"/>
      <w:b/>
      <w:bCs/>
      <w:sz w:val="32"/>
      <w:szCs w:val="32"/>
    </w:rPr>
  </w:style>
  <w:style w:type="character" w:customStyle="1" w:styleId="55">
    <w:name w:val="标题 4 Char"/>
    <w:basedOn w:val="44"/>
    <w:link w:val="7"/>
    <w:qFormat/>
    <w:uiPriority w:val="0"/>
    <w:rPr>
      <w:rFonts w:ascii="Arial" w:hAnsi="Arial" w:eastAsia="黑体" w:cs="Arial"/>
      <w:b/>
      <w:bCs/>
      <w:sz w:val="28"/>
      <w:szCs w:val="28"/>
    </w:rPr>
  </w:style>
  <w:style w:type="character" w:customStyle="1" w:styleId="56">
    <w:name w:val="标题 5 Char"/>
    <w:basedOn w:val="44"/>
    <w:link w:val="8"/>
    <w:qFormat/>
    <w:uiPriority w:val="0"/>
    <w:rPr>
      <w:rFonts w:ascii="宋体" w:hAnsi="宋体" w:eastAsia="宋体" w:cs="宋体"/>
      <w:color w:val="000000"/>
      <w:kern w:val="0"/>
      <w:sz w:val="28"/>
      <w:szCs w:val="28"/>
    </w:rPr>
  </w:style>
  <w:style w:type="character" w:customStyle="1" w:styleId="57">
    <w:name w:val="标题 6 Char"/>
    <w:basedOn w:val="44"/>
    <w:link w:val="9"/>
    <w:qFormat/>
    <w:uiPriority w:val="0"/>
    <w:rPr>
      <w:rFonts w:ascii="Arial" w:hAnsi="Arial" w:eastAsia="黑体" w:cs="宋体"/>
      <w:b/>
      <w:bCs/>
      <w:sz w:val="24"/>
      <w:szCs w:val="24"/>
    </w:rPr>
  </w:style>
  <w:style w:type="character" w:customStyle="1" w:styleId="58">
    <w:name w:val="标题 7 Char"/>
    <w:basedOn w:val="44"/>
    <w:link w:val="10"/>
    <w:qFormat/>
    <w:uiPriority w:val="0"/>
    <w:rPr>
      <w:rFonts w:ascii="宋体" w:hAnsi="宋体" w:eastAsia="宋体" w:cs="宋体"/>
      <w:b/>
      <w:bCs/>
      <w:sz w:val="24"/>
      <w:szCs w:val="24"/>
    </w:rPr>
  </w:style>
  <w:style w:type="character" w:customStyle="1" w:styleId="59">
    <w:name w:val="标题 8 Char"/>
    <w:basedOn w:val="44"/>
    <w:link w:val="11"/>
    <w:qFormat/>
    <w:uiPriority w:val="0"/>
    <w:rPr>
      <w:rFonts w:ascii="Arial" w:hAnsi="Arial" w:eastAsia="黑体" w:cs="宋体"/>
      <w:sz w:val="24"/>
      <w:szCs w:val="24"/>
    </w:rPr>
  </w:style>
  <w:style w:type="character" w:customStyle="1" w:styleId="60">
    <w:name w:val="标题 9 Char"/>
    <w:basedOn w:val="44"/>
    <w:link w:val="12"/>
    <w:qFormat/>
    <w:uiPriority w:val="0"/>
    <w:rPr>
      <w:rFonts w:ascii="Arial" w:hAnsi="Arial" w:eastAsia="黑体" w:cs="宋体"/>
      <w:szCs w:val="21"/>
    </w:rPr>
  </w:style>
  <w:style w:type="character" w:customStyle="1" w:styleId="61">
    <w:name w:val="Char Char Char Char Char"/>
    <w:link w:val="62"/>
    <w:qFormat/>
    <w:uiPriority w:val="0"/>
    <w:rPr>
      <w:rFonts w:ascii="Tahoma" w:hAnsi="Tahoma" w:eastAsia="宋体"/>
      <w:sz w:val="24"/>
      <w:szCs w:val="24"/>
      <w:shd w:val="clear" w:color="auto" w:fill="000080"/>
    </w:rPr>
  </w:style>
  <w:style w:type="paragraph" w:customStyle="1" w:styleId="62">
    <w:name w:val="Char Char Char Char1"/>
    <w:basedOn w:val="18"/>
    <w:link w:val="61"/>
    <w:qFormat/>
    <w:uiPriority w:val="0"/>
    <w:pPr>
      <w:adjustRightInd w:val="0"/>
      <w:snapToGrid w:val="0"/>
      <w:spacing w:line="360" w:lineRule="auto"/>
    </w:pPr>
    <w:rPr>
      <w:rFonts w:ascii="Tahoma" w:hAnsi="Tahoma"/>
      <w:sz w:val="24"/>
      <w:szCs w:val="24"/>
    </w:rPr>
  </w:style>
  <w:style w:type="character" w:customStyle="1" w:styleId="63">
    <w:name w:val="批注主题 Char"/>
    <w:basedOn w:val="64"/>
    <w:link w:val="14"/>
    <w:semiHidden/>
    <w:qFormat/>
    <w:uiPriority w:val="0"/>
    <w:rPr>
      <w:b/>
      <w:bCs/>
      <w:szCs w:val="21"/>
    </w:rPr>
  </w:style>
  <w:style w:type="character" w:customStyle="1" w:styleId="64">
    <w:name w:val="批注文字 Char"/>
    <w:basedOn w:val="44"/>
    <w:link w:val="15"/>
    <w:semiHidden/>
    <w:qFormat/>
    <w:uiPriority w:val="0"/>
    <w:rPr>
      <w:szCs w:val="21"/>
    </w:rPr>
  </w:style>
  <w:style w:type="character" w:customStyle="1" w:styleId="65">
    <w:name w:val="正文文本缩进 Char"/>
    <w:basedOn w:val="44"/>
    <w:link w:val="21"/>
    <w:qFormat/>
    <w:uiPriority w:val="0"/>
    <w:rPr>
      <w:rFonts w:ascii="楷体_GB2312" w:eastAsia="楷体_GB2312"/>
      <w:sz w:val="32"/>
      <w:szCs w:val="32"/>
    </w:rPr>
  </w:style>
  <w:style w:type="character" w:customStyle="1" w:styleId="66">
    <w:name w:val="font5 Char"/>
    <w:qFormat/>
    <w:uiPriority w:val="0"/>
    <w:rPr>
      <w:rFonts w:ascii="宋体" w:hAnsi="宋体" w:eastAsia="宋体"/>
      <w:sz w:val="28"/>
      <w:szCs w:val="28"/>
      <w:lang w:val="en-US" w:eastAsia="zh-CN" w:bidi="ar-SA"/>
    </w:rPr>
  </w:style>
  <w:style w:type="character" w:customStyle="1" w:styleId="67">
    <w:name w:val="批注框文本 Char"/>
    <w:basedOn w:val="44"/>
    <w:link w:val="29"/>
    <w:semiHidden/>
    <w:qFormat/>
    <w:uiPriority w:val="0"/>
    <w:rPr>
      <w:sz w:val="18"/>
      <w:szCs w:val="18"/>
    </w:rPr>
  </w:style>
  <w:style w:type="character" w:customStyle="1" w:styleId="68">
    <w:name w:val="正文首行缩进 2 Char"/>
    <w:basedOn w:val="65"/>
    <w:link w:val="31"/>
    <w:qFormat/>
    <w:uiPriority w:val="0"/>
    <w:rPr>
      <w:rFonts w:ascii="楷体_GB2312" w:eastAsia="楷体_GB2312"/>
      <w:sz w:val="32"/>
      <w:szCs w:val="32"/>
    </w:rPr>
  </w:style>
  <w:style w:type="character" w:customStyle="1" w:styleId="69">
    <w:name w:val="正文文本 Char"/>
    <w:basedOn w:val="44"/>
    <w:link w:val="20"/>
    <w:qFormat/>
    <w:uiPriority w:val="0"/>
    <w:rPr>
      <w:rFonts w:ascii="楷体_GB2312" w:hAnsi="Arial" w:eastAsia="楷体_GB2312"/>
      <w:sz w:val="28"/>
      <w:szCs w:val="28"/>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1"/>
    <w:basedOn w:val="1"/>
    <w:link w:val="70"/>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2">
    <w:name w:val="正文文本 2 Char"/>
    <w:basedOn w:val="44"/>
    <w:link w:val="41"/>
    <w:qFormat/>
    <w:uiPriority w:val="0"/>
    <w:rPr>
      <w:rFonts w:ascii="楷体_GB2312" w:eastAsia="楷体_GB2312"/>
      <w:sz w:val="28"/>
      <w:szCs w:val="28"/>
    </w:rPr>
  </w:style>
  <w:style w:type="character" w:customStyle="1" w:styleId="73">
    <w:name w:val="正文文本缩进 3 Char"/>
    <w:basedOn w:val="44"/>
    <w:link w:val="37"/>
    <w:qFormat/>
    <w:uiPriority w:val="0"/>
    <w:rPr>
      <w:rFonts w:ascii="Arial" w:hAnsi="Arial" w:eastAsia="仿宋_GB2312" w:cs="Arial"/>
      <w:color w:val="FFFF00"/>
      <w:sz w:val="32"/>
      <w:szCs w:val="32"/>
    </w:rPr>
  </w:style>
  <w:style w:type="character" w:customStyle="1" w:styleId="74">
    <w:name w:val="二级目录 Char"/>
    <w:link w:val="75"/>
    <w:qFormat/>
    <w:uiPriority w:val="0"/>
    <w:rPr>
      <w:b/>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6">
    <w:name w:val="正文缩进 Char"/>
    <w:link w:val="5"/>
    <w:qFormat/>
    <w:uiPriority w:val="0"/>
    <w:rPr>
      <w:szCs w:val="21"/>
    </w:rPr>
  </w:style>
  <w:style w:type="character" w:customStyle="1" w:styleId="77">
    <w:name w:val="Char Char Char Char Char1"/>
    <w:link w:val="78"/>
    <w:qFormat/>
    <w:uiPriority w:val="0"/>
    <w:rPr>
      <w:rFonts w:ascii="Tahoma" w:hAnsi="Tahoma"/>
      <w:sz w:val="24"/>
      <w:szCs w:val="24"/>
      <w:shd w:val="clear" w:color="auto" w:fill="000080"/>
    </w:rPr>
  </w:style>
  <w:style w:type="paragraph" w:customStyle="1" w:styleId="78">
    <w:name w:val="Char Char Char Char"/>
    <w:basedOn w:val="18"/>
    <w:link w:val="77"/>
    <w:qFormat/>
    <w:uiPriority w:val="0"/>
    <w:pPr>
      <w:adjustRightInd w:val="0"/>
      <w:snapToGrid w:val="0"/>
      <w:spacing w:line="360" w:lineRule="auto"/>
    </w:pPr>
    <w:rPr>
      <w:rFonts w:ascii="Tahoma" w:hAnsi="Tahoma" w:eastAsiaTheme="minorEastAsia"/>
      <w:sz w:val="24"/>
      <w:szCs w:val="24"/>
    </w:rPr>
  </w:style>
  <w:style w:type="character" w:customStyle="1" w:styleId="79">
    <w:name w:val="文档结构图 Char"/>
    <w:link w:val="18"/>
    <w:semiHidden/>
    <w:qFormat/>
    <w:uiPriority w:val="0"/>
    <w:rPr>
      <w:rFonts w:eastAsia="宋体"/>
      <w:szCs w:val="21"/>
      <w:shd w:val="clear" w:color="auto" w:fill="000080"/>
    </w:rPr>
  </w:style>
  <w:style w:type="character" w:customStyle="1" w:styleId="80">
    <w:name w:val="纯文本 Char"/>
    <w:link w:val="25"/>
    <w:qFormat/>
    <w:uiPriority w:val="0"/>
    <w:rPr>
      <w:rFonts w:ascii="宋体" w:hAnsi="Courier New" w:cs="Courier New"/>
      <w:szCs w:val="21"/>
    </w:rPr>
  </w:style>
  <w:style w:type="character" w:customStyle="1" w:styleId="81">
    <w:name w:val="页脚 Char"/>
    <w:basedOn w:val="44"/>
    <w:link w:val="30"/>
    <w:qFormat/>
    <w:uiPriority w:val="0"/>
    <w:rPr>
      <w:sz w:val="18"/>
      <w:szCs w:val="18"/>
    </w:rPr>
  </w:style>
  <w:style w:type="character" w:customStyle="1" w:styleId="82">
    <w:name w:val="正文文本 3 Char"/>
    <w:basedOn w:val="44"/>
    <w:link w:val="19"/>
    <w:qFormat/>
    <w:uiPriority w:val="0"/>
    <w:rPr>
      <w:rFonts w:ascii="仿宋_GB2312" w:hAnsi="Arial" w:eastAsia="仿宋_GB2312"/>
      <w:sz w:val="32"/>
      <w:szCs w:val="32"/>
    </w:rPr>
  </w:style>
  <w:style w:type="character" w:customStyle="1" w:styleId="83">
    <w:name w:val="正文首行缩进 Char"/>
    <w:basedOn w:val="69"/>
    <w:link w:val="17"/>
    <w:qFormat/>
    <w:uiPriority w:val="0"/>
    <w:rPr>
      <w:rFonts w:ascii="仿宋_GB2312" w:hAnsi="Arial" w:eastAsia="仿宋_GB2312"/>
      <w:sz w:val="30"/>
      <w:szCs w:val="30"/>
    </w:rPr>
  </w:style>
  <w:style w:type="character" w:customStyle="1" w:styleId="84">
    <w:name w:val="正文文本缩进 2 Char"/>
    <w:basedOn w:val="44"/>
    <w:link w:val="28"/>
    <w:qFormat/>
    <w:uiPriority w:val="0"/>
    <w:rPr>
      <w:rFonts w:ascii="Arial" w:hAnsi="Arial" w:eastAsia="仿宋_GB2312" w:cs="Arial"/>
      <w:sz w:val="32"/>
      <w:szCs w:val="32"/>
    </w:rPr>
  </w:style>
  <w:style w:type="character" w:customStyle="1" w:styleId="85">
    <w:name w:val="页眉 Char"/>
    <w:basedOn w:val="44"/>
    <w:link w:val="32"/>
    <w:qFormat/>
    <w:uiPriority w:val="0"/>
    <w:rPr>
      <w:sz w:val="18"/>
      <w:szCs w:val="18"/>
    </w:rPr>
  </w:style>
  <w:style w:type="character" w:customStyle="1" w:styleId="86">
    <w:name w:val="日期 Char"/>
    <w:basedOn w:val="44"/>
    <w:link w:val="27"/>
    <w:qFormat/>
    <w:uiPriority w:val="0"/>
    <w:rPr>
      <w:sz w:val="24"/>
      <w:szCs w:val="24"/>
    </w:rPr>
  </w:style>
  <w:style w:type="paragraph" w:customStyle="1" w:styleId="8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89">
    <w:name w:val="批注文字 Char1"/>
    <w:basedOn w:val="44"/>
    <w:semiHidden/>
    <w:qFormat/>
    <w:uiPriority w:val="99"/>
    <w:rPr>
      <w:rFonts w:ascii="宋体" w:hAnsi="宋体" w:eastAsia="宋体" w:cs="宋体"/>
      <w:szCs w:val="21"/>
    </w:rPr>
  </w:style>
  <w:style w:type="character" w:customStyle="1" w:styleId="90">
    <w:name w:val="页眉 Char1"/>
    <w:basedOn w:val="44"/>
    <w:semiHidden/>
    <w:qFormat/>
    <w:uiPriority w:val="99"/>
    <w:rPr>
      <w:rFonts w:ascii="宋体" w:hAnsi="宋体" w:eastAsia="宋体" w:cs="宋体"/>
      <w:sz w:val="18"/>
      <w:szCs w:val="18"/>
    </w:rPr>
  </w:style>
  <w:style w:type="paragraph" w:customStyle="1" w:styleId="91">
    <w:name w:val="xl30"/>
    <w:basedOn w:val="1"/>
    <w:qFormat/>
    <w:uiPriority w:val="0"/>
    <w:pPr>
      <w:widowControl/>
      <w:spacing w:before="100" w:beforeAutospacing="1" w:after="100" w:afterAutospacing="1"/>
      <w:jc w:val="center"/>
    </w:pPr>
    <w:rPr>
      <w:b/>
      <w:bCs/>
      <w:kern w:val="0"/>
      <w:sz w:val="36"/>
      <w:szCs w:val="36"/>
    </w:rPr>
  </w:style>
  <w:style w:type="paragraph" w:customStyle="1" w:styleId="9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3">
    <w:name w:val="表格"/>
    <w:basedOn w:val="1"/>
    <w:qFormat/>
    <w:uiPriority w:val="0"/>
    <w:rPr>
      <w:rFonts w:ascii="华文细黑" w:hAnsi="华文细黑" w:eastAsia="华文细黑"/>
      <w:szCs w:val="24"/>
    </w:rPr>
  </w:style>
  <w:style w:type="character" w:customStyle="1" w:styleId="94">
    <w:name w:val="日期 Char1"/>
    <w:basedOn w:val="44"/>
    <w:semiHidden/>
    <w:qFormat/>
    <w:uiPriority w:val="99"/>
    <w:rPr>
      <w:rFonts w:ascii="宋体" w:hAnsi="宋体" w:eastAsia="宋体" w:cs="宋体"/>
      <w:szCs w:val="21"/>
    </w:rPr>
  </w:style>
  <w:style w:type="paragraph" w:customStyle="1" w:styleId="95">
    <w:name w:val="4"/>
    <w:basedOn w:val="1"/>
    <w:next w:val="37"/>
    <w:qFormat/>
    <w:uiPriority w:val="0"/>
    <w:pPr>
      <w:spacing w:line="360" w:lineRule="auto"/>
      <w:ind w:firstLine="420"/>
    </w:pPr>
    <w:rPr>
      <w:color w:val="FF0000"/>
      <w:sz w:val="24"/>
      <w:szCs w:val="24"/>
    </w:rPr>
  </w:style>
  <w:style w:type="paragraph" w:customStyle="1" w:styleId="96">
    <w:name w:val="Char Char Char Char Char Char Char Char Char Char"/>
    <w:basedOn w:val="1"/>
    <w:qFormat/>
    <w:uiPriority w:val="0"/>
    <w:pPr>
      <w:adjustRightInd w:val="0"/>
      <w:spacing w:line="360" w:lineRule="auto"/>
    </w:pPr>
    <w:rPr>
      <w:kern w:val="0"/>
      <w:sz w:val="24"/>
      <w:szCs w:val="20"/>
    </w:rPr>
  </w:style>
  <w:style w:type="paragraph" w:customStyle="1" w:styleId="97">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98">
    <w:name w:val="Char"/>
    <w:basedOn w:val="18"/>
    <w:qFormat/>
    <w:uiPriority w:val="0"/>
    <w:rPr>
      <w:rFonts w:ascii="Tahoma" w:hAnsi="Tahoma"/>
      <w:sz w:val="24"/>
      <w:szCs w:val="24"/>
    </w:rPr>
  </w:style>
  <w:style w:type="paragraph" w:customStyle="1" w:styleId="99">
    <w:name w:val="寄信人地址1"/>
    <w:basedOn w:val="1"/>
    <w:qFormat/>
    <w:uiPriority w:val="0"/>
    <w:pPr>
      <w:snapToGrid w:val="0"/>
    </w:pPr>
    <w:rPr>
      <w:rFonts w:ascii="Arial" w:hAnsi="Arial"/>
    </w:rPr>
  </w:style>
  <w:style w:type="character" w:customStyle="1" w:styleId="100">
    <w:name w:val="正文文本 Char1"/>
    <w:basedOn w:val="44"/>
    <w:semiHidden/>
    <w:qFormat/>
    <w:uiPriority w:val="99"/>
    <w:rPr>
      <w:rFonts w:ascii="宋体" w:hAnsi="宋体" w:eastAsia="宋体" w:cs="宋体"/>
      <w:szCs w:val="21"/>
    </w:rPr>
  </w:style>
  <w:style w:type="character" w:customStyle="1" w:styleId="101">
    <w:name w:val="文档结构图 Char1"/>
    <w:basedOn w:val="44"/>
    <w:semiHidden/>
    <w:qFormat/>
    <w:uiPriority w:val="99"/>
    <w:rPr>
      <w:rFonts w:ascii="宋体" w:hAnsi="宋体" w:eastAsia="宋体" w:cs="宋体"/>
      <w:sz w:val="18"/>
      <w:szCs w:val="18"/>
    </w:rPr>
  </w:style>
  <w:style w:type="character" w:customStyle="1" w:styleId="102">
    <w:name w:val="页脚 Char1"/>
    <w:basedOn w:val="44"/>
    <w:semiHidden/>
    <w:qFormat/>
    <w:uiPriority w:val="99"/>
    <w:rPr>
      <w:rFonts w:ascii="宋体" w:hAnsi="宋体" w:eastAsia="宋体" w:cs="宋体"/>
      <w:sz w:val="18"/>
      <w:szCs w:val="18"/>
    </w:rPr>
  </w:style>
  <w:style w:type="character" w:customStyle="1" w:styleId="103">
    <w:name w:val="正文文本 3 Char1"/>
    <w:basedOn w:val="44"/>
    <w:semiHidden/>
    <w:qFormat/>
    <w:uiPriority w:val="99"/>
    <w:rPr>
      <w:rFonts w:ascii="宋体" w:hAnsi="宋体" w:eastAsia="宋体" w:cs="宋体"/>
      <w:sz w:val="16"/>
      <w:szCs w:val="16"/>
    </w:rPr>
  </w:style>
  <w:style w:type="paragraph" w:styleId="10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5">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列出段落1"/>
    <w:basedOn w:val="1"/>
    <w:qFormat/>
    <w:uiPriority w:val="0"/>
    <w:pPr>
      <w:ind w:firstLine="420" w:firstLineChars="200"/>
    </w:pPr>
    <w:rPr>
      <w:rFonts w:cs="Calibri"/>
    </w:rPr>
  </w:style>
  <w:style w:type="paragraph" w:customStyle="1" w:styleId="1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09">
    <w:name w:val="正文文本缩进 2 Char1"/>
    <w:basedOn w:val="44"/>
    <w:semiHidden/>
    <w:qFormat/>
    <w:uiPriority w:val="99"/>
    <w:rPr>
      <w:rFonts w:ascii="宋体" w:hAnsi="宋体" w:eastAsia="宋体" w:cs="宋体"/>
      <w:szCs w:val="21"/>
    </w:rPr>
  </w:style>
  <w:style w:type="character" w:customStyle="1" w:styleId="110">
    <w:name w:val="正文文本缩进 Char1"/>
    <w:basedOn w:val="44"/>
    <w:semiHidden/>
    <w:qFormat/>
    <w:uiPriority w:val="99"/>
    <w:rPr>
      <w:rFonts w:ascii="宋体" w:hAnsi="宋体" w:eastAsia="宋体" w:cs="宋体"/>
      <w:szCs w:val="21"/>
    </w:rPr>
  </w:style>
  <w:style w:type="paragraph" w:customStyle="1" w:styleId="111">
    <w:name w:val="table_1stline"/>
    <w:basedOn w:val="1"/>
    <w:qFormat/>
    <w:uiPriority w:val="0"/>
    <w:pPr>
      <w:widowControl/>
      <w:spacing w:before="120"/>
      <w:jc w:val="left"/>
    </w:pPr>
    <w:rPr>
      <w:bCs/>
      <w:kern w:val="0"/>
      <w:sz w:val="20"/>
      <w:szCs w:val="20"/>
      <w:lang w:val="de-DE" w:eastAsia="de-DE"/>
    </w:rPr>
  </w:style>
  <w:style w:type="paragraph" w:customStyle="1" w:styleId="11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3">
    <w:name w:val="正文文本缩进 3 Char1"/>
    <w:basedOn w:val="44"/>
    <w:semiHidden/>
    <w:qFormat/>
    <w:uiPriority w:val="99"/>
    <w:rPr>
      <w:rFonts w:ascii="宋体" w:hAnsi="宋体" w:eastAsia="宋体" w:cs="宋体"/>
      <w:sz w:val="16"/>
      <w:szCs w:val="16"/>
    </w:rPr>
  </w:style>
  <w:style w:type="paragraph" w:customStyle="1" w:styleId="114">
    <w:name w:val="Body Text(ch)"/>
    <w:basedOn w:val="1"/>
    <w:next w:val="20"/>
    <w:qFormat/>
    <w:uiPriority w:val="0"/>
    <w:pPr>
      <w:spacing w:after="120"/>
    </w:pPr>
    <w:rPr>
      <w:rFonts w:hAnsi="Arial"/>
      <w:bCs/>
      <w:iCs/>
      <w:szCs w:val="24"/>
    </w:rPr>
  </w:style>
  <w:style w:type="character" w:customStyle="1" w:styleId="115">
    <w:name w:val="纯文本 Char1"/>
    <w:basedOn w:val="44"/>
    <w:semiHidden/>
    <w:qFormat/>
    <w:uiPriority w:val="99"/>
    <w:rPr>
      <w:rFonts w:ascii="宋体" w:hAnsi="Courier New" w:eastAsia="宋体" w:cs="Courier New"/>
      <w:szCs w:val="21"/>
    </w:rPr>
  </w:style>
  <w:style w:type="paragraph" w:customStyle="1" w:styleId="116">
    <w:name w:val="普通 (Web)"/>
    <w:basedOn w:val="1"/>
    <w:qFormat/>
    <w:uiPriority w:val="0"/>
    <w:pPr>
      <w:widowControl/>
      <w:spacing w:before="100" w:beforeAutospacing="1" w:after="100" w:afterAutospacing="1"/>
      <w:jc w:val="left"/>
    </w:pPr>
    <w:rPr>
      <w:kern w:val="0"/>
      <w:sz w:val="24"/>
      <w:szCs w:val="24"/>
    </w:rPr>
  </w:style>
  <w:style w:type="paragraph" w:customStyle="1" w:styleId="11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19">
    <w:name w:val="批注框文本 Char1"/>
    <w:basedOn w:val="44"/>
    <w:semiHidden/>
    <w:qFormat/>
    <w:uiPriority w:val="99"/>
    <w:rPr>
      <w:rFonts w:ascii="宋体" w:hAnsi="宋体" w:eastAsia="宋体" w:cs="宋体"/>
      <w:sz w:val="18"/>
      <w:szCs w:val="18"/>
    </w:rPr>
  </w:style>
  <w:style w:type="character" w:customStyle="1" w:styleId="120">
    <w:name w:val="正文文本 2 Char1"/>
    <w:basedOn w:val="44"/>
    <w:semiHidden/>
    <w:qFormat/>
    <w:uiPriority w:val="99"/>
    <w:rPr>
      <w:rFonts w:ascii="宋体" w:hAnsi="宋体" w:eastAsia="宋体" w:cs="宋体"/>
      <w:szCs w:val="21"/>
    </w:rPr>
  </w:style>
  <w:style w:type="character" w:customStyle="1" w:styleId="121">
    <w:name w:val="批注主题 Char1"/>
    <w:basedOn w:val="89"/>
    <w:semiHidden/>
    <w:qFormat/>
    <w:uiPriority w:val="99"/>
    <w:rPr>
      <w:rFonts w:ascii="宋体" w:hAnsi="宋体" w:eastAsia="宋体" w:cs="宋体"/>
      <w:b/>
      <w:bCs/>
      <w:szCs w:val="21"/>
    </w:rPr>
  </w:style>
  <w:style w:type="character" w:customStyle="1" w:styleId="122">
    <w:name w:val="正文首行缩进 Char1"/>
    <w:basedOn w:val="100"/>
    <w:semiHidden/>
    <w:qFormat/>
    <w:uiPriority w:val="99"/>
    <w:rPr>
      <w:rFonts w:ascii="宋体" w:hAnsi="宋体" w:eastAsia="宋体" w:cs="宋体"/>
      <w:szCs w:val="21"/>
    </w:rPr>
  </w:style>
  <w:style w:type="character" w:customStyle="1" w:styleId="123">
    <w:name w:val="正文首行缩进 2 Char1"/>
    <w:basedOn w:val="110"/>
    <w:semiHidden/>
    <w:qFormat/>
    <w:uiPriority w:val="99"/>
    <w:rPr>
      <w:rFonts w:ascii="宋体" w:hAnsi="宋体" w:eastAsia="宋体" w:cs="宋体"/>
      <w:szCs w:val="21"/>
    </w:rPr>
  </w:style>
  <w:style w:type="paragraph" w:customStyle="1" w:styleId="124">
    <w:name w:val="正文文本缩进1"/>
    <w:basedOn w:val="1"/>
    <w:next w:val="99"/>
    <w:qFormat/>
    <w:uiPriority w:val="0"/>
    <w:pPr>
      <w:spacing w:line="400" w:lineRule="exact"/>
      <w:ind w:firstLine="515"/>
    </w:pPr>
    <w:rPr>
      <w:rFonts w:ascii="楷体_GB2312" w:eastAsia="楷体_GB2312"/>
      <w:b/>
      <w:bCs/>
      <w:kern w:val="0"/>
      <w:sz w:val="24"/>
    </w:rPr>
  </w:style>
  <w:style w:type="paragraph" w:customStyle="1" w:styleId="1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6">
    <w:name w:val="正文首行缩进 21"/>
    <w:basedOn w:val="124"/>
    <w:qFormat/>
    <w:uiPriority w:val="0"/>
    <w:pPr>
      <w:spacing w:line="240" w:lineRule="auto"/>
      <w:ind w:left="420" w:leftChars="200" w:firstLine="420" w:firstLineChars="200"/>
    </w:pPr>
    <w:rPr>
      <w:sz w:val="21"/>
    </w:rPr>
  </w:style>
  <w:style w:type="paragraph" w:customStyle="1" w:styleId="127">
    <w:name w:val="table_lines"/>
    <w:basedOn w:val="1"/>
    <w:qFormat/>
    <w:uiPriority w:val="0"/>
    <w:pPr>
      <w:widowControl/>
      <w:jc w:val="left"/>
    </w:pPr>
    <w:rPr>
      <w:kern w:val="0"/>
      <w:sz w:val="20"/>
      <w:szCs w:val="20"/>
      <w:lang w:val="de-DE" w:eastAsia="de-DE"/>
    </w:rPr>
  </w:style>
  <w:style w:type="paragraph" w:customStyle="1" w:styleId="128">
    <w:name w:val="样式1"/>
    <w:basedOn w:val="1"/>
    <w:qFormat/>
    <w:uiPriority w:val="0"/>
    <w:pPr>
      <w:tabs>
        <w:tab w:val="left" w:pos="709"/>
      </w:tabs>
      <w:adjustRightInd w:val="0"/>
      <w:ind w:left="709" w:hanging="709"/>
      <w:textAlignment w:val="baseline"/>
    </w:pPr>
    <w:rPr>
      <w:kern w:val="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1">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2">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3">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4">
    <w:name w:val="Char1"/>
    <w:basedOn w:val="1"/>
    <w:qFormat/>
    <w:uiPriority w:val="0"/>
    <w:pPr>
      <w:tabs>
        <w:tab w:val="left" w:pos="360"/>
      </w:tabs>
      <w:ind w:firstLine="200" w:firstLineChars="200"/>
    </w:pPr>
    <w:rPr>
      <w:sz w:val="28"/>
      <w:szCs w:val="30"/>
    </w:rPr>
  </w:style>
  <w:style w:type="paragraph" w:customStyle="1" w:styleId="135">
    <w:name w:val="Char Char Char Char Char Char Char Char Char Char1"/>
    <w:basedOn w:val="1"/>
    <w:qFormat/>
    <w:uiPriority w:val="0"/>
    <w:pPr>
      <w:adjustRightInd w:val="0"/>
      <w:spacing w:line="360" w:lineRule="auto"/>
    </w:pPr>
    <w:rPr>
      <w:kern w:val="0"/>
      <w:sz w:val="24"/>
      <w:szCs w:val="20"/>
    </w:rPr>
  </w:style>
  <w:style w:type="paragraph" w:customStyle="1" w:styleId="136">
    <w:name w:val="List Paragraph1"/>
    <w:basedOn w:val="1"/>
    <w:qFormat/>
    <w:uiPriority w:val="0"/>
    <w:pPr>
      <w:ind w:firstLine="420" w:firstLineChars="200"/>
    </w:pPr>
    <w:rPr>
      <w:rFonts w:cs="Calibri"/>
    </w:rPr>
  </w:style>
  <w:style w:type="paragraph" w:customStyle="1" w:styleId="137">
    <w:name w:val="p0"/>
    <w:basedOn w:val="1"/>
    <w:qFormat/>
    <w:uiPriority w:val="0"/>
    <w:pPr>
      <w:widowControl/>
      <w:spacing w:before="100" w:beforeAutospacing="1" w:after="100" w:afterAutospacing="1"/>
      <w:jc w:val="left"/>
    </w:pPr>
    <w:rPr>
      <w:kern w:val="0"/>
      <w:sz w:val="24"/>
      <w:szCs w:val="24"/>
    </w:rPr>
  </w:style>
  <w:style w:type="paragraph" w:customStyle="1" w:styleId="138">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85</Pages>
  <Words>46345</Words>
  <Characters>9554</Characters>
  <Lines>79</Lines>
  <Paragraphs>111</Paragraphs>
  <TotalTime>3</TotalTime>
  <ScaleCrop>false</ScaleCrop>
  <LinksUpToDate>false</LinksUpToDate>
  <CharactersWithSpaces>55788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Administrator</cp:lastModifiedBy>
  <cp:lastPrinted>2021-07-15T09:54:00Z</cp:lastPrinted>
  <dcterms:modified xsi:type="dcterms:W3CDTF">2021-07-30T09:01:51Z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5338DE3BE28947F0B0B57F918618440C</vt:lpwstr>
  </property>
</Properties>
</file>