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rPr>
      </w:pPr>
    </w:p>
    <w:p>
      <w:pPr>
        <w:spacing w:line="760" w:lineRule="exact"/>
        <w:jc w:val="center"/>
        <w:rPr>
          <w:rFonts w:hint="eastAsia" w:ascii="宋体" w:hAnsi="宋体" w:cs="宋体"/>
          <w:b/>
          <w:color w:val="000000"/>
          <w:sz w:val="36"/>
          <w:szCs w:val="36"/>
        </w:rPr>
      </w:pPr>
    </w:p>
    <w:p>
      <w:pPr>
        <w:spacing w:line="760" w:lineRule="exact"/>
        <w:jc w:val="center"/>
        <w:rPr>
          <w:rFonts w:eastAsiaTheme="minorEastAsia"/>
          <w:b/>
          <w:bCs/>
          <w:color w:val="000000" w:themeColor="text1"/>
          <w:sz w:val="50"/>
          <w:szCs w:val="32"/>
        </w:rPr>
      </w:pPr>
      <w:r>
        <w:rPr>
          <w:rFonts w:hint="eastAsia" w:ascii="宋体" w:hAnsi="宋体" w:cs="宋体"/>
          <w:b/>
          <w:color w:val="000000"/>
          <w:sz w:val="36"/>
          <w:szCs w:val="36"/>
        </w:rPr>
        <w:t>盐城幼儿师范高等专科学校入侵防御系统项目</w:t>
      </w:r>
    </w:p>
    <w:p>
      <w:pPr>
        <w:jc w:val="center"/>
        <w:rPr>
          <w:b/>
          <w:bCs/>
          <w:color w:val="000000" w:themeColor="text1"/>
          <w:sz w:val="32"/>
          <w:szCs w:val="32"/>
        </w:rPr>
      </w:pPr>
    </w:p>
    <w:p>
      <w:pPr>
        <w:jc w:val="center"/>
        <w:rPr>
          <w:color w:val="000000" w:themeColor="text1"/>
          <w:sz w:val="32"/>
          <w:szCs w:val="32"/>
        </w:rPr>
      </w:pPr>
    </w:p>
    <w:p>
      <w:pPr>
        <w:pStyle w:val="26"/>
      </w:pPr>
    </w:p>
    <w:p>
      <w:pPr>
        <w:pStyle w:val="26"/>
      </w:pPr>
    </w:p>
    <w:p>
      <w:pPr>
        <w:pStyle w:val="26"/>
      </w:pPr>
    </w:p>
    <w:p>
      <w:pPr>
        <w:pStyle w:val="26"/>
      </w:pPr>
    </w:p>
    <w:p>
      <w:pPr>
        <w:jc w:val="center"/>
        <w:rPr>
          <w:rFonts w:eastAsia="黑体"/>
          <w:bCs/>
          <w:color w:val="000000" w:themeColor="text1"/>
          <w:sz w:val="78"/>
          <w:szCs w:val="84"/>
        </w:rPr>
      </w:pPr>
      <w:r>
        <w:rPr>
          <w:rFonts w:hint="eastAsia" w:eastAsia="黑体"/>
          <w:bCs/>
          <w:color w:val="000000" w:themeColor="text1"/>
          <w:sz w:val="78"/>
          <w:szCs w:val="84"/>
        </w:rPr>
        <w:t>招 标 文 件</w:t>
      </w:r>
    </w:p>
    <w:p>
      <w:pPr>
        <w:jc w:val="center"/>
        <w:rPr>
          <w:color w:val="000000" w:themeColor="text1"/>
          <w:sz w:val="32"/>
          <w:szCs w:val="32"/>
        </w:rPr>
      </w:pPr>
    </w:p>
    <w:p>
      <w:pPr>
        <w:jc w:val="center"/>
        <w:rPr>
          <w:rFonts w:eastAsia="黑体"/>
          <w:bCs/>
          <w:color w:val="000000" w:themeColor="text1"/>
          <w:sz w:val="36"/>
          <w:szCs w:val="36"/>
        </w:rPr>
      </w:pPr>
      <w:r>
        <w:rPr>
          <w:rFonts w:hint="eastAsia" w:eastAsia="黑体"/>
          <w:bCs/>
          <w:color w:val="000000" w:themeColor="text1"/>
          <w:sz w:val="36"/>
          <w:szCs w:val="36"/>
        </w:rPr>
        <w:t>（</w:t>
      </w:r>
      <w:r>
        <w:rPr>
          <w:rFonts w:eastAsia="黑体"/>
          <w:bCs/>
          <w:color w:val="000000" w:themeColor="text1"/>
          <w:sz w:val="36"/>
          <w:szCs w:val="36"/>
        </w:rPr>
        <w:t>项目编号：</w:t>
      </w:r>
      <w:r>
        <w:rPr>
          <w:rFonts w:hint="eastAsia" w:eastAsia="黑体"/>
          <w:bCs/>
          <w:color w:val="000000" w:themeColor="text1"/>
          <w:sz w:val="36"/>
          <w:szCs w:val="36"/>
          <w:lang w:eastAsia="zh-CN"/>
        </w:rPr>
        <w:t>YCYZ2022HW004</w:t>
      </w:r>
      <w:r>
        <w:rPr>
          <w:rFonts w:hint="eastAsia" w:eastAsia="黑体"/>
          <w:bCs/>
          <w:color w:val="000000" w:themeColor="text1"/>
          <w:sz w:val="36"/>
          <w:szCs w:val="36"/>
        </w:rPr>
        <w:t>）</w:t>
      </w: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rPr>
          <w:color w:val="000000" w:themeColor="text1"/>
        </w:rPr>
      </w:pPr>
    </w:p>
    <w:p>
      <w:pPr>
        <w:spacing w:line="360" w:lineRule="auto"/>
        <w:jc w:val="center"/>
        <w:rPr>
          <w:rFonts w:asciiTheme="minorEastAsia" w:hAnsiTheme="minorEastAsia" w:eastAsiaTheme="minorEastAsia"/>
          <w:b/>
          <w:color w:val="000000" w:themeColor="text1"/>
          <w:spacing w:val="15"/>
          <w:sz w:val="36"/>
          <w:szCs w:val="36"/>
        </w:rPr>
      </w:pPr>
      <w:r>
        <w:rPr>
          <w:rFonts w:asciiTheme="minorEastAsia" w:hAnsiTheme="minorEastAsia" w:eastAsiaTheme="minorEastAsia"/>
          <w:b/>
          <w:color w:val="000000" w:themeColor="text1"/>
          <w:spacing w:val="15"/>
          <w:sz w:val="36"/>
          <w:szCs w:val="36"/>
        </w:rPr>
        <w:t>盐城幼儿师范高等专科学校</w:t>
      </w:r>
    </w:p>
    <w:p>
      <w:pPr>
        <w:spacing w:line="360" w:lineRule="auto"/>
        <w:jc w:val="center"/>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36"/>
          <w:szCs w:val="36"/>
        </w:rPr>
        <w:t>2022年</w:t>
      </w:r>
      <w:r>
        <w:rPr>
          <w:rFonts w:hint="eastAsia" w:asciiTheme="minorEastAsia" w:hAnsiTheme="minorEastAsia" w:eastAsiaTheme="minorEastAsia"/>
          <w:b/>
          <w:color w:val="000000" w:themeColor="text1"/>
          <w:sz w:val="36"/>
          <w:szCs w:val="36"/>
          <w:lang w:val="en-US" w:eastAsia="zh-CN"/>
        </w:rPr>
        <w:t>10</w:t>
      </w:r>
      <w:r>
        <w:rPr>
          <w:rFonts w:asciiTheme="minorEastAsia" w:hAnsiTheme="minorEastAsia" w:eastAsiaTheme="minorEastAsia"/>
          <w:b/>
          <w:color w:val="000000" w:themeColor="text1"/>
          <w:sz w:val="36"/>
          <w:szCs w:val="36"/>
        </w:rPr>
        <w:t>月</w:t>
      </w:r>
      <w:r>
        <w:rPr>
          <w:rFonts w:hint="eastAsia" w:asciiTheme="minorEastAsia" w:hAnsiTheme="minorEastAsia" w:eastAsiaTheme="minorEastAsia"/>
          <w:b/>
          <w:color w:val="000000" w:themeColor="text1"/>
          <w:sz w:val="36"/>
          <w:szCs w:val="36"/>
          <w:lang w:val="en-US" w:eastAsia="zh-CN"/>
        </w:rPr>
        <w:t>28</w:t>
      </w:r>
      <w:r>
        <w:rPr>
          <w:rFonts w:asciiTheme="minorEastAsia" w:hAnsiTheme="minorEastAsia" w:eastAsiaTheme="minorEastAsia"/>
          <w:b/>
          <w:color w:val="000000" w:themeColor="text1"/>
          <w:sz w:val="36"/>
          <w:szCs w:val="36"/>
        </w:rPr>
        <w:t>日</w:t>
      </w:r>
    </w:p>
    <w:p>
      <w:pPr>
        <w:pStyle w:val="26"/>
      </w:pPr>
      <w:r>
        <w:br w:type="page"/>
      </w:r>
    </w:p>
    <w:p>
      <w:pPr>
        <w:jc w:val="left"/>
        <w:rPr>
          <w:rFonts w:eastAsia="黑体"/>
          <w:b/>
          <w:bCs/>
          <w:color w:val="000000" w:themeColor="text1"/>
          <w:sz w:val="44"/>
          <w:szCs w:val="44"/>
        </w:rPr>
      </w:pPr>
    </w:p>
    <w:p>
      <w:pPr>
        <w:jc w:val="center"/>
        <w:outlineLvl w:val="0"/>
        <w:rPr>
          <w:rFonts w:eastAsia="黑体"/>
          <w:color w:val="000000" w:themeColor="text1"/>
          <w:sz w:val="40"/>
          <w:szCs w:val="40"/>
        </w:rPr>
      </w:pPr>
      <w:bookmarkStart w:id="0" w:name="_Toc108021864"/>
      <w:r>
        <w:rPr>
          <w:rFonts w:eastAsia="黑体"/>
          <w:color w:val="000000" w:themeColor="text1"/>
          <w:sz w:val="40"/>
          <w:szCs w:val="40"/>
        </w:rPr>
        <w:t>总 目 录</w:t>
      </w:r>
      <w:bookmarkEnd w:id="0"/>
    </w:p>
    <w:p>
      <w:pPr>
        <w:rPr>
          <w:rFonts w:eastAsia="黑体"/>
          <w:b/>
          <w:bCs/>
          <w:color w:val="000000" w:themeColor="text1"/>
          <w:sz w:val="28"/>
          <w:szCs w:val="28"/>
        </w:rPr>
      </w:pPr>
    </w:p>
    <w:p>
      <w:pPr>
        <w:pStyle w:val="18"/>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5"/>
          <w:rFonts w:hint="eastAsia" w:eastAsia="黑体"/>
          <w:sz w:val="28"/>
          <w:szCs w:val="28"/>
        </w:rPr>
        <w:t>第一章</w:t>
      </w:r>
      <w:r>
        <w:rPr>
          <w:rStyle w:val="25"/>
          <w:rFonts w:hint="eastAsia" w:eastAsia="黑体"/>
          <w:sz w:val="28"/>
          <w:szCs w:val="28"/>
          <w:lang w:eastAsia="zh-CN"/>
        </w:rPr>
        <w:t>招标</w:t>
      </w:r>
      <w:r>
        <w:rPr>
          <w:rStyle w:val="25"/>
          <w:rFonts w:hint="eastAsia" w:eastAsia="黑体"/>
          <w:sz w:val="28"/>
          <w:szCs w:val="28"/>
        </w:rPr>
        <w:t>公告</w:t>
      </w:r>
      <w:r>
        <w:rPr>
          <w:sz w:val="28"/>
          <w:szCs w:val="28"/>
        </w:rPr>
        <w:tab/>
      </w:r>
      <w:r>
        <w:rPr>
          <w:rFonts w:hint="eastAsia"/>
          <w:sz w:val="28"/>
          <w:szCs w:val="28"/>
        </w:rPr>
        <w:t>3</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"_Toc108021872" </w:instrText>
      </w:r>
      <w:r>
        <w:fldChar w:fldCharType="separate"/>
      </w:r>
      <w:r>
        <w:rPr>
          <w:rStyle w:val="25"/>
          <w:rFonts w:hint="eastAsia" w:eastAsia="黑体"/>
          <w:sz w:val="28"/>
          <w:szCs w:val="28"/>
        </w:rPr>
        <w:t>第二章投标人须知</w:t>
      </w:r>
      <w:r>
        <w:rPr>
          <w:sz w:val="28"/>
          <w:szCs w:val="28"/>
        </w:rPr>
        <w:tab/>
      </w:r>
      <w:r>
        <w:rPr>
          <w:rFonts w:hint="eastAsia"/>
          <w:sz w:val="28"/>
          <w:szCs w:val="28"/>
        </w:rPr>
        <w:t>7</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"_Toc108021874" </w:instrText>
      </w:r>
      <w:r>
        <w:fldChar w:fldCharType="separate"/>
      </w:r>
      <w:r>
        <w:rPr>
          <w:rStyle w:val="25"/>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8"/>
        <w:tabs>
          <w:tab w:val="right" w:leader="middleDot" w:pos="8720"/>
        </w:tabs>
        <w:rPr>
          <w:sz w:val="28"/>
          <w:szCs w:val="28"/>
        </w:rPr>
      </w:pPr>
      <w:r>
        <w:fldChar w:fldCharType="begin"/>
      </w:r>
      <w:r>
        <w:instrText xml:space="preserve"> HYPERLINK \l "_Toc108021875" </w:instrText>
      </w:r>
      <w:r>
        <w:fldChar w:fldCharType="separate"/>
      </w:r>
      <w:r>
        <w:rPr>
          <w:rStyle w:val="25"/>
          <w:rFonts w:hint="eastAsia" w:eastAsia="黑体"/>
          <w:sz w:val="28"/>
          <w:szCs w:val="28"/>
        </w:rPr>
        <w:t>第四章项目需求</w:t>
      </w:r>
      <w:r>
        <w:rPr>
          <w:sz w:val="28"/>
          <w:szCs w:val="28"/>
        </w:rPr>
        <w:tab/>
      </w:r>
      <w:r>
        <w:rPr>
          <w:rFonts w:hint="eastAsia"/>
          <w:sz w:val="28"/>
          <w:szCs w:val="28"/>
        </w:rPr>
        <w:t>2</w:t>
      </w:r>
      <w:r>
        <w:rPr>
          <w:rFonts w:hint="eastAsia"/>
          <w:sz w:val="28"/>
          <w:szCs w:val="28"/>
          <w:lang w:val="en-US" w:eastAsia="zh-CN"/>
        </w:rPr>
        <w:t>3</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"_Toc108021876" </w:instrText>
      </w:r>
      <w:r>
        <w:fldChar w:fldCharType="separate"/>
      </w:r>
      <w:r>
        <w:rPr>
          <w:rStyle w:val="25"/>
          <w:rFonts w:hint="eastAsia" w:eastAsia="黑体"/>
          <w:sz w:val="28"/>
          <w:szCs w:val="28"/>
        </w:rPr>
        <w:t>第五章定标原则与评标标准</w:t>
      </w:r>
      <w:r>
        <w:rPr>
          <w:sz w:val="28"/>
          <w:szCs w:val="28"/>
        </w:rPr>
        <w:tab/>
      </w:r>
      <w:r>
        <w:rPr>
          <w:sz w:val="28"/>
          <w:szCs w:val="28"/>
        </w:rPr>
        <w:fldChar w:fldCharType="begin"/>
      </w:r>
      <w:r>
        <w:rPr>
          <w:sz w:val="28"/>
          <w:szCs w:val="28"/>
        </w:rPr>
        <w:instrText xml:space="preserve"> PAGEREF _Toc108021876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8"/>
        <w:tabs>
          <w:tab w:val="right" w:leader="middleDot" w:pos="8720"/>
        </w:tabs>
        <w:rPr>
          <w:sz w:val="28"/>
          <w:szCs w:val="28"/>
        </w:rPr>
      </w:pPr>
      <w:r>
        <w:fldChar w:fldCharType="begin"/>
      </w:r>
      <w:r>
        <w:instrText xml:space="preserve"> HYPERLINK \l "_Toc108021877" </w:instrText>
      </w:r>
      <w:r>
        <w:fldChar w:fldCharType="separate"/>
      </w:r>
      <w:r>
        <w:rPr>
          <w:rStyle w:val="25"/>
          <w:rFonts w:hint="eastAsia" w:eastAsia="黑体"/>
          <w:sz w:val="28"/>
          <w:szCs w:val="28"/>
        </w:rPr>
        <w:t>第六章投标文件的组成和格式</w:t>
      </w:r>
      <w:r>
        <w:rPr>
          <w:sz w:val="28"/>
          <w:szCs w:val="28"/>
        </w:rPr>
        <w:tab/>
      </w:r>
      <w:r>
        <w:rPr>
          <w:sz w:val="28"/>
          <w:szCs w:val="28"/>
        </w:rPr>
        <w:fldChar w:fldCharType="begin"/>
      </w:r>
      <w:r>
        <w:rPr>
          <w:sz w:val="28"/>
          <w:szCs w:val="28"/>
        </w:rPr>
        <w:instrText xml:space="preserve"> PAGEREF _Toc108021877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26"/>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rPr>
      </w:pPr>
      <w:bookmarkStart w:id="1" w:name="_Toc108021865"/>
      <w:r>
        <w:rPr>
          <w:rFonts w:eastAsia="黑体"/>
          <w:color w:val="000000" w:themeColor="text1"/>
          <w:sz w:val="40"/>
          <w:szCs w:val="40"/>
        </w:rPr>
        <w:t xml:space="preserve">第一章 </w:t>
      </w:r>
      <w:r>
        <w:rPr>
          <w:rFonts w:hint="eastAsia" w:eastAsia="黑体"/>
          <w:color w:val="000000" w:themeColor="text1"/>
          <w:sz w:val="40"/>
          <w:szCs w:val="40"/>
          <w:lang w:eastAsia="zh-CN"/>
        </w:rPr>
        <w:t>招标</w:t>
      </w:r>
      <w:r>
        <w:rPr>
          <w:rFonts w:eastAsia="黑体"/>
          <w:color w:val="000000" w:themeColor="text1"/>
          <w:sz w:val="40"/>
          <w:szCs w:val="40"/>
        </w:rPr>
        <w:t>公告</w:t>
      </w:r>
      <w:bookmarkEnd w:id="1"/>
    </w:p>
    <w:p>
      <w:pPr>
        <w:rPr>
          <w:color w:val="000000" w:themeColor="text1"/>
        </w:rPr>
      </w:pPr>
    </w:p>
    <w:p>
      <w:pPr>
        <w:pBdr>
          <w:top w:val="single" w:color="auto" w:sz="4" w:space="1"/>
          <w:left w:val="single" w:color="auto" w:sz="4" w:space="4"/>
          <w:bottom w:val="single" w:color="auto" w:sz="4" w:space="1"/>
          <w:right w:val="single" w:color="auto" w:sz="4" w:space="4"/>
        </w:pBdr>
        <w:spacing w:line="360" w:lineRule="auto"/>
        <w:ind w:firstLine="482" w:firstLineChars="200"/>
        <w:rPr>
          <w:b/>
          <w:color w:val="000000" w:themeColor="text1"/>
          <w:sz w:val="24"/>
          <w:szCs w:val="24"/>
        </w:rPr>
      </w:pPr>
      <w:r>
        <w:rPr>
          <w:b/>
          <w:color w:val="000000" w:themeColor="text1"/>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color w:val="000000" w:themeColor="text1"/>
          <w:sz w:val="24"/>
          <w:szCs w:val="24"/>
        </w:rPr>
      </w:pPr>
      <w:r>
        <w:rPr>
          <w:rFonts w:hint="eastAsia"/>
          <w:color w:val="000000" w:themeColor="text1"/>
          <w:sz w:val="24"/>
          <w:szCs w:val="24"/>
          <w:u w:val="single"/>
          <w:lang w:eastAsia="zh-CN"/>
        </w:rPr>
        <w:t>盐城幼儿师范高等专科学校入侵防御系统项目</w:t>
      </w:r>
      <w:r>
        <w:rPr>
          <w:color w:val="000000" w:themeColor="text1"/>
          <w:sz w:val="24"/>
          <w:szCs w:val="24"/>
        </w:rPr>
        <w:t>的潜在</w:t>
      </w:r>
      <w:r>
        <w:rPr>
          <w:rFonts w:hint="eastAsia" w:ascii="宋体" w:hAnsi="宋体"/>
          <w:sz w:val="24"/>
          <w:szCs w:val="24"/>
        </w:rPr>
        <w:t>投标人应在</w:t>
      </w:r>
      <w:r>
        <w:rPr>
          <w:rFonts w:hint="eastAsia"/>
          <w:sz w:val="24"/>
          <w:szCs w:val="24"/>
          <w:u w:val="single"/>
        </w:rPr>
        <w:t>盐城幼儿师范高等专科学校网站【www.yyz.edu.cn】</w:t>
      </w:r>
      <w:r>
        <w:rPr>
          <w:color w:val="000000" w:themeColor="text1"/>
          <w:sz w:val="24"/>
          <w:szCs w:val="24"/>
        </w:rPr>
        <w:t>获取采购文件，并于</w:t>
      </w:r>
      <w:r>
        <w:rPr>
          <w:rFonts w:hint="eastAsia"/>
          <w:color w:val="000000" w:themeColor="text1"/>
          <w:sz w:val="24"/>
          <w:szCs w:val="24"/>
          <w:u w:val="single"/>
        </w:rPr>
        <w:t>2022年</w:t>
      </w:r>
      <w:r>
        <w:rPr>
          <w:rFonts w:hint="eastAsia"/>
          <w:color w:val="000000" w:themeColor="text1"/>
          <w:sz w:val="24"/>
          <w:szCs w:val="24"/>
          <w:u w:val="single"/>
          <w:lang w:val="en-US" w:eastAsia="zh-CN"/>
        </w:rPr>
        <w:t>11</w:t>
      </w:r>
      <w:r>
        <w:rPr>
          <w:color w:val="000000" w:themeColor="text1"/>
          <w:sz w:val="24"/>
          <w:szCs w:val="24"/>
          <w:u w:val="single"/>
        </w:rPr>
        <w:t>月</w:t>
      </w:r>
      <w:r>
        <w:rPr>
          <w:rFonts w:hint="eastAsia"/>
          <w:color w:val="000000" w:themeColor="text1"/>
          <w:sz w:val="24"/>
          <w:szCs w:val="24"/>
          <w:u w:val="single"/>
          <w:lang w:val="en-US" w:eastAsia="zh-CN"/>
        </w:rPr>
        <w:t>18</w:t>
      </w:r>
      <w:r>
        <w:rPr>
          <w:color w:val="000000" w:themeColor="text1"/>
          <w:sz w:val="24"/>
          <w:szCs w:val="24"/>
          <w:u w:val="single"/>
        </w:rPr>
        <w:t>日15点00分</w:t>
      </w:r>
      <w:r>
        <w:rPr>
          <w:color w:val="000000" w:themeColor="text1"/>
          <w:sz w:val="24"/>
          <w:szCs w:val="24"/>
        </w:rPr>
        <w:t>（北京时间）前提交投标文件。</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b/>
          <w:color w:val="000000" w:themeColor="text1"/>
          <w:sz w:val="24"/>
          <w:szCs w:val="24"/>
        </w:rPr>
      </w:pPr>
      <w:r>
        <w:rPr>
          <w:b/>
          <w:color w:val="000000" w:themeColor="text1"/>
          <w:sz w:val="24"/>
          <w:szCs w:val="24"/>
        </w:rPr>
        <w:t>一、项目基本情况</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color w:val="000000" w:themeColor="text1"/>
          <w:sz w:val="24"/>
          <w:szCs w:val="24"/>
          <w:lang w:eastAsia="zh-CN"/>
        </w:rPr>
      </w:pPr>
      <w:r>
        <w:rPr>
          <w:rFonts w:hint="eastAsia"/>
          <w:color w:val="000000" w:themeColor="text1"/>
          <w:sz w:val="24"/>
          <w:szCs w:val="24"/>
          <w:lang w:val="en-US" w:eastAsia="zh-CN"/>
        </w:rPr>
        <w:t>1、</w:t>
      </w:r>
      <w:r>
        <w:rPr>
          <w:color w:val="000000" w:themeColor="text1"/>
          <w:sz w:val="24"/>
          <w:szCs w:val="24"/>
        </w:rPr>
        <w:t>项目编号：</w:t>
      </w:r>
      <w:r>
        <w:rPr>
          <w:rFonts w:hint="eastAsia"/>
          <w:color w:val="000000" w:themeColor="text1"/>
          <w:sz w:val="24"/>
          <w:szCs w:val="24"/>
          <w:lang w:eastAsia="zh-CN"/>
        </w:rPr>
        <w:t>YCYZ2022HW004</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lang w:val="en-US" w:eastAsia="zh-CN"/>
        </w:rPr>
        <w:t>2、</w:t>
      </w:r>
      <w:r>
        <w:rPr>
          <w:color w:val="000000" w:themeColor="text1"/>
          <w:sz w:val="24"/>
          <w:szCs w:val="24"/>
        </w:rPr>
        <w:t>项目名称：</w:t>
      </w:r>
      <w:r>
        <w:rPr>
          <w:rFonts w:hint="eastAsia"/>
          <w:color w:val="000000" w:themeColor="text1"/>
          <w:sz w:val="24"/>
          <w:szCs w:val="24"/>
          <w:lang w:eastAsia="zh-CN"/>
        </w:rPr>
        <w:t>盐城幼儿师范高等专科学校入侵防御系统项目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lang w:val="en-US" w:eastAsia="zh-CN"/>
        </w:rPr>
        <w:t>3、</w:t>
      </w:r>
      <w:r>
        <w:rPr>
          <w:color w:val="000000" w:themeColor="text1"/>
          <w:sz w:val="24"/>
          <w:szCs w:val="24"/>
        </w:rPr>
        <w:t>采购方式：公开招标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szCs w:val="24"/>
          <w:lang w:eastAsia="zh-CN"/>
        </w:rPr>
      </w:pPr>
      <w:r>
        <w:rPr>
          <w:rFonts w:hint="eastAsia"/>
          <w:color w:val="000000"/>
          <w:sz w:val="24"/>
          <w:szCs w:val="24"/>
          <w:lang w:val="en-US" w:eastAsia="zh-CN"/>
        </w:rPr>
        <w:t>4、</w:t>
      </w:r>
      <w:r>
        <w:rPr>
          <w:color w:val="000000"/>
          <w:sz w:val="24"/>
          <w:szCs w:val="24"/>
        </w:rPr>
        <w:t>预算金额：</w:t>
      </w:r>
      <w:r>
        <w:rPr>
          <w:rFonts w:hint="eastAsia"/>
          <w:color w:val="000000"/>
          <w:sz w:val="24"/>
          <w:szCs w:val="24"/>
          <w:u w:val="single"/>
          <w:lang w:val="en-US" w:eastAsia="zh-CN"/>
        </w:rPr>
        <w:t>28</w:t>
      </w:r>
      <w:r>
        <w:rPr>
          <w:color w:val="000000"/>
          <w:sz w:val="24"/>
          <w:szCs w:val="24"/>
        </w:rPr>
        <w:t>万元</w:t>
      </w:r>
      <w:r>
        <w:rPr>
          <w:rFonts w:hint="eastAsia"/>
          <w:color w:val="000000"/>
          <w:sz w:val="24"/>
          <w:szCs w:val="24"/>
          <w:lang w:eastAsia="zh-CN"/>
        </w:rPr>
        <w:t>，最高限价：</w:t>
      </w:r>
      <w:r>
        <w:rPr>
          <w:rFonts w:hint="eastAsia"/>
          <w:color w:val="000000"/>
          <w:sz w:val="24"/>
          <w:szCs w:val="24"/>
          <w:u w:val="single"/>
          <w:lang w:val="en-US" w:eastAsia="zh-CN"/>
        </w:rPr>
        <w:t>28</w:t>
      </w:r>
      <w:r>
        <w:rPr>
          <w:color w:val="000000"/>
          <w:sz w:val="24"/>
          <w:szCs w:val="24"/>
        </w:rPr>
        <w:t>万元</w:t>
      </w:r>
      <w:r>
        <w:rPr>
          <w:rFonts w:hint="eastAsia"/>
          <w:color w:val="000000"/>
          <w:sz w:val="24"/>
          <w:szCs w:val="24"/>
          <w:lang w:eastAsia="zh-CN"/>
        </w:rPr>
        <w:t>。</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kern w:val="0"/>
          <w:sz w:val="24"/>
          <w:szCs w:val="24"/>
        </w:rPr>
      </w:pPr>
      <w:r>
        <w:rPr>
          <w:rFonts w:hint="eastAsia"/>
          <w:color w:val="000000" w:themeColor="text1"/>
          <w:sz w:val="24"/>
          <w:szCs w:val="24"/>
          <w:lang w:val="en-US" w:eastAsia="zh-CN"/>
        </w:rPr>
        <w:t>5、</w:t>
      </w:r>
      <w:r>
        <w:rPr>
          <w:color w:val="000000" w:themeColor="text1"/>
          <w:sz w:val="24"/>
          <w:szCs w:val="24"/>
        </w:rPr>
        <w:t>采购需求：</w:t>
      </w:r>
      <w:r>
        <w:rPr>
          <w:rFonts w:hint="eastAsia"/>
          <w:sz w:val="24"/>
          <w:szCs w:val="24"/>
        </w:rPr>
        <w:t>学校网络中心机房</w:t>
      </w:r>
      <w:r>
        <w:rPr>
          <w:rFonts w:hint="eastAsia" w:ascii="宋体" w:hAnsi="宋体"/>
          <w:kern w:val="0"/>
          <w:sz w:val="24"/>
          <w:szCs w:val="24"/>
        </w:rPr>
        <w:t>入侵防御系统</w:t>
      </w:r>
      <w:r>
        <w:rPr>
          <w:rFonts w:hint="eastAsia"/>
          <w:sz w:val="24"/>
          <w:szCs w:val="24"/>
        </w:rPr>
        <w:t>及配套软件一套</w:t>
      </w:r>
      <w:r>
        <w:rPr>
          <w:rFonts w:hint="eastAsia" w:ascii="宋体" w:hAnsi="宋体"/>
          <w:kern w:val="0"/>
          <w:sz w:val="24"/>
          <w:szCs w:val="24"/>
        </w:rPr>
        <w:t>，采购范围内所有产品的供货、运输（送达至采购方指定地点并卸货）、安装、调试、现有网络配置对接及售后服务等内容。</w:t>
      </w:r>
    </w:p>
    <w:p>
      <w:pPr>
        <w:pStyle w:val="13"/>
        <w:keepNext w:val="0"/>
        <w:keepLines w:val="0"/>
        <w:pageBreakBefore w:val="0"/>
        <w:kinsoku/>
        <w:wordWrap/>
        <w:overflowPunct/>
        <w:topLinePunct w:val="0"/>
        <w:autoSpaceDE/>
        <w:autoSpaceDN/>
        <w:bidi w:val="0"/>
        <w:adjustRightInd/>
        <w:spacing w:line="360" w:lineRule="auto"/>
        <w:ind w:left="19" w:leftChars="9" w:firstLine="460" w:firstLineChars="192"/>
        <w:textAlignment w:val="auto"/>
        <w:rPr>
          <w:rFonts w:hAnsi="宋体" w:cs="宋体"/>
          <w:sz w:val="24"/>
          <w:szCs w:val="24"/>
        </w:rPr>
      </w:pPr>
      <w:r>
        <w:rPr>
          <w:rFonts w:hint="eastAsia"/>
          <w:color w:val="000000" w:themeColor="text1"/>
          <w:sz w:val="24"/>
          <w:szCs w:val="24"/>
          <w:lang w:val="en-US" w:eastAsia="zh-CN"/>
        </w:rPr>
        <w:t>6、</w:t>
      </w:r>
      <w:r>
        <w:rPr>
          <w:color w:val="000000" w:themeColor="text1"/>
          <w:sz w:val="24"/>
          <w:szCs w:val="24"/>
        </w:rPr>
        <w:t>合同履行期限：</w:t>
      </w:r>
      <w:r>
        <w:rPr>
          <w:rFonts w:hint="eastAsia" w:hAnsi="宋体" w:cs="宋体"/>
          <w:sz w:val="24"/>
          <w:szCs w:val="24"/>
        </w:rPr>
        <w:t>合同签订后30个工作</w:t>
      </w:r>
      <w:r>
        <w:rPr>
          <w:rFonts w:hAnsi="宋体" w:cs="宋体"/>
          <w:sz w:val="24"/>
          <w:szCs w:val="24"/>
        </w:rPr>
        <w:t>日</w:t>
      </w:r>
      <w:bookmarkStart w:id="129" w:name="_GoBack"/>
      <w:bookmarkEnd w:id="129"/>
      <w:r>
        <w:rPr>
          <w:rFonts w:hint="eastAsia" w:hAnsi="宋体" w:cs="宋体"/>
          <w:sz w:val="24"/>
          <w:szCs w:val="24"/>
        </w:rPr>
        <w:t>内送至盐城幼儿师范高等专科学校指定地点，并安装、调试到位。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lang w:val="en-US" w:eastAsia="zh-CN"/>
        </w:rPr>
        <w:t>7、</w:t>
      </w:r>
      <w:r>
        <w:rPr>
          <w:color w:val="000000" w:themeColor="text1"/>
          <w:sz w:val="24"/>
          <w:szCs w:val="24"/>
        </w:rPr>
        <w:t>本项目不接受联合体参与投标。</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b/>
          <w:color w:val="000000" w:themeColor="text1"/>
          <w:sz w:val="24"/>
          <w:szCs w:val="24"/>
        </w:rPr>
      </w:pPr>
      <w:r>
        <w:rPr>
          <w:b/>
          <w:color w:val="000000" w:themeColor="text1"/>
          <w:sz w:val="24"/>
          <w:szCs w:val="24"/>
        </w:rPr>
        <w:t>二、申请人的资格要求：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1.满足《中华人民共和国政府采购法》第二十二条规定，并提供下列材料；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（1）法人或者其他组织的营业执照等证明文件，自然人的身份证明；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（2）上一年度的财务报表（成立不满一年不需提供）；</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（3）依法缴纳税收和社会保障资金的相关材料；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（4）具备履行合同所必需的设备和专业技术能力的书面声明；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（5）参加政府采购活动前3年内在经营活动中没有重大违法记录的书面声明；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2.落实政府采购政策需满足的资格要求：</w:t>
      </w:r>
      <w:r>
        <w:rPr>
          <w:color w:val="000000" w:themeColor="text1"/>
          <w:sz w:val="24"/>
          <w:szCs w:val="24"/>
          <w:u w:val="single"/>
        </w:rPr>
        <w:t>无</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3.本项目的特定资格要求：</w:t>
      </w:r>
    </w:p>
    <w:p>
      <w:pPr>
        <w:keepNext w:val="0"/>
        <w:keepLines w:val="0"/>
        <w:pageBreakBefore w:val="0"/>
        <w:shd w:val="clear" w:color="auto" w:fill="FFFFFF"/>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rPr>
        <w:t>（</w:t>
      </w:r>
      <w:r>
        <w:rPr>
          <w:rFonts w:hint="eastAsia"/>
          <w:color w:val="000000" w:themeColor="text1"/>
          <w:sz w:val="24"/>
          <w:szCs w:val="24"/>
          <w:lang w:val="en-US" w:eastAsia="zh-CN"/>
        </w:rPr>
        <w:t>1</w:t>
      </w:r>
      <w:r>
        <w:rPr>
          <w:rFonts w:hint="eastAsia"/>
          <w:color w:val="000000" w:themeColor="text1"/>
          <w:sz w:val="24"/>
          <w:szCs w:val="24"/>
        </w:rPr>
        <w:t>）未被“信用中国”网站（www.creditchina.gov.cn）列入失信被执行人、重大税收违法案件当事人名单、政府采购严重失信行为记录名单。</w:t>
      </w:r>
    </w:p>
    <w:p>
      <w:pPr>
        <w:keepNext w:val="0"/>
        <w:keepLines w:val="0"/>
        <w:pageBreakBefore w:val="0"/>
        <w:shd w:val="clear" w:color="auto" w:fill="FFFFFF"/>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w:t>
      </w:r>
      <w:r>
        <w:rPr>
          <w:rFonts w:hint="eastAsia"/>
          <w:color w:val="000000" w:themeColor="text1"/>
          <w:sz w:val="24"/>
          <w:szCs w:val="24"/>
          <w:lang w:val="en-US" w:eastAsia="zh-CN"/>
        </w:rPr>
        <w:t>2</w:t>
      </w:r>
      <w:r>
        <w:rPr>
          <w:color w:val="000000" w:themeColor="text1"/>
          <w:sz w:val="24"/>
          <w:szCs w:val="24"/>
        </w:rPr>
        <w:t>）单位负责人为同一人或者存在直接控股、管理关系的不同供应商，不得参加同一合同项下的政府采购活动。</w:t>
      </w:r>
      <w:bookmarkStart w:id="2" w:name="_Toc28359092"/>
    </w:p>
    <w:p>
      <w:pPr>
        <w:pStyle w:val="4"/>
        <w:keepNext w:val="0"/>
        <w:keepLines w:val="0"/>
        <w:pageBreakBefore w:val="0"/>
        <w:kinsoku/>
        <w:wordWrap/>
        <w:overflowPunct/>
        <w:topLinePunct w:val="0"/>
        <w:autoSpaceDE/>
        <w:autoSpaceDN/>
        <w:bidi w:val="0"/>
        <w:adjustRightInd/>
        <w:spacing w:before="0" w:after="0" w:line="360" w:lineRule="auto"/>
        <w:ind w:firstLine="482" w:firstLineChars="200"/>
        <w:jc w:val="both"/>
        <w:textAlignment w:val="auto"/>
        <w:rPr>
          <w:rFonts w:ascii="Times New Roman" w:hAnsi="Times New Roman" w:eastAsia="宋体" w:cs="Times New Roman"/>
          <w:color w:val="000000" w:themeColor="text1"/>
          <w:sz w:val="24"/>
          <w:szCs w:val="24"/>
        </w:rPr>
      </w:pPr>
      <w:bookmarkStart w:id="3" w:name="_Toc108021866"/>
      <w:bookmarkStart w:id="4" w:name="_Toc35393800"/>
      <w:r>
        <w:rPr>
          <w:rFonts w:ascii="Times New Roman" w:hAnsi="Times New Roman" w:eastAsia="宋体" w:cs="Times New Roman"/>
          <w:color w:val="000000" w:themeColor="text1"/>
          <w:sz w:val="24"/>
          <w:szCs w:val="24"/>
          <w:shd w:val="clear" w:color="auto" w:fill="FFFFFF"/>
        </w:rPr>
        <w:t>三、获取招标文件</w:t>
      </w:r>
      <w:bookmarkEnd w:id="3"/>
    </w:p>
    <w:bookmarkEnd w:id="2"/>
    <w:bookmarkEnd w:id="4"/>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rPr>
        <w:t>招标文件提供及公告期限：自</w:t>
      </w:r>
      <w:r>
        <w:rPr>
          <w:rFonts w:hint="eastAsia" w:ascii="宋体" w:hAnsi="宋体" w:cs="宋体"/>
          <w:sz w:val="24"/>
          <w:szCs w:val="24"/>
          <w:lang w:eastAsia="zh-CN"/>
        </w:rPr>
        <w:t>招标</w:t>
      </w:r>
      <w:r>
        <w:rPr>
          <w:rFonts w:hint="eastAsia" w:ascii="宋体" w:hAnsi="宋体" w:cs="宋体"/>
          <w:sz w:val="24"/>
          <w:szCs w:val="24"/>
        </w:rPr>
        <w:t>公告在</w:t>
      </w:r>
      <w:r>
        <w:rPr>
          <w:rFonts w:hint="eastAsia" w:ascii="宋体" w:hAnsi="宋体" w:cs="宋体"/>
          <w:sz w:val="24"/>
          <w:szCs w:val="24"/>
          <w:u w:val="single"/>
        </w:rPr>
        <w:t>盐城幼儿师范高等专科学校网站【www.yyz.edu.cn】</w:t>
      </w:r>
      <w:r>
        <w:rPr>
          <w:rFonts w:hint="eastAsia" w:ascii="宋体" w:hAnsi="宋体" w:cs="宋体"/>
          <w:sz w:val="24"/>
          <w:szCs w:val="24"/>
        </w:rPr>
        <w:t>发布之日起5个工作日。招标文件在上述网站上下载。有关本次招标的事项若存在变动或修改，敬请及时关注</w:t>
      </w:r>
      <w:r>
        <w:rPr>
          <w:rFonts w:hint="eastAsia" w:ascii="宋体" w:hAnsi="宋体" w:cs="宋体"/>
          <w:sz w:val="24"/>
          <w:szCs w:val="24"/>
          <w:u w:val="single"/>
        </w:rPr>
        <w:t>盐城幼儿师范高等专科学校网站【www.yyz.edu.cn】</w:t>
      </w:r>
      <w:r>
        <w:rPr>
          <w:rFonts w:hint="eastAsia" w:ascii="宋体" w:hAnsi="宋体" w:cs="宋体"/>
          <w:sz w:val="24"/>
          <w:szCs w:val="24"/>
        </w:rPr>
        <w:t>发布的信息更正公告。</w:t>
      </w:r>
    </w:p>
    <w:p>
      <w:pPr>
        <w:tabs>
          <w:tab w:val="left" w:pos="900"/>
        </w:tabs>
        <w:spacing w:line="360" w:lineRule="auto"/>
        <w:ind w:left="559" w:leftChars="266"/>
        <w:rPr>
          <w:rFonts w:hint="eastAsia" w:ascii="宋体" w:hAnsi="宋体" w:cs="宋体"/>
          <w:sz w:val="24"/>
          <w:szCs w:val="24"/>
        </w:rPr>
      </w:pPr>
      <w:r>
        <w:rPr>
          <w:rFonts w:hint="eastAsia" w:ascii="宋体" w:hAnsi="宋体" w:cs="宋体"/>
          <w:sz w:val="24"/>
          <w:szCs w:val="24"/>
        </w:rPr>
        <w:t>售价：投标人递交投标文件时，须交纳文件工本费300元。</w:t>
      </w:r>
    </w:p>
    <w:p>
      <w:pPr>
        <w:tabs>
          <w:tab w:val="left" w:pos="900"/>
        </w:tabs>
        <w:spacing w:line="360" w:lineRule="auto"/>
        <w:ind w:left="559" w:leftChars="266"/>
        <w:rPr>
          <w:rFonts w:hint="eastAsia" w:ascii="宋体" w:hAnsi="宋体" w:cs="宋体"/>
          <w:sz w:val="24"/>
          <w:szCs w:val="24"/>
        </w:rPr>
      </w:pPr>
      <w:r>
        <w:rPr>
          <w:rFonts w:hint="eastAsia" w:ascii="宋体" w:hAnsi="宋体" w:cs="宋体"/>
          <w:sz w:val="24"/>
          <w:szCs w:val="24"/>
        </w:rPr>
        <w:t>文件工本费的收取方式：开标时现场现金缴纳，由代理公司收取，投标人无论</w:t>
      </w:r>
    </w:p>
    <w:p>
      <w:pPr>
        <w:tabs>
          <w:tab w:val="left" w:pos="900"/>
        </w:tabs>
        <w:spacing w:line="360" w:lineRule="auto"/>
        <w:rPr>
          <w:rFonts w:hint="eastAsia" w:ascii="宋体" w:hAnsi="宋体" w:cs="宋体"/>
          <w:sz w:val="24"/>
          <w:szCs w:val="24"/>
        </w:rPr>
      </w:pPr>
      <w:r>
        <w:rPr>
          <w:rFonts w:hint="eastAsia" w:ascii="宋体" w:hAnsi="宋体" w:cs="宋体"/>
          <w:sz w:val="24"/>
          <w:szCs w:val="24"/>
        </w:rPr>
        <w:t>中标与否，文件工本费不退。</w:t>
      </w:r>
    </w:p>
    <w:p>
      <w:pPr>
        <w:keepNext w:val="0"/>
        <w:keepLines w:val="0"/>
        <w:pageBreakBefore w:val="0"/>
        <w:tabs>
          <w:tab w:val="left" w:pos="900"/>
        </w:tabs>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pageBreakBefore w:val="0"/>
        <w:kinsoku/>
        <w:wordWrap/>
        <w:overflowPunct/>
        <w:topLinePunct w:val="0"/>
        <w:autoSpaceDE/>
        <w:autoSpaceDN/>
        <w:bidi w:val="0"/>
        <w:adjustRightInd/>
        <w:spacing w:before="0" w:after="0" w:line="360" w:lineRule="auto"/>
        <w:ind w:firstLine="482" w:firstLineChars="200"/>
        <w:jc w:val="both"/>
        <w:textAlignment w:val="auto"/>
        <w:rPr>
          <w:rFonts w:ascii="Times New Roman" w:hAnsi="Times New Roman" w:eastAsia="宋体" w:cs="Times New Roman"/>
          <w:color w:val="000000" w:themeColor="text1"/>
          <w:sz w:val="24"/>
          <w:szCs w:val="24"/>
          <w:shd w:val="clear" w:color="auto" w:fill="FFFFFF"/>
        </w:rPr>
      </w:pPr>
      <w:bookmarkStart w:id="5" w:name="_Toc108021867"/>
      <w:r>
        <w:rPr>
          <w:rFonts w:ascii="Times New Roman" w:hAnsi="Times New Roman" w:eastAsia="宋体" w:cs="Times New Roman"/>
          <w:color w:val="000000" w:themeColor="text1"/>
          <w:sz w:val="24"/>
          <w:szCs w:val="24"/>
          <w:shd w:val="clear" w:color="auto" w:fill="FFFFFF"/>
        </w:rPr>
        <w:t>四、</w:t>
      </w:r>
      <w:r>
        <w:rPr>
          <w:rFonts w:hint="eastAsia" w:ascii="Times New Roman" w:hAnsi="Times New Roman" w:eastAsia="宋体" w:cs="Times New Roman"/>
          <w:color w:val="000000" w:themeColor="text1"/>
          <w:sz w:val="24"/>
          <w:szCs w:val="24"/>
          <w:shd w:val="clear" w:color="auto" w:fill="FFFFFF"/>
        </w:rPr>
        <w:t>投标</w:t>
      </w:r>
      <w:r>
        <w:rPr>
          <w:rFonts w:ascii="Times New Roman" w:hAnsi="Times New Roman" w:eastAsia="宋体" w:cs="Times New Roman"/>
          <w:color w:val="000000" w:themeColor="text1"/>
          <w:sz w:val="24"/>
          <w:szCs w:val="24"/>
          <w:shd w:val="clear" w:color="auto" w:fill="FFFFFF"/>
        </w:rPr>
        <w:t>文件提交</w:t>
      </w:r>
      <w:bookmarkEnd w:id="5"/>
    </w:p>
    <w:p>
      <w:pPr>
        <w:keepNext w:val="0"/>
        <w:keepLines w:val="0"/>
        <w:pageBreakBefore w:val="0"/>
        <w:tabs>
          <w:tab w:val="left" w:pos="900"/>
        </w:tabs>
        <w:kinsoku/>
        <w:wordWrap/>
        <w:overflowPunct/>
        <w:topLinePunct w:val="0"/>
        <w:autoSpaceDE/>
        <w:autoSpaceDN/>
        <w:bidi w:val="0"/>
        <w:adjustRightInd/>
        <w:spacing w:line="360" w:lineRule="auto"/>
        <w:ind w:firstLine="480" w:firstLineChars="200"/>
        <w:textAlignment w:val="auto"/>
        <w:rPr>
          <w:color w:val="000000"/>
          <w:sz w:val="24"/>
          <w:szCs w:val="24"/>
        </w:rPr>
      </w:pPr>
      <w:bookmarkStart w:id="6" w:name="_Toc105320190"/>
      <w:r>
        <w:rPr>
          <w:rFonts w:hint="eastAsia"/>
          <w:color w:val="000000"/>
          <w:sz w:val="24"/>
          <w:szCs w:val="24"/>
        </w:rPr>
        <w:t>投标文件接收时间：2022年</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18</w:t>
      </w:r>
      <w:r>
        <w:rPr>
          <w:rFonts w:hint="eastAsia"/>
          <w:color w:val="000000"/>
          <w:sz w:val="24"/>
          <w:szCs w:val="24"/>
        </w:rPr>
        <w:t>日14: 30-15: 00 时</w:t>
      </w:r>
      <w:bookmarkEnd w:id="6"/>
    </w:p>
    <w:p>
      <w:pPr>
        <w:keepNext w:val="0"/>
        <w:keepLines w:val="0"/>
        <w:pageBreakBefore w:val="0"/>
        <w:tabs>
          <w:tab w:val="left" w:pos="900"/>
        </w:tabs>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投标文件接收截止时间：2022年</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18</w:t>
      </w:r>
      <w:r>
        <w:rPr>
          <w:rFonts w:hint="eastAsia"/>
          <w:color w:val="000000"/>
          <w:sz w:val="24"/>
          <w:szCs w:val="24"/>
        </w:rPr>
        <w:t>日15:00时</w:t>
      </w:r>
    </w:p>
    <w:p>
      <w:pPr>
        <w:keepNext w:val="0"/>
        <w:keepLines w:val="0"/>
        <w:pageBreakBefore w:val="0"/>
        <w:tabs>
          <w:tab w:val="left" w:pos="900"/>
        </w:tabs>
        <w:kinsoku/>
        <w:wordWrap/>
        <w:overflowPunct/>
        <w:topLinePunct w:val="0"/>
        <w:autoSpaceDE/>
        <w:autoSpaceDN/>
        <w:bidi w:val="0"/>
        <w:adjustRightInd/>
        <w:spacing w:line="360" w:lineRule="auto"/>
        <w:ind w:firstLine="480" w:firstLineChars="200"/>
        <w:textAlignment w:val="auto"/>
        <w:rPr>
          <w:rFonts w:hint="eastAsia" w:eastAsia="宋体"/>
          <w:color w:val="000000"/>
          <w:sz w:val="24"/>
          <w:szCs w:val="24"/>
          <w:lang w:eastAsia="zh-CN"/>
        </w:rPr>
      </w:pPr>
      <w:r>
        <w:rPr>
          <w:rFonts w:hint="eastAsia"/>
          <w:color w:val="000000"/>
          <w:sz w:val="24"/>
          <w:szCs w:val="24"/>
        </w:rPr>
        <w:t>投标文件接收地点：</w:t>
      </w:r>
      <w:r>
        <w:rPr>
          <w:rFonts w:hint="eastAsia"/>
          <w:color w:val="000000"/>
          <w:sz w:val="24"/>
          <w:szCs w:val="24"/>
          <w:lang w:eastAsia="zh-CN"/>
        </w:rPr>
        <w:t>江苏宏天工程管理有限公司（盐城市鹿鸣路988号金航财富大厦17楼）</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textAlignment w:val="auto"/>
        <w:rPr>
          <w:b/>
          <w:color w:val="000000"/>
          <w:sz w:val="24"/>
          <w:szCs w:val="24"/>
        </w:rPr>
      </w:pPr>
      <w:bookmarkStart w:id="7" w:name="_Toc108021869"/>
      <w:r>
        <w:rPr>
          <w:rFonts w:hint="eastAsia"/>
          <w:b/>
          <w:color w:val="000000"/>
          <w:sz w:val="24"/>
          <w:szCs w:val="24"/>
        </w:rPr>
        <w:t>五、开标有关信息</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kern w:val="0"/>
          <w:sz w:val="24"/>
          <w:szCs w:val="24"/>
        </w:rPr>
      </w:pPr>
      <w:r>
        <w:rPr>
          <w:rFonts w:hint="eastAsia"/>
          <w:color w:val="000000"/>
          <w:kern w:val="0"/>
          <w:sz w:val="24"/>
          <w:szCs w:val="24"/>
        </w:rPr>
        <w:t>开标时间：</w:t>
      </w:r>
      <w:r>
        <w:rPr>
          <w:rFonts w:hint="eastAsia"/>
          <w:color w:val="000000"/>
          <w:sz w:val="24"/>
          <w:szCs w:val="24"/>
        </w:rPr>
        <w:t>2022年</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18</w:t>
      </w:r>
      <w:r>
        <w:rPr>
          <w:rFonts w:hint="eastAsia"/>
          <w:color w:val="000000"/>
          <w:sz w:val="24"/>
          <w:szCs w:val="24"/>
        </w:rPr>
        <w:t>日</w:t>
      </w:r>
      <w:r>
        <w:rPr>
          <w:rFonts w:hint="eastAsia"/>
          <w:color w:val="000000"/>
          <w:kern w:val="0"/>
          <w:sz w:val="24"/>
          <w:szCs w:val="24"/>
        </w:rPr>
        <w:t>15:00时</w:t>
      </w:r>
    </w:p>
    <w:p>
      <w:pPr>
        <w:pStyle w:val="4"/>
        <w:keepNext w:val="0"/>
        <w:keepLines w:val="0"/>
        <w:pageBreakBefore w:val="0"/>
        <w:kinsoku/>
        <w:wordWrap/>
        <w:overflowPunct/>
        <w:topLinePunct w:val="0"/>
        <w:autoSpaceDE/>
        <w:autoSpaceDN/>
        <w:bidi w:val="0"/>
        <w:adjustRightInd/>
        <w:spacing w:before="0" w:after="0" w:line="360" w:lineRule="auto"/>
        <w:ind w:firstLine="480" w:firstLineChars="200"/>
        <w:jc w:val="both"/>
        <w:textAlignment w:val="auto"/>
        <w:rPr>
          <w:rFonts w:hint="eastAsia" w:ascii="Times New Roman" w:hAnsi="Times New Roman" w:eastAsia="宋体" w:cs="Times New Roman"/>
          <w:b w:val="0"/>
          <w:bCs w:val="0"/>
          <w:color w:val="000000"/>
          <w:sz w:val="24"/>
          <w:szCs w:val="24"/>
          <w:lang w:eastAsia="zh-CN"/>
        </w:rPr>
      </w:pPr>
      <w:r>
        <w:rPr>
          <w:rFonts w:hint="eastAsia" w:ascii="Times New Roman" w:hAnsi="Times New Roman" w:eastAsia="宋体" w:cs="Times New Roman"/>
          <w:b w:val="0"/>
          <w:bCs w:val="0"/>
          <w:color w:val="000000"/>
          <w:sz w:val="24"/>
          <w:szCs w:val="24"/>
        </w:rPr>
        <w:t>开标地点：</w:t>
      </w:r>
      <w:r>
        <w:rPr>
          <w:rFonts w:hint="eastAsia" w:ascii="Times New Roman" w:hAnsi="Times New Roman" w:eastAsia="宋体" w:cs="Times New Roman"/>
          <w:b w:val="0"/>
          <w:bCs w:val="0"/>
          <w:color w:val="000000"/>
          <w:sz w:val="24"/>
          <w:szCs w:val="24"/>
          <w:lang w:eastAsia="zh-CN"/>
        </w:rPr>
        <w:t>江苏宏天工程管理有限公司（盐城市鹿鸣路988号金航财富大厦17楼）</w:t>
      </w:r>
    </w:p>
    <w:bookmarkEnd w:id="7"/>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textAlignment w:val="auto"/>
        <w:rPr>
          <w:b/>
          <w:color w:val="000000"/>
          <w:sz w:val="24"/>
          <w:szCs w:val="24"/>
        </w:rPr>
      </w:pPr>
      <w:bookmarkStart w:id="8" w:name="_Toc108021870"/>
      <w:r>
        <w:rPr>
          <w:rFonts w:hint="eastAsia" w:ascii="Times New Roman" w:hAnsi="Times New Roman" w:eastAsia="宋体" w:cs="Times New Roman"/>
          <w:b/>
          <w:color w:val="000000"/>
          <w:sz w:val="24"/>
          <w:szCs w:val="24"/>
          <w:lang w:eastAsia="zh-CN"/>
        </w:rPr>
        <w:t>六</w:t>
      </w:r>
      <w:r>
        <w:rPr>
          <w:rFonts w:hint="eastAsia" w:ascii="Times New Roman" w:hAnsi="Times New Roman" w:eastAsia="宋体" w:cs="Times New Roman"/>
          <w:b/>
          <w:color w:val="000000"/>
          <w:sz w:val="24"/>
          <w:szCs w:val="24"/>
        </w:rPr>
        <w:t>、</w:t>
      </w:r>
      <w:bookmarkEnd w:id="8"/>
      <w:r>
        <w:rPr>
          <w:rFonts w:hint="eastAsia" w:ascii="Times New Roman" w:hAnsi="Times New Roman" w:eastAsia="宋体" w:cs="Times New Roman"/>
          <w:b/>
          <w:color w:val="000000"/>
          <w:sz w:val="24"/>
          <w:szCs w:val="24"/>
        </w:rPr>
        <w:t>投</w:t>
      </w:r>
      <w:r>
        <w:rPr>
          <w:rFonts w:hint="eastAsia"/>
          <w:b/>
          <w:color w:val="000000"/>
          <w:sz w:val="24"/>
          <w:szCs w:val="24"/>
        </w:rPr>
        <w:t>标文件制作份数要求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rPr>
        <w:t>投标</w:t>
      </w:r>
      <w:r>
        <w:rPr>
          <w:color w:val="000000" w:themeColor="text1"/>
          <w:sz w:val="24"/>
          <w:szCs w:val="24"/>
        </w:rPr>
        <w:t>文件正本1份，</w:t>
      </w:r>
      <w:r>
        <w:rPr>
          <w:rFonts w:hint="eastAsia"/>
          <w:color w:val="000000" w:themeColor="text1"/>
          <w:sz w:val="24"/>
          <w:szCs w:val="24"/>
        </w:rPr>
        <w:t>副本份数：4份</w:t>
      </w:r>
      <w:r>
        <w:rPr>
          <w:color w:val="000000" w:themeColor="text1"/>
          <w:sz w:val="24"/>
          <w:szCs w:val="24"/>
        </w:rPr>
        <w:t>。</w:t>
      </w:r>
    </w:p>
    <w:p>
      <w:pPr>
        <w:pStyle w:val="4"/>
        <w:keepNext w:val="0"/>
        <w:keepLines w:val="0"/>
        <w:pageBreakBefore w:val="0"/>
        <w:kinsoku/>
        <w:wordWrap/>
        <w:overflowPunct/>
        <w:topLinePunct w:val="0"/>
        <w:autoSpaceDE/>
        <w:autoSpaceDN/>
        <w:bidi w:val="0"/>
        <w:adjustRightInd/>
        <w:spacing w:before="0" w:after="0" w:line="360" w:lineRule="auto"/>
        <w:ind w:firstLine="482" w:firstLineChars="200"/>
        <w:jc w:val="both"/>
        <w:textAlignment w:val="auto"/>
        <w:rPr>
          <w:rFonts w:ascii="Times New Roman" w:hAnsi="Times New Roman" w:eastAsia="宋体" w:cs="Times New Roman"/>
          <w:color w:val="000000" w:themeColor="text1"/>
          <w:sz w:val="24"/>
          <w:szCs w:val="24"/>
          <w:shd w:val="clear" w:color="auto" w:fill="FFFFFF"/>
        </w:rPr>
      </w:pPr>
      <w:bookmarkStart w:id="9" w:name="_Toc108021871"/>
      <w:r>
        <w:rPr>
          <w:rFonts w:hint="eastAsia" w:ascii="Times New Roman" w:hAnsi="Times New Roman" w:eastAsia="宋体" w:cs="Times New Roman"/>
          <w:color w:val="000000" w:themeColor="text1"/>
          <w:sz w:val="24"/>
          <w:szCs w:val="24"/>
          <w:shd w:val="clear" w:color="auto" w:fill="FFFFFF"/>
          <w:lang w:eastAsia="zh-CN"/>
        </w:rPr>
        <w:t>七</w:t>
      </w:r>
      <w:r>
        <w:rPr>
          <w:rFonts w:ascii="Times New Roman" w:hAnsi="Times New Roman" w:eastAsia="宋体" w:cs="Times New Roman"/>
          <w:color w:val="000000" w:themeColor="text1"/>
          <w:sz w:val="24"/>
          <w:szCs w:val="24"/>
          <w:shd w:val="clear" w:color="auto" w:fill="FFFFFF"/>
        </w:rPr>
        <w:t>、凡对本次采购提出询问，请按以下方式联系。</w:t>
      </w:r>
      <w:bookmarkEnd w:id="9"/>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bookmarkStart w:id="10" w:name="_Toc28359096"/>
      <w:bookmarkStart w:id="11" w:name="_Toc35393806"/>
      <w:bookmarkStart w:id="12" w:name="_Toc35393637"/>
      <w:bookmarkStart w:id="13" w:name="_Toc28359019"/>
      <w:r>
        <w:rPr>
          <w:color w:val="000000" w:themeColor="text1"/>
          <w:sz w:val="24"/>
          <w:szCs w:val="24"/>
        </w:rPr>
        <w:t>1</w:t>
      </w:r>
      <w:r>
        <w:rPr>
          <w:rFonts w:hint="eastAsia"/>
          <w:color w:val="000000" w:themeColor="text1"/>
          <w:sz w:val="24"/>
          <w:szCs w:val="24"/>
        </w:rPr>
        <w:t xml:space="preserve">. </w:t>
      </w:r>
      <w:r>
        <w:rPr>
          <w:color w:val="000000" w:themeColor="text1"/>
          <w:sz w:val="24"/>
          <w:szCs w:val="24"/>
        </w:rPr>
        <w:t>使用部门联系人：</w:t>
      </w:r>
      <w:r>
        <w:rPr>
          <w:rFonts w:hint="eastAsia" w:ascii="宋体" w:hAnsi="宋体" w:cs="宋体"/>
          <w:color w:val="000000"/>
          <w:sz w:val="24"/>
          <w:szCs w:val="24"/>
        </w:rPr>
        <w:t>秦老师</w:t>
      </w:r>
      <w:r>
        <w:rPr>
          <w:color w:val="000000" w:themeColor="text1"/>
          <w:sz w:val="24"/>
          <w:szCs w:val="24"/>
        </w:rPr>
        <w:t>，</w:t>
      </w:r>
      <w:r>
        <w:rPr>
          <w:rFonts w:hint="eastAsia"/>
          <w:color w:val="000000" w:themeColor="text1"/>
          <w:sz w:val="24"/>
          <w:szCs w:val="24"/>
        </w:rPr>
        <w:t xml:space="preserve"> </w:t>
      </w:r>
      <w:r>
        <w:rPr>
          <w:color w:val="000000" w:themeColor="text1"/>
          <w:sz w:val="24"/>
          <w:szCs w:val="24"/>
        </w:rPr>
        <w:t>联系电话：</w:t>
      </w:r>
      <w:r>
        <w:rPr>
          <w:rFonts w:hint="eastAsia" w:ascii="宋体" w:hAnsi="宋体" w:cs="宋体"/>
          <w:color w:val="000000"/>
          <w:sz w:val="24"/>
          <w:szCs w:val="24"/>
        </w:rPr>
        <w:t>0515-88508960</w:t>
      </w:r>
      <w:r>
        <w:rPr>
          <w:rFonts w:hint="eastAsia"/>
          <w:color w:val="000000" w:themeColor="text1"/>
          <w:sz w:val="24"/>
          <w:szCs w:val="24"/>
        </w:rPr>
        <w:t xml:space="preserve">  </w:t>
      </w:r>
      <w:r>
        <w:rPr>
          <w:color w:val="000000" w:themeColor="text1"/>
          <w:sz w:val="24"/>
          <w:szCs w:val="24"/>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采购部门联系人：蒋老师  ，联系电话：0515-89966103。</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采购人地址：盐城市高职园区学海路28号，邮政编码：224005</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（二）招标代理服务机构：江苏宏天工程管理有限公司。</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rPr>
        <w:t xml:space="preserve">3. </w:t>
      </w:r>
      <w:r>
        <w:rPr>
          <w:color w:val="000000" w:themeColor="text1"/>
          <w:sz w:val="24"/>
          <w:szCs w:val="24"/>
        </w:rPr>
        <w:t>对项目需求部分的询问、质疑请与采购人联系、答复；其他部分的询问、质疑请与采购技术服务单位联系、答复。</w:t>
      </w:r>
    </w:p>
    <w:p>
      <w:pPr>
        <w:snapToGrid w:val="0"/>
        <w:spacing w:line="440" w:lineRule="exact"/>
        <w:ind w:firstLine="4003" w:firstLineChars="1668"/>
        <w:jc w:val="center"/>
        <w:rPr>
          <w:color w:val="000000"/>
          <w:sz w:val="24"/>
          <w:szCs w:val="24"/>
        </w:rPr>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lang w:val="en-US" w:eastAsia="zh-CN"/>
        </w:rPr>
        <w:t>10</w:t>
      </w:r>
      <w:r>
        <w:rPr>
          <w:color w:val="000000"/>
          <w:sz w:val="24"/>
          <w:szCs w:val="24"/>
        </w:rPr>
        <w:t>月</w:t>
      </w:r>
      <w:r>
        <w:rPr>
          <w:rFonts w:hint="eastAsia"/>
          <w:color w:val="000000"/>
          <w:sz w:val="24"/>
          <w:szCs w:val="24"/>
          <w:lang w:val="en-US" w:eastAsia="zh-CN"/>
        </w:rPr>
        <w:t>28</w:t>
      </w:r>
      <w:r>
        <w:rPr>
          <w:color w:val="000000"/>
          <w:sz w:val="24"/>
          <w:szCs w:val="24"/>
        </w:rPr>
        <w:t>日</w:t>
      </w: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bookmarkEnd w:id="10"/>
    <w:bookmarkEnd w:id="11"/>
    <w:bookmarkEnd w:id="12"/>
    <w:bookmarkEnd w:id="13"/>
    <w:p>
      <w:pPr>
        <w:jc w:val="center"/>
        <w:outlineLvl w:val="0"/>
        <w:rPr>
          <w:rFonts w:eastAsia="黑体"/>
          <w:color w:val="000000" w:themeColor="text1"/>
          <w:sz w:val="40"/>
          <w:szCs w:val="40"/>
        </w:rPr>
      </w:pPr>
      <w:bookmarkStart w:id="14" w:name="_Toc108021872"/>
      <w:r>
        <w:rPr>
          <w:rFonts w:eastAsia="黑体"/>
          <w:color w:val="000000" w:themeColor="text1"/>
          <w:sz w:val="40"/>
          <w:szCs w:val="40"/>
        </w:rPr>
        <w:t>第二章  投标人须知</w:t>
      </w:r>
      <w:bookmarkEnd w:id="14"/>
    </w:p>
    <w:p>
      <w:pPr>
        <w:spacing w:line="440" w:lineRule="exact"/>
        <w:ind w:firstLine="482" w:firstLineChars="200"/>
        <w:rPr>
          <w:b/>
          <w:bCs/>
          <w:color w:val="000000" w:themeColor="text1"/>
          <w:sz w:val="24"/>
          <w:szCs w:val="24"/>
        </w:rPr>
      </w:pPr>
    </w:p>
    <w:p>
      <w:pPr>
        <w:pStyle w:val="4"/>
        <w:keepNext w:val="0"/>
        <w:keepLines w:val="0"/>
        <w:pageBreakBefore w:val="0"/>
        <w:kinsoku/>
        <w:wordWrap/>
        <w:overflowPunct/>
        <w:topLinePunct w:val="0"/>
        <w:bidi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rPr>
      </w:pPr>
      <w:bookmarkStart w:id="15" w:name="_Toc108021873"/>
      <w:r>
        <w:rPr>
          <w:rFonts w:ascii="Times New Roman" w:hAnsi="Times New Roman" w:eastAsia="宋体" w:cs="Times New Roman"/>
          <w:color w:val="000000" w:themeColor="text1"/>
          <w:sz w:val="24"/>
          <w:szCs w:val="24"/>
          <w:shd w:val="clear" w:color="auto" w:fill="FFFFFF"/>
        </w:rPr>
        <w:t>一、总则</w:t>
      </w:r>
      <w:bookmarkEnd w:id="15"/>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pageBreakBefore w:val="0"/>
        <w:kinsoku/>
        <w:wordWrap/>
        <w:overflowPunct/>
        <w:topLinePunct w:val="0"/>
        <w:bidi w:val="0"/>
        <w:spacing w:line="360" w:lineRule="auto"/>
        <w:ind w:firstLine="480" w:firstLineChars="200"/>
        <w:rPr>
          <w:color w:val="000000" w:themeColor="text1"/>
          <w:sz w:val="24"/>
          <w:szCs w:val="24"/>
        </w:rPr>
      </w:pPr>
      <w:r>
        <w:rPr>
          <w:color w:val="000000" w:themeColor="text1"/>
          <w:sz w:val="24"/>
          <w:szCs w:val="24"/>
        </w:rPr>
        <w:t>4.1 参加投标的供应商应自行承担所有与参加投标有关的费用。不论最终的成交结果如何，盐城幼儿师范高等专科学校在任何情况下均无义务和责任承担这些费用。</w:t>
      </w:r>
    </w:p>
    <w:p>
      <w:pPr>
        <w:pageBreakBefore w:val="0"/>
        <w:kinsoku/>
        <w:wordWrap/>
        <w:overflowPunct/>
        <w:topLinePunct w:val="0"/>
        <w:bidi w:val="0"/>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5.招标文件的约束力</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6.招标文件的解释</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6" w:name="_Toc513029209"/>
      <w:bookmarkStart w:id="17" w:name="_Toc20823281"/>
      <w:bookmarkStart w:id="18" w:name="_Toc120614215"/>
      <w:bookmarkStart w:id="19" w:name="_Toc16938525"/>
      <w:r>
        <w:rPr>
          <w:rFonts w:hint="eastAsia"/>
          <w:b/>
          <w:sz w:val="24"/>
          <w:szCs w:val="24"/>
        </w:rPr>
        <w:t>二、招标文件</w:t>
      </w:r>
      <w:bookmarkEnd w:id="16"/>
      <w:bookmarkEnd w:id="17"/>
      <w:bookmarkEnd w:id="18"/>
      <w:bookmarkEnd w:id="19"/>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0" w:name="_Toc16938526"/>
      <w:bookmarkStart w:id="21" w:name="_Toc20823282"/>
      <w:bookmarkStart w:id="22" w:name="_Toc513029210"/>
      <w:r>
        <w:rPr>
          <w:rFonts w:hint="eastAsia"/>
          <w:b/>
          <w:sz w:val="24"/>
          <w:szCs w:val="24"/>
        </w:rPr>
        <w:t>7.招标文件构成</w:t>
      </w:r>
      <w:bookmarkEnd w:id="20"/>
      <w:bookmarkEnd w:id="21"/>
      <w:bookmarkEnd w:id="22"/>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（1）招标公告</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（2）投标人须知</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（3）合同条款及格式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（4）项目需求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（5）定标原则与评标标准</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（6）投标文件格式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3" w:name="_Toc462564070"/>
      <w:bookmarkStart w:id="24" w:name="_Toc513029211"/>
      <w:bookmarkStart w:id="25" w:name="_Toc16938527"/>
      <w:bookmarkStart w:id="26" w:name="_Toc20823283"/>
      <w:r>
        <w:rPr>
          <w:rFonts w:hint="eastAsia"/>
          <w:b/>
          <w:sz w:val="24"/>
          <w:szCs w:val="24"/>
        </w:rPr>
        <w:t>8.招标文件的</w:t>
      </w:r>
      <w:bookmarkEnd w:id="23"/>
      <w:bookmarkEnd w:id="24"/>
      <w:bookmarkEnd w:id="25"/>
      <w:bookmarkEnd w:id="26"/>
      <w:r>
        <w:rPr>
          <w:rFonts w:hint="eastAsia"/>
          <w:b/>
          <w:sz w:val="24"/>
          <w:szCs w:val="24"/>
        </w:rPr>
        <w:t>询问</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7" w:name="_Toc16938528"/>
      <w:bookmarkStart w:id="28" w:name="_Toc462564071"/>
      <w:bookmarkStart w:id="29" w:name="_Toc20823284"/>
      <w:bookmarkStart w:id="30" w:name="_Toc513029212"/>
      <w:r>
        <w:rPr>
          <w:rFonts w:hint="eastAsia"/>
          <w:b/>
          <w:sz w:val="24"/>
          <w:szCs w:val="24"/>
        </w:rPr>
        <w:t>9.招标文件的修改</w:t>
      </w:r>
      <w:bookmarkEnd w:id="27"/>
      <w:bookmarkEnd w:id="28"/>
      <w:bookmarkEnd w:id="29"/>
      <w:bookmarkEnd w:id="30"/>
    </w:p>
    <w:p>
      <w:pPr>
        <w:pageBreakBefore w:val="0"/>
        <w:kinsoku/>
        <w:wordWrap/>
        <w:overflowPunct/>
        <w:topLinePunct w:val="0"/>
        <w:bidi w:val="0"/>
        <w:spacing w:line="360" w:lineRule="auto"/>
        <w:ind w:firstLine="480" w:firstLineChars="200"/>
        <w:rPr>
          <w:color w:val="000000"/>
          <w:sz w:val="24"/>
          <w:szCs w:val="24"/>
        </w:rPr>
      </w:pPr>
      <w:bookmarkStart w:id="31" w:name="_Toc16938529"/>
      <w:bookmarkStart w:id="32" w:name="_Toc462564072"/>
      <w:bookmarkStart w:id="33" w:name="_Toc513029213"/>
      <w:bookmarkStart w:id="34" w:name="_Toc20823285"/>
      <w:bookmarkStart w:id="35" w:name="_Toc120614216"/>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盐城幼儿师范高等专科学校网站www.yyz.edu.cn</w:t>
      </w:r>
      <w:r>
        <w:rPr>
          <w:rFonts w:hint="eastAsia"/>
          <w:color w:val="000000"/>
          <w:sz w:val="24"/>
          <w:szCs w:val="24"/>
        </w:rPr>
        <w:t>公布，补充文件将作为招标文件的组成部分，并对投标人具有约束力。</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36" w:name="_Toc20823286"/>
      <w:bookmarkStart w:id="37" w:name="_Toc462564073"/>
      <w:bookmarkStart w:id="38" w:name="_Toc16938530"/>
      <w:bookmarkStart w:id="39" w:name="_Toc513029214"/>
      <w:r>
        <w:rPr>
          <w:rFonts w:hint="eastAsia"/>
          <w:b/>
          <w:sz w:val="24"/>
          <w:szCs w:val="24"/>
        </w:rPr>
        <w:t>10.投标文件的语言及度量衡单位</w:t>
      </w:r>
      <w:bookmarkEnd w:id="36"/>
      <w:bookmarkEnd w:id="37"/>
      <w:bookmarkEnd w:id="38"/>
      <w:bookmarkEnd w:id="39"/>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40" w:name="_Toc462564074"/>
      <w:bookmarkStart w:id="41" w:name="_Toc16938531"/>
      <w:bookmarkStart w:id="42" w:name="_Toc513029215"/>
      <w:bookmarkStart w:id="43" w:name="_Toc20823287"/>
      <w:r>
        <w:rPr>
          <w:rFonts w:hint="eastAsia"/>
          <w:b/>
          <w:sz w:val="24"/>
          <w:szCs w:val="24"/>
        </w:rPr>
        <w:t>11.投标文件构成</w:t>
      </w:r>
      <w:bookmarkEnd w:id="40"/>
      <w:bookmarkEnd w:id="41"/>
      <w:bookmarkEnd w:id="42"/>
      <w:bookmarkEnd w:id="43"/>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bookmarkStart w:id="44" w:name="_Hlt26670360"/>
      <w:bookmarkEnd w:id="44"/>
      <w:bookmarkStart w:id="45" w:name="_Hlt26954838"/>
      <w:bookmarkEnd w:id="45"/>
      <w:bookmarkStart w:id="46" w:name="_Hlt26668975"/>
      <w:bookmarkEnd w:id="46"/>
      <w:bookmarkStart w:id="47" w:name="_Toc49090509"/>
      <w:bookmarkStart w:id="48" w:name="_Toc14577357"/>
      <w:bookmarkStart w:id="49" w:name="_Toc513029219"/>
      <w:bookmarkStart w:id="50" w:name="_Toc14577354"/>
      <w:bookmarkStart w:id="51" w:name="_Toc49090507"/>
      <w:bookmarkStart w:id="52" w:name="_Toc513029216"/>
      <w:r>
        <w:rPr>
          <w:rFonts w:hint="eastAsia"/>
          <w:color w:val="000000"/>
          <w:sz w:val="24"/>
          <w:szCs w:val="24"/>
        </w:rPr>
        <w:t>投标文件正、副本至少应提交（包含并不限于）以下投标材料：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11.1 资信证明文件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11.2 资格性审查响应对照表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bCs/>
          <w:color w:val="000000"/>
          <w:sz w:val="24"/>
          <w:szCs w:val="24"/>
        </w:rPr>
      </w:pPr>
      <w:r>
        <w:rPr>
          <w:rFonts w:hint="eastAsia"/>
          <w:color w:val="000000"/>
          <w:sz w:val="24"/>
          <w:szCs w:val="24"/>
        </w:rPr>
        <w:t>11.3 符合性检查响应对照表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11.4 投标函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color w:val="000000"/>
          <w:sz w:val="24"/>
          <w:szCs w:val="24"/>
        </w:rPr>
      </w:pPr>
      <w:r>
        <w:rPr>
          <w:rFonts w:hint="eastAsia"/>
          <w:color w:val="000000"/>
          <w:sz w:val="24"/>
          <w:szCs w:val="24"/>
        </w:rPr>
        <w:t>11.5 开标一览表（详见投标文件格式，用于唱标）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000000"/>
          <w:sz w:val="24"/>
        </w:rPr>
      </w:pPr>
      <w:r>
        <w:rPr>
          <w:rFonts w:hint="eastAsia"/>
          <w:color w:val="000000"/>
          <w:sz w:val="24"/>
          <w:szCs w:val="24"/>
        </w:rPr>
        <w:t>11.</w:t>
      </w:r>
      <w:r>
        <w:rPr>
          <w:rFonts w:hint="eastAsia"/>
          <w:color w:val="000000"/>
          <w:sz w:val="24"/>
          <w:szCs w:val="24"/>
          <w:lang w:val="en-US" w:eastAsia="zh-CN"/>
        </w:rPr>
        <w:t>6</w:t>
      </w:r>
      <w:r>
        <w:rPr>
          <w:rFonts w:hint="eastAsia"/>
          <w:color w:val="000000"/>
          <w:sz w:val="24"/>
          <w:szCs w:val="24"/>
        </w:rPr>
        <w:t xml:space="preserve"> </w:t>
      </w:r>
      <w:r>
        <w:rPr>
          <w:rFonts w:hint="eastAsia" w:ascii="宋体" w:hAnsi="宋体"/>
          <w:color w:val="000000"/>
          <w:sz w:val="24"/>
        </w:rPr>
        <w:t>报价明细表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11.6</w:t>
      </w:r>
      <w:r>
        <w:rPr>
          <w:color w:val="000000"/>
          <w:sz w:val="24"/>
          <w:szCs w:val="24"/>
        </w:rPr>
        <w:t xml:space="preserve"> 技术参数响应及偏离表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11.7商务</w:t>
      </w:r>
      <w:r>
        <w:rPr>
          <w:color w:val="000000"/>
          <w:sz w:val="24"/>
          <w:szCs w:val="24"/>
        </w:rPr>
        <w:t>条款响应及偏离表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bCs/>
          <w:color w:val="000000"/>
          <w:sz w:val="24"/>
          <w:lang w:eastAsia="zh-CN"/>
        </w:rPr>
      </w:pPr>
      <w:r>
        <w:rPr>
          <w:rFonts w:hint="eastAsia"/>
          <w:color w:val="000000"/>
          <w:sz w:val="24"/>
          <w:szCs w:val="24"/>
        </w:rPr>
        <w:t>11.</w:t>
      </w:r>
      <w:r>
        <w:rPr>
          <w:rFonts w:hint="eastAsia"/>
          <w:color w:val="000000"/>
          <w:sz w:val="24"/>
          <w:szCs w:val="24"/>
          <w:lang w:val="en-US" w:eastAsia="zh-CN"/>
        </w:rPr>
        <w:t>8</w:t>
      </w:r>
      <w:r>
        <w:rPr>
          <w:rFonts w:hint="eastAsia" w:ascii="宋体" w:hAnsi="宋体"/>
          <w:bCs/>
          <w:color w:val="000000"/>
          <w:sz w:val="24"/>
          <w:lang w:eastAsia="zh-CN"/>
        </w:rPr>
        <w:t>项目实施方案、服务承诺、安全攻防演练方案等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000000"/>
          <w:sz w:val="24"/>
        </w:rPr>
      </w:pPr>
      <w:r>
        <w:rPr>
          <w:rFonts w:hint="eastAsia"/>
          <w:color w:val="000000"/>
          <w:sz w:val="24"/>
          <w:szCs w:val="24"/>
        </w:rPr>
        <w:t>11.</w:t>
      </w:r>
      <w:r>
        <w:rPr>
          <w:rFonts w:hint="eastAsia"/>
          <w:color w:val="000000"/>
          <w:sz w:val="24"/>
          <w:szCs w:val="24"/>
          <w:lang w:val="en-US" w:eastAsia="zh-CN"/>
        </w:rPr>
        <w:t>9</w:t>
      </w:r>
      <w:r>
        <w:rPr>
          <w:rFonts w:hint="eastAsia" w:ascii="宋体" w:hAnsi="宋体"/>
          <w:bCs/>
          <w:color w:val="000000"/>
          <w:sz w:val="24"/>
        </w:rPr>
        <w:t>拟投入本项目的</w:t>
      </w:r>
      <w:r>
        <w:rPr>
          <w:rFonts w:hint="eastAsia" w:ascii="宋体" w:hAnsi="宋体"/>
          <w:color w:val="000000"/>
          <w:sz w:val="24"/>
        </w:rPr>
        <w:t>主要人员一览表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w:t>
      </w:r>
      <w:r>
        <w:rPr>
          <w:rFonts w:hint="eastAsia"/>
          <w:color w:val="000000"/>
          <w:sz w:val="24"/>
          <w:szCs w:val="24"/>
          <w:lang w:val="en-US" w:eastAsia="zh-CN"/>
        </w:rPr>
        <w:t>10</w:t>
      </w:r>
      <w:r>
        <w:rPr>
          <w:color w:val="000000"/>
          <w:sz w:val="24"/>
          <w:szCs w:val="24"/>
        </w:rPr>
        <w:t>盐城市政府采购事前信用承诺书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11.</w:t>
      </w:r>
      <w:r>
        <w:rPr>
          <w:rFonts w:hint="eastAsia" w:ascii="Times New Roman" w:eastAsia="宋体" w:cs="Times New Roman"/>
          <w:color w:val="000000"/>
          <w:kern w:val="2"/>
          <w:sz w:val="24"/>
          <w:szCs w:val="24"/>
          <w:lang w:val="en-US" w:eastAsia="zh-CN" w:bidi="ar-SA"/>
        </w:rPr>
        <w:t>1</w:t>
      </w:r>
      <w:r>
        <w:rPr>
          <w:rFonts w:hint="eastAsia" w:cs="Times New Roman"/>
          <w:color w:val="000000"/>
          <w:kern w:val="2"/>
          <w:sz w:val="24"/>
          <w:szCs w:val="24"/>
          <w:lang w:val="en-US" w:eastAsia="zh-CN" w:bidi="ar-SA"/>
        </w:rPr>
        <w:t>1</w:t>
      </w:r>
      <w:r>
        <w:rPr>
          <w:rFonts w:hint="eastAsia" w:ascii="Times New Roman" w:eastAsia="宋体" w:cs="Times New Roman"/>
          <w:color w:val="000000"/>
          <w:kern w:val="2"/>
          <w:sz w:val="24"/>
          <w:szCs w:val="24"/>
          <w:lang w:val="en-US" w:eastAsia="zh-CN" w:bidi="ar-SA"/>
        </w:rPr>
        <w:t xml:space="preserve"> </w:t>
      </w:r>
      <w:r>
        <w:rPr>
          <w:rFonts w:hint="eastAsia"/>
          <w:color w:val="000000"/>
          <w:sz w:val="24"/>
          <w:szCs w:val="24"/>
        </w:rPr>
        <w:t>招标文件中规定要求提供的证明材料和投标人认为需要提供的其他材料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rFonts w:hint="eastAsia"/>
          <w:color w:val="000000"/>
          <w:sz w:val="24"/>
          <w:szCs w:val="24"/>
        </w:rPr>
        <w:t>投标人应将投标文件按标书顺序装订成册，并编制投标文件资料目录。</w:t>
      </w:r>
      <w:r>
        <w:rPr>
          <w:color w:val="000000" w:themeColor="text1"/>
          <w:sz w:val="24"/>
          <w:szCs w:val="24"/>
        </w:rPr>
        <w:t>招标文件要求提供原件的必须单独封装并与投标文件一起递交，评标结束后原件退回；未要求提供原件的提供复印件，原件自带备查</w:t>
      </w:r>
      <w:r>
        <w:rPr>
          <w:rFonts w:hint="eastAsia"/>
          <w:color w:val="000000" w:themeColor="text1"/>
          <w:sz w:val="24"/>
          <w:szCs w:val="24"/>
        </w:rPr>
        <w:t>。</w:t>
      </w:r>
    </w:p>
    <w:p>
      <w:pPr>
        <w:pageBreakBefore w:val="0"/>
        <w:kinsoku/>
        <w:wordWrap/>
        <w:overflowPunct/>
        <w:topLinePunct w:val="0"/>
        <w:bidi w:val="0"/>
        <w:spacing w:line="360" w:lineRule="auto"/>
        <w:ind w:firstLine="482" w:firstLineChars="200"/>
        <w:rPr>
          <w:color w:val="000000"/>
          <w:sz w:val="24"/>
          <w:szCs w:val="24"/>
        </w:rPr>
      </w:pPr>
      <w:bookmarkStart w:id="53" w:name="_Toc105320195"/>
      <w:r>
        <w:rPr>
          <w:rFonts w:hint="eastAsia"/>
          <w:b/>
          <w:color w:val="000000"/>
          <w:sz w:val="24"/>
          <w:szCs w:val="24"/>
        </w:rPr>
        <w:t>标书正本一份，副本四份。</w:t>
      </w:r>
      <w:bookmarkEnd w:id="53"/>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12.证明投标人资格及符合招标文件规定的文件</w:t>
      </w:r>
      <w:bookmarkEnd w:id="47"/>
      <w:bookmarkEnd w:id="48"/>
      <w:bookmarkEnd w:id="49"/>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12.1</w:t>
      </w:r>
      <w:bookmarkStart w:id="54" w:name="_Hlt26668999"/>
      <w:bookmarkEnd w:id="54"/>
      <w:r>
        <w:rPr>
          <w:rFonts w:hint="eastAsia"/>
          <w:color w:val="000000"/>
          <w:sz w:val="24"/>
          <w:szCs w:val="24"/>
        </w:rPr>
        <w:t>投标人应按要求提交资格证明文件及符合招标文件规定的文件。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bookmarkEnd w:id="50"/>
    <w:bookmarkEnd w:id="51"/>
    <w:bookmarkEnd w:id="52"/>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55" w:name="_Toc49090508"/>
      <w:bookmarkStart w:id="56" w:name="_Toc14577355"/>
      <w:r>
        <w:rPr>
          <w:rFonts w:hint="eastAsia"/>
          <w:b/>
          <w:sz w:val="24"/>
          <w:szCs w:val="24"/>
        </w:rPr>
        <w:t>13.</w:t>
      </w:r>
      <w:bookmarkEnd w:id="55"/>
      <w:bookmarkEnd w:id="56"/>
      <w:r>
        <w:rPr>
          <w:rFonts w:hint="eastAsia"/>
          <w:b/>
          <w:sz w:val="24"/>
          <w:szCs w:val="24"/>
        </w:rPr>
        <w:t>投标报价</w:t>
      </w:r>
    </w:p>
    <w:p>
      <w:pPr>
        <w:pageBreakBefore w:val="0"/>
        <w:kinsoku/>
        <w:wordWrap/>
        <w:overflowPunct/>
        <w:topLinePunct w:val="0"/>
        <w:bidi w:val="0"/>
        <w:spacing w:line="360" w:lineRule="auto"/>
        <w:ind w:firstLine="480" w:firstLineChars="200"/>
        <w:rPr>
          <w:rFonts w:ascii="宋体" w:hAnsi="宋体" w:cs="宋体"/>
          <w:bCs/>
          <w:sz w:val="24"/>
          <w:szCs w:val="24"/>
        </w:rPr>
      </w:pPr>
      <w:bookmarkStart w:id="57" w:name="_Hlt26954846"/>
      <w:bookmarkEnd w:id="57"/>
      <w:bookmarkStart w:id="58" w:name="_Hlt26954731"/>
      <w:bookmarkEnd w:id="58"/>
      <w:bookmarkStart w:id="59" w:name="_Hlt26954848"/>
      <w:bookmarkEnd w:id="59"/>
      <w:bookmarkStart w:id="60" w:name="_Hlt26670486"/>
      <w:bookmarkEnd w:id="60"/>
      <w:bookmarkStart w:id="61" w:name="_Hlt26670482"/>
      <w:bookmarkEnd w:id="61"/>
      <w:r>
        <w:rPr>
          <w:rFonts w:hint="eastAsia"/>
          <w:color w:val="000000"/>
          <w:sz w:val="24"/>
          <w:szCs w:val="24"/>
        </w:rPr>
        <w:t>13.1</w:t>
      </w:r>
      <w:r>
        <w:rPr>
          <w:rFonts w:hint="eastAsia" w:ascii="宋体" w:hAnsi="宋体" w:cs="宋体"/>
          <w:sz w:val="24"/>
          <w:szCs w:val="24"/>
        </w:rPr>
        <w:t>投标人的报价应包括所投产品费用、税金、运输费及其他有关的为完成本项目发生的所有费用，招标文件中另有规定的除外。</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14.技术参数响应及偏离表、商务条款响应及偏离表及投标说明</w:t>
      </w:r>
    </w:p>
    <w:p>
      <w:pPr>
        <w:pageBreakBefore w:val="0"/>
        <w:kinsoku/>
        <w:wordWrap/>
        <w:overflowPunct/>
        <w:topLinePunct w:val="0"/>
        <w:autoSpaceDE w:val="0"/>
        <w:autoSpaceDN w:val="0"/>
        <w:bidi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color w:val="000000"/>
          <w:sz w:val="24"/>
          <w:szCs w:val="24"/>
          <w:lang w:val="zh-CN"/>
        </w:rPr>
        <w:t xml:space="preserve"> </w:t>
      </w:r>
      <w:r>
        <w:rPr>
          <w:rFonts w:hint="eastAsia"/>
          <w:color w:val="000000"/>
          <w:sz w:val="24"/>
          <w:szCs w:val="24"/>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14.3 详细阐述所投本项目的主要组成部分、实现思路及关键技术；</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14.4 投标人认为需要的其他技术文件或说明。</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15.服务承诺及售后服务机构、人员的情况介绍</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2" w:name="_Toc14577359"/>
      <w:bookmarkStart w:id="63" w:name="_Toc49090510"/>
      <w:r>
        <w:rPr>
          <w:rFonts w:hint="eastAsia"/>
          <w:b/>
          <w:sz w:val="24"/>
          <w:szCs w:val="24"/>
        </w:rPr>
        <w:t>16.投标函和开标一览表</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16.2</w:t>
      </w:r>
      <w:r>
        <w:rPr>
          <w:rFonts w:hint="eastAsia"/>
          <w:color w:val="000000"/>
          <w:sz w:val="24"/>
          <w:szCs w:val="24"/>
        </w:rPr>
        <w:t xml:space="preserve"> </w:t>
      </w:r>
      <w:r>
        <w:rPr>
          <w:rFonts w:hint="eastAsia"/>
          <w:bCs/>
          <w:color w:val="000000"/>
          <w:sz w:val="24"/>
          <w:szCs w:val="24"/>
        </w:rPr>
        <w:t>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p>
    <w:bookmarkEnd w:id="62"/>
    <w:bookmarkEnd w:id="63"/>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4" w:name="_Hlt26954734"/>
      <w:bookmarkEnd w:id="64"/>
      <w:bookmarkStart w:id="65" w:name="_Hlt26670489"/>
      <w:bookmarkEnd w:id="65"/>
      <w:bookmarkStart w:id="66" w:name="_Hlt26954850"/>
      <w:bookmarkEnd w:id="66"/>
      <w:bookmarkStart w:id="67" w:name="_Toc14577360"/>
      <w:bookmarkStart w:id="68" w:name="_Toc49090511"/>
      <w:r>
        <w:rPr>
          <w:rFonts w:hint="eastAsia"/>
          <w:b/>
          <w:sz w:val="24"/>
          <w:szCs w:val="24"/>
        </w:rPr>
        <w:t>17.投标有效期</w:t>
      </w:r>
      <w:bookmarkEnd w:id="67"/>
      <w:bookmarkEnd w:id="68"/>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9" w:name="_Hlt26954739"/>
      <w:bookmarkEnd w:id="69"/>
      <w:bookmarkStart w:id="70" w:name="_Hlt26954852"/>
      <w:bookmarkEnd w:id="70"/>
      <w:bookmarkStart w:id="71" w:name="_Toc49090512"/>
      <w:bookmarkStart w:id="72" w:name="_Toc14577361"/>
      <w:r>
        <w:rPr>
          <w:rFonts w:hint="eastAsia"/>
          <w:b/>
          <w:sz w:val="24"/>
          <w:szCs w:val="24"/>
        </w:rPr>
        <w:t>18.投标文件份数和签署</w:t>
      </w:r>
      <w:bookmarkEnd w:id="71"/>
      <w:bookmarkEnd w:id="72"/>
    </w:p>
    <w:p>
      <w:pPr>
        <w:pageBreakBefore w:val="0"/>
        <w:kinsoku/>
        <w:wordWrap/>
        <w:overflowPunct/>
        <w:topLinePunct w:val="0"/>
        <w:bidi w:val="0"/>
        <w:spacing w:line="360" w:lineRule="auto"/>
        <w:ind w:firstLine="480" w:firstLineChars="200"/>
        <w:rPr>
          <w:bCs/>
          <w:color w:val="000000"/>
          <w:sz w:val="24"/>
          <w:szCs w:val="24"/>
        </w:rPr>
      </w:pPr>
      <w:bookmarkStart w:id="73" w:name="_Toc16938540"/>
      <w:bookmarkStart w:id="74" w:name="_Toc513029224"/>
      <w:bookmarkStart w:id="75" w:name="_Toc20823296"/>
      <w:bookmarkStart w:id="76" w:name="_Toc120614217"/>
      <w:r>
        <w:rPr>
          <w:rFonts w:hint="eastAsia"/>
          <w:color w:val="000000"/>
          <w:sz w:val="24"/>
          <w:szCs w:val="24"/>
        </w:rPr>
        <w:t>18.1</w:t>
      </w:r>
      <w:r>
        <w:rPr>
          <w:rFonts w:hint="eastAsia"/>
          <w:b/>
          <w:color w:val="000000"/>
          <w:sz w:val="24"/>
          <w:szCs w:val="24"/>
        </w:rPr>
        <w:t xml:space="preserve"> </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4"/>
        <w:pageBreakBefore w:val="0"/>
        <w:kinsoku/>
        <w:wordWrap/>
        <w:overflowPunct/>
        <w:topLinePunct w:val="0"/>
        <w:bidi w:val="0"/>
        <w:spacing w:line="360" w:lineRule="auto"/>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四、投标文件的递交</w:t>
      </w:r>
      <w:bookmarkEnd w:id="73"/>
      <w:bookmarkEnd w:id="74"/>
      <w:bookmarkEnd w:id="75"/>
      <w:bookmarkEnd w:id="76"/>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77" w:name="_Toc20823297"/>
      <w:bookmarkStart w:id="78" w:name="_Toc16938541"/>
      <w:bookmarkStart w:id="79" w:name="_Toc513029225"/>
      <w:bookmarkStart w:id="80" w:name="_Toc462564084"/>
      <w:bookmarkStart w:id="81" w:name="_Toc16938542"/>
      <w:bookmarkStart w:id="82" w:name="_Toc20823298"/>
      <w:bookmarkStart w:id="83" w:name="_Toc513029226"/>
      <w:r>
        <w:rPr>
          <w:rFonts w:hint="eastAsia"/>
          <w:b/>
          <w:sz w:val="24"/>
          <w:szCs w:val="24"/>
        </w:rPr>
        <w:t>19.</w:t>
      </w:r>
      <w:bookmarkEnd w:id="77"/>
      <w:bookmarkEnd w:id="78"/>
      <w:bookmarkEnd w:id="79"/>
      <w:bookmarkEnd w:id="80"/>
      <w:r>
        <w:rPr>
          <w:rFonts w:hint="eastAsia"/>
          <w:b/>
          <w:sz w:val="24"/>
          <w:szCs w:val="24"/>
        </w:rPr>
        <w:t>投标文件的递交</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19.2.1注明投标人名称，如因标注不清而产生的后果由投标人自负。按招标公告中注明的地址送达；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19.2.2注明投标项目名称、标书编号及分包号。</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19.2.3</w:t>
      </w:r>
      <w:r>
        <w:rPr>
          <w:rFonts w:hint="eastAsia"/>
          <w:bCs/>
          <w:color w:val="000000"/>
          <w:sz w:val="24"/>
          <w:szCs w:val="24"/>
        </w:rPr>
        <w:t>未按要求密封和加写标记，</w:t>
      </w:r>
      <w:r>
        <w:rPr>
          <w:rFonts w:hint="eastAsia"/>
          <w:color w:val="000000"/>
          <w:sz w:val="24"/>
          <w:szCs w:val="24"/>
        </w:rPr>
        <w:t>招标人或招标代理机构</w:t>
      </w:r>
      <w:r>
        <w:rPr>
          <w:rFonts w:hint="eastAsia"/>
          <w:bCs/>
          <w:color w:val="000000"/>
          <w:sz w:val="24"/>
          <w:szCs w:val="24"/>
        </w:rPr>
        <w:t>对误投或过早启封概不负责。对由此造成提前开封的投标文件，</w:t>
      </w:r>
      <w:r>
        <w:rPr>
          <w:rFonts w:hint="eastAsia"/>
          <w:color w:val="000000"/>
          <w:sz w:val="24"/>
          <w:szCs w:val="24"/>
        </w:rPr>
        <w:t>招标人或招标代理机构</w:t>
      </w:r>
      <w:r>
        <w:rPr>
          <w:rFonts w:hint="eastAsia"/>
          <w:bCs/>
          <w:color w:val="000000"/>
          <w:sz w:val="24"/>
          <w:szCs w:val="24"/>
        </w:rPr>
        <w:t>将予以拒绝，作无效投标处理。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20.投标截止日期</w:t>
      </w:r>
      <w:bookmarkEnd w:id="81"/>
      <w:bookmarkEnd w:id="82"/>
      <w:bookmarkEnd w:id="83"/>
    </w:p>
    <w:p>
      <w:pPr>
        <w:pageBreakBefore w:val="0"/>
        <w:kinsoku/>
        <w:wordWrap/>
        <w:overflowPunct/>
        <w:topLinePunct w:val="0"/>
        <w:bidi w:val="0"/>
        <w:spacing w:line="360" w:lineRule="auto"/>
        <w:ind w:firstLine="480" w:firstLineChars="200"/>
        <w:rPr>
          <w:bCs/>
          <w:color w:val="000000"/>
          <w:sz w:val="24"/>
          <w:szCs w:val="24"/>
        </w:rPr>
      </w:pPr>
      <w:bookmarkStart w:id="84" w:name="_Toc20823299"/>
      <w:bookmarkStart w:id="85" w:name="_Toc16938543"/>
      <w:bookmarkStart w:id="86" w:name="_Toc513029227"/>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21.迟交的投标文件</w:t>
      </w:r>
      <w:bookmarkEnd w:id="84"/>
      <w:bookmarkEnd w:id="85"/>
      <w:bookmarkEnd w:id="86"/>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87" w:name="_Toc16938544"/>
      <w:bookmarkStart w:id="88" w:name="_Toc513029228"/>
      <w:bookmarkStart w:id="89" w:name="_Toc20823300"/>
      <w:r>
        <w:rPr>
          <w:rFonts w:hint="eastAsia"/>
          <w:b/>
          <w:sz w:val="24"/>
          <w:szCs w:val="24"/>
        </w:rPr>
        <w:t>22.投标文件的修改和撤回</w:t>
      </w:r>
      <w:bookmarkEnd w:id="87"/>
      <w:bookmarkEnd w:id="88"/>
      <w:bookmarkEnd w:id="89"/>
    </w:p>
    <w:p>
      <w:pPr>
        <w:pageBreakBefore w:val="0"/>
        <w:kinsoku/>
        <w:wordWrap/>
        <w:overflowPunct/>
        <w:topLinePunct w:val="0"/>
        <w:bidi w:val="0"/>
        <w:spacing w:line="360" w:lineRule="auto"/>
        <w:ind w:firstLine="480" w:firstLineChars="200"/>
        <w:rPr>
          <w:color w:val="000000"/>
          <w:sz w:val="24"/>
          <w:szCs w:val="24"/>
        </w:rPr>
      </w:pPr>
      <w:bookmarkStart w:id="90" w:name="_Toc513029229"/>
      <w:bookmarkStart w:id="91" w:name="_Toc120614218"/>
      <w:bookmarkStart w:id="92" w:name="_Toc20823301"/>
      <w:bookmarkStart w:id="93" w:name="_Toc16938545"/>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五、开标与评标</w:t>
      </w:r>
      <w:bookmarkEnd w:id="90"/>
      <w:bookmarkEnd w:id="91"/>
      <w:bookmarkEnd w:id="92"/>
      <w:bookmarkEnd w:id="93"/>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94" w:name="_Toc20823302"/>
      <w:bookmarkStart w:id="95" w:name="_Toc513029230"/>
      <w:bookmarkStart w:id="96" w:name="_Toc16938546"/>
      <w:r>
        <w:rPr>
          <w:rFonts w:hint="eastAsia"/>
          <w:b/>
          <w:sz w:val="24"/>
          <w:szCs w:val="24"/>
        </w:rPr>
        <w:t>23.开标</w:t>
      </w:r>
      <w:bookmarkEnd w:id="94"/>
      <w:bookmarkEnd w:id="95"/>
      <w:bookmarkEnd w:id="96"/>
    </w:p>
    <w:p>
      <w:pPr>
        <w:pageBreakBefore w:val="0"/>
        <w:kinsoku/>
        <w:wordWrap/>
        <w:overflowPunct/>
        <w:topLinePunct w:val="0"/>
        <w:bidi w:val="0"/>
        <w:spacing w:line="360" w:lineRule="auto"/>
        <w:ind w:firstLine="480" w:firstLineChars="200"/>
        <w:rPr>
          <w:color w:val="000000"/>
          <w:sz w:val="24"/>
          <w:szCs w:val="24"/>
        </w:rPr>
      </w:pPr>
      <w:bookmarkStart w:id="97" w:name="_Toc16938547"/>
      <w:bookmarkStart w:id="98" w:name="_Toc20823303"/>
      <w:bookmarkStart w:id="99" w:name="_Toc513029231"/>
      <w:r>
        <w:rPr>
          <w:rFonts w:hint="eastAsia"/>
          <w:color w:val="000000"/>
          <w:sz w:val="24"/>
          <w:szCs w:val="24"/>
        </w:rPr>
        <w:t>23.1</w:t>
      </w:r>
      <w:r>
        <w:rPr>
          <w:rFonts w:hint="eastAsia"/>
          <w:bCs/>
          <w:color w:val="000000"/>
          <w:sz w:val="24"/>
          <w:szCs w:val="24"/>
        </w:rPr>
        <w:t xml:space="preserve"> </w:t>
      </w:r>
      <w:r>
        <w:rPr>
          <w:rFonts w:hint="eastAsia"/>
          <w:color w:val="000000"/>
          <w:sz w:val="24"/>
          <w:szCs w:val="24"/>
        </w:rPr>
        <w:t>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23.3</w:t>
      </w:r>
      <w:r>
        <w:rPr>
          <w:rFonts w:hint="eastAsia"/>
          <w:b/>
          <w:color w:val="000000"/>
          <w:sz w:val="24"/>
          <w:szCs w:val="24"/>
        </w:rPr>
        <w:t xml:space="preserve"> </w:t>
      </w:r>
      <w:r>
        <w:rPr>
          <w:rFonts w:hint="eastAsia"/>
          <w:bCs/>
          <w:color w:val="000000"/>
          <w:sz w:val="24"/>
          <w:szCs w:val="24"/>
        </w:rPr>
        <w:t>按照规定同意撤回的投标将不予开封。</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pageBreakBefore w:val="0"/>
        <w:kinsoku/>
        <w:wordWrap/>
        <w:overflowPunct/>
        <w:topLinePunct w:val="0"/>
        <w:bidi w:val="0"/>
        <w:spacing w:line="360" w:lineRule="auto"/>
        <w:ind w:firstLine="480" w:firstLineChars="200"/>
        <w:rPr>
          <w:color w:val="auto"/>
          <w:sz w:val="24"/>
          <w:szCs w:val="24"/>
        </w:rPr>
      </w:pPr>
      <w:r>
        <w:rPr>
          <w:rFonts w:hint="eastAsia"/>
          <w:color w:val="auto"/>
          <w:sz w:val="24"/>
          <w:szCs w:val="24"/>
        </w:rPr>
        <w:t>23.6 投标人在报价时不允许采用选择性报价，否则将被视为无效投标。</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24.资格审查</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ageBreakBefore w:val="0"/>
        <w:kinsoku/>
        <w:wordWrap/>
        <w:overflowPunct/>
        <w:topLinePunct w:val="0"/>
        <w:bidi w:val="0"/>
        <w:spacing w:line="360" w:lineRule="auto"/>
        <w:ind w:firstLine="480" w:firstLineChars="200"/>
        <w:textAlignment w:val="baseline"/>
        <w:rPr>
          <w:color w:val="000000"/>
          <w:sz w:val="24"/>
          <w:szCs w:val="24"/>
        </w:rPr>
      </w:pPr>
      <w:r>
        <w:rPr>
          <w:color w:val="000000"/>
          <w:sz w:val="24"/>
          <w:szCs w:val="24"/>
        </w:rPr>
        <w:t>合格投标人不足3家的，不得评标。</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25、评标委员会</w:t>
      </w:r>
    </w:p>
    <w:p>
      <w:pPr>
        <w:pageBreakBefore w:val="0"/>
        <w:kinsoku/>
        <w:wordWrap/>
        <w:overflowPunct/>
        <w:topLinePunct w:val="0"/>
        <w:bidi w:val="0"/>
        <w:spacing w:line="360" w:lineRule="auto"/>
        <w:ind w:firstLine="480" w:firstLineChars="200"/>
        <w:rPr>
          <w:b/>
          <w:color w:val="000000"/>
          <w:sz w:val="24"/>
          <w:szCs w:val="24"/>
        </w:rPr>
      </w:pPr>
      <w:r>
        <w:rPr>
          <w:rFonts w:hint="eastAsia"/>
          <w:color w:val="000000"/>
          <w:sz w:val="24"/>
          <w:szCs w:val="24"/>
        </w:rPr>
        <w:t>25.1</w:t>
      </w:r>
      <w:r>
        <w:rPr>
          <w:rFonts w:hint="eastAsia"/>
          <w:b/>
          <w:color w:val="000000"/>
          <w:sz w:val="24"/>
          <w:szCs w:val="24"/>
        </w:rPr>
        <w:t xml:space="preserve"> </w:t>
      </w:r>
      <w:r>
        <w:rPr>
          <w:rFonts w:hint="eastAsia"/>
          <w:color w:val="000000"/>
          <w:sz w:val="24"/>
          <w:szCs w:val="24"/>
        </w:rPr>
        <w:t>资格审查通过后，采购人将组织评标委员会（以下简称评委会）进行评标。</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26.评标过程的保密与公正</w:t>
      </w:r>
    </w:p>
    <w:bookmarkEnd w:id="97"/>
    <w:bookmarkEnd w:id="98"/>
    <w:bookmarkEnd w:id="99"/>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0" w:name="_Toc513029232"/>
      <w:bookmarkStart w:id="101" w:name="_Toc20823304"/>
      <w:bookmarkStart w:id="102" w:name="_Toc16938548"/>
      <w:r>
        <w:rPr>
          <w:rFonts w:hint="eastAsia"/>
          <w:b/>
          <w:sz w:val="24"/>
          <w:szCs w:val="24"/>
        </w:rPr>
        <w:t>27.投标的澄清</w:t>
      </w:r>
      <w:bookmarkEnd w:id="100"/>
      <w:bookmarkEnd w:id="101"/>
      <w:bookmarkEnd w:id="102"/>
    </w:p>
    <w:p>
      <w:pPr>
        <w:pageBreakBefore w:val="0"/>
        <w:kinsoku/>
        <w:wordWrap/>
        <w:overflowPunct/>
        <w:topLinePunct w:val="0"/>
        <w:bidi w:val="0"/>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3" w:name="_Toc16938549"/>
      <w:bookmarkStart w:id="104" w:name="_Toc513029233"/>
      <w:bookmarkStart w:id="105" w:name="_Toc20823305"/>
      <w:r>
        <w:rPr>
          <w:rFonts w:hint="eastAsia"/>
          <w:b/>
          <w:sz w:val="24"/>
          <w:szCs w:val="24"/>
        </w:rPr>
        <w:t>28.对投标文件的评审</w:t>
      </w:r>
      <w:bookmarkEnd w:id="103"/>
      <w:bookmarkEnd w:id="104"/>
      <w:bookmarkEnd w:id="105"/>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28.3</w:t>
      </w:r>
      <w:r>
        <w:rPr>
          <w:rFonts w:hint="eastAsia"/>
          <w:bCs/>
          <w:color w:val="000000"/>
          <w:sz w:val="24"/>
          <w:szCs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28.7</w:t>
      </w:r>
      <w:r>
        <w:rPr>
          <w:color w:val="000000"/>
          <w:sz w:val="24"/>
          <w:szCs w:val="24"/>
        </w:rPr>
        <w:t xml:space="preserve"> </w:t>
      </w: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6" w:name="_Toc16938550"/>
      <w:bookmarkStart w:id="107" w:name="_Toc513029234"/>
      <w:bookmarkStart w:id="108" w:name="_Toc20823306"/>
      <w:r>
        <w:rPr>
          <w:rFonts w:hint="eastAsia"/>
          <w:b/>
          <w:sz w:val="24"/>
          <w:szCs w:val="24"/>
        </w:rPr>
        <w:t>29.</w:t>
      </w:r>
      <w:bookmarkEnd w:id="106"/>
      <w:bookmarkEnd w:id="107"/>
      <w:bookmarkEnd w:id="108"/>
      <w:r>
        <w:rPr>
          <w:rFonts w:hint="eastAsia"/>
          <w:b/>
          <w:sz w:val="24"/>
          <w:szCs w:val="24"/>
        </w:rPr>
        <w:t>无效投标条款和废标条款</w:t>
      </w:r>
    </w:p>
    <w:p>
      <w:pPr>
        <w:pageBreakBefore w:val="0"/>
        <w:kinsoku/>
        <w:wordWrap/>
        <w:overflowPunct/>
        <w:topLinePunct w:val="0"/>
        <w:bidi w:val="0"/>
        <w:spacing w:line="360" w:lineRule="auto"/>
        <w:ind w:firstLine="480" w:firstLineChars="200"/>
        <w:rPr>
          <w:bCs/>
          <w:color w:val="000000"/>
          <w:sz w:val="24"/>
          <w:szCs w:val="24"/>
        </w:rPr>
      </w:pPr>
      <w:bookmarkStart w:id="109" w:name="_Toc16938551"/>
      <w:bookmarkStart w:id="110" w:name="_Toc20823307"/>
      <w:bookmarkStart w:id="111" w:name="_Toc513029235"/>
      <w:r>
        <w:rPr>
          <w:rFonts w:hint="eastAsia"/>
          <w:bCs/>
          <w:color w:val="000000"/>
          <w:sz w:val="24"/>
          <w:szCs w:val="24"/>
        </w:rPr>
        <w:t>29.1无效投标条款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pageBreakBefore w:val="0"/>
        <w:kinsoku/>
        <w:wordWrap/>
        <w:overflowPunct/>
        <w:topLinePunct w:val="0"/>
        <w:bidi w:val="0"/>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29.1.7投标人串通投标；</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29.2废标条款：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29.2.3因重大变故，采购任务取消的；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2" w:name="_Toc120614219"/>
      <w:r>
        <w:rPr>
          <w:rFonts w:hint="eastAsia"/>
          <w:b/>
          <w:sz w:val="24"/>
          <w:szCs w:val="24"/>
        </w:rPr>
        <w:t>六、</w:t>
      </w:r>
      <w:bookmarkEnd w:id="109"/>
      <w:bookmarkEnd w:id="110"/>
      <w:bookmarkEnd w:id="111"/>
      <w:r>
        <w:rPr>
          <w:rFonts w:hint="eastAsia"/>
          <w:b/>
          <w:sz w:val="24"/>
          <w:szCs w:val="24"/>
        </w:rPr>
        <w:t>定标</w:t>
      </w:r>
      <w:bookmarkEnd w:id="112"/>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3" w:name="_Toc513029238"/>
      <w:bookmarkStart w:id="114" w:name="_Toc20823310"/>
      <w:bookmarkStart w:id="115" w:name="_Toc16938554"/>
      <w:r>
        <w:rPr>
          <w:rFonts w:hint="eastAsia"/>
          <w:b/>
          <w:sz w:val="24"/>
          <w:szCs w:val="24"/>
        </w:rPr>
        <w:t>30.</w:t>
      </w:r>
      <w:bookmarkEnd w:id="113"/>
      <w:r>
        <w:rPr>
          <w:rFonts w:hint="eastAsia"/>
          <w:b/>
          <w:sz w:val="24"/>
          <w:szCs w:val="24"/>
        </w:rPr>
        <w:t>确定</w:t>
      </w:r>
      <w:bookmarkEnd w:id="114"/>
      <w:bookmarkEnd w:id="115"/>
      <w:r>
        <w:rPr>
          <w:rFonts w:hint="eastAsia"/>
          <w:b/>
          <w:sz w:val="24"/>
          <w:szCs w:val="24"/>
        </w:rPr>
        <w:t>中标单位</w:t>
      </w:r>
    </w:p>
    <w:p>
      <w:pPr>
        <w:pageBreakBefore w:val="0"/>
        <w:kinsoku/>
        <w:wordWrap/>
        <w:overflowPunct/>
        <w:topLinePunct w:val="0"/>
        <w:bidi w:val="0"/>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6" w:name="_Toc200451960"/>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 xml:space="preserve">30.5. </w:t>
      </w:r>
      <w:r>
        <w:rPr>
          <w:color w:val="000000"/>
          <w:sz w:val="24"/>
          <w:szCs w:val="24"/>
        </w:rPr>
        <w:t>有下列情形之一的，</w:t>
      </w:r>
      <w:r>
        <w:rPr>
          <w:rFonts w:hint="eastAsia"/>
          <w:color w:val="000000"/>
          <w:sz w:val="24"/>
          <w:szCs w:val="24"/>
        </w:rPr>
        <w:t>视为投标人</w:t>
      </w:r>
      <w:r>
        <w:rPr>
          <w:color w:val="000000"/>
          <w:sz w:val="24"/>
          <w:szCs w:val="24"/>
        </w:rPr>
        <w:t>串通</w:t>
      </w:r>
      <w:r>
        <w:rPr>
          <w:rFonts w:hint="eastAsia"/>
          <w:color w:val="000000"/>
          <w:sz w:val="24"/>
          <w:szCs w:val="24"/>
        </w:rPr>
        <w:t>投标，投标无效：</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30.5.1不同投标人的投标文件由同一单位或者个人编制。</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30.5.2不同投标人委托同一单位或者个人办理投标事宜。</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30.5.4不同投标人的投标文件异常一致或者投标报价呈规律性差异。</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30.5.5不同投标人的投标文件相互混装。</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31.质疑处理</w:t>
      </w:r>
      <w:bookmarkEnd w:id="116"/>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31.4质疑函应当包括下列内容：</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31.4.4提起质疑的日期；</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pageBreakBefore w:val="0"/>
        <w:kinsoku/>
        <w:wordWrap/>
        <w:overflowPunct/>
        <w:topLinePunct w:val="0"/>
        <w:bidi w:val="0"/>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32.中标通知书</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32.l</w:t>
      </w:r>
      <w:r>
        <w:rPr>
          <w:rFonts w:hint="eastAsia"/>
          <w:b/>
          <w:color w:val="000000"/>
          <w:sz w:val="24"/>
          <w:szCs w:val="24"/>
        </w:rPr>
        <w:t xml:space="preserve"> </w:t>
      </w:r>
      <w:r>
        <w:rPr>
          <w:rFonts w:hint="eastAsia"/>
          <w:color w:val="000000"/>
          <w:sz w:val="24"/>
          <w:szCs w:val="24"/>
        </w:rPr>
        <w:t>中标结果确定后，采购人将向中标人发出中标通知书。</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7" w:name="_Toc120614220"/>
      <w:bookmarkStart w:id="118" w:name="_Toc513029236"/>
      <w:bookmarkStart w:id="119" w:name="_Toc20823308"/>
      <w:bookmarkStart w:id="120" w:name="_Toc16938552"/>
      <w:r>
        <w:rPr>
          <w:rFonts w:hint="eastAsia"/>
          <w:b/>
          <w:sz w:val="24"/>
          <w:szCs w:val="24"/>
        </w:rPr>
        <w:t>七、合同</w:t>
      </w:r>
      <w:bookmarkEnd w:id="117"/>
      <w:r>
        <w:rPr>
          <w:rFonts w:hint="eastAsia"/>
          <w:b/>
          <w:sz w:val="24"/>
          <w:szCs w:val="24"/>
        </w:rPr>
        <w:t>签订相关事项</w:t>
      </w:r>
    </w:p>
    <w:bookmarkEnd w:id="118"/>
    <w:bookmarkEnd w:id="119"/>
    <w:bookmarkEnd w:id="120"/>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21" w:name="_Toc513029237"/>
      <w:bookmarkStart w:id="122" w:name="_Toc16938553"/>
      <w:bookmarkStart w:id="123" w:name="_Toc20823309"/>
      <w:r>
        <w:rPr>
          <w:rFonts w:hint="eastAsia"/>
          <w:b/>
          <w:sz w:val="24"/>
          <w:szCs w:val="24"/>
        </w:rPr>
        <w:t>33.签订合同</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33.2</w:t>
      </w:r>
      <w:r>
        <w:rPr>
          <w:rFonts w:hint="eastAsia"/>
          <w:b/>
          <w:color w:val="000000"/>
          <w:sz w:val="24"/>
          <w:szCs w:val="24"/>
        </w:rPr>
        <w:t xml:space="preserve"> </w:t>
      </w:r>
      <w:r>
        <w:rPr>
          <w:rFonts w:hint="eastAsia"/>
          <w:color w:val="000000"/>
          <w:sz w:val="24"/>
          <w:szCs w:val="24"/>
        </w:rPr>
        <w:t>招标文件、中标人的投标文件及招标过程中有关澄清、承诺文件均应作为合同附件。</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pageBreakBefore w:val="0"/>
        <w:kinsoku/>
        <w:wordWrap/>
        <w:overflowPunct/>
        <w:topLinePunct w:val="0"/>
        <w:bidi w:val="0"/>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34.服务的追加、减少和添购。</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pageBreakBefore w:val="0"/>
        <w:kinsoku/>
        <w:wordWrap/>
        <w:overflowPunct/>
        <w:topLinePunct w:val="0"/>
        <w:bidi w:val="0"/>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p>
    <w:bookmarkEnd w:id="121"/>
    <w:bookmarkEnd w:id="122"/>
    <w:bookmarkEnd w:id="123"/>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35.履约保证金</w:t>
      </w:r>
    </w:p>
    <w:p>
      <w:pPr>
        <w:pageBreakBefore w:val="0"/>
        <w:tabs>
          <w:tab w:val="left" w:pos="900"/>
        </w:tabs>
        <w:kinsoku/>
        <w:wordWrap/>
        <w:overflowPunct/>
        <w:topLinePunct w:val="0"/>
        <w:bidi w:val="0"/>
        <w:spacing w:line="360" w:lineRule="auto"/>
        <w:ind w:firstLine="480" w:firstLineChars="200"/>
        <w:rPr>
          <w:rFonts w:eastAsia="黑体"/>
          <w:bCs/>
          <w:color w:val="000000"/>
          <w:sz w:val="44"/>
        </w:rPr>
      </w:pPr>
      <w:r>
        <w:rPr>
          <w:rFonts w:hint="eastAsia"/>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6"/>
        <w:pageBreakBefore w:val="0"/>
        <w:kinsoku/>
        <w:wordWrap/>
        <w:overflowPunct/>
        <w:topLinePunct w:val="0"/>
        <w:bidi w:val="0"/>
        <w:spacing w:line="360" w:lineRule="auto"/>
      </w:pPr>
      <w:r>
        <w:rPr>
          <w:rFonts w:eastAsia="黑体"/>
          <w:bCs/>
          <w:sz w:val="44"/>
        </w:rPr>
        <w:br w:type="page"/>
      </w:r>
    </w:p>
    <w:p>
      <w:pPr>
        <w:jc w:val="center"/>
        <w:outlineLvl w:val="0"/>
        <w:rPr>
          <w:rFonts w:eastAsia="黑体"/>
          <w:color w:val="000000" w:themeColor="text1"/>
          <w:sz w:val="40"/>
          <w:szCs w:val="40"/>
        </w:rPr>
      </w:pPr>
      <w:bookmarkStart w:id="124" w:name="_Toc108021874"/>
      <w:r>
        <w:rPr>
          <w:rFonts w:eastAsia="黑体"/>
          <w:color w:val="000000" w:themeColor="text1"/>
          <w:sz w:val="40"/>
          <w:szCs w:val="40"/>
        </w:rPr>
        <w:t>第三章  合同条款及格式</w:t>
      </w:r>
      <w:bookmarkEnd w:id="124"/>
    </w:p>
    <w:p>
      <w:pPr>
        <w:spacing w:line="360" w:lineRule="auto"/>
        <w:ind w:firstLine="480" w:firstLineChars="200"/>
        <w:rPr>
          <w:color w:val="000000" w:themeColor="text1"/>
          <w:sz w:val="24"/>
          <w:szCs w:val="24"/>
        </w:rPr>
      </w:pPr>
    </w:p>
    <w:p>
      <w:pPr>
        <w:ind w:firstLine="480" w:firstLineChars="200"/>
        <w:jc w:val="left"/>
        <w:rPr>
          <w:rFonts w:ascii="宋体" w:hAnsi="宋体"/>
          <w:bCs/>
          <w:sz w:val="24"/>
        </w:rPr>
      </w:pPr>
      <w:bookmarkStart w:id="125" w:name="_Toc108021875"/>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jc w:val="center"/>
        <w:rPr>
          <w:rFonts w:hint="eastAsia" w:ascii="宋体" w:hAnsi="宋体" w:cs="宋体"/>
          <w:b/>
          <w:kern w:val="0"/>
          <w:sz w:val="30"/>
          <w:szCs w:val="30"/>
        </w:rPr>
      </w:pPr>
      <w:r>
        <w:rPr>
          <w:rFonts w:hint="eastAsia" w:ascii="宋体" w:hAnsi="宋体" w:cs="宋体"/>
          <w:b/>
          <w:sz w:val="30"/>
          <w:szCs w:val="30"/>
        </w:rPr>
        <w:t>采购合同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甲方:(买方)  </w:t>
      </w:r>
      <w:r>
        <w:rPr>
          <w:rFonts w:hint="eastAsia" w:ascii="宋体" w:hAnsi="宋体" w:cs="宋体"/>
          <w:sz w:val="24"/>
          <w:szCs w:val="24"/>
          <w:u w:val="single"/>
        </w:rPr>
        <w:t xml:space="preserve">             </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 xml:space="preserve">乙方:(卖方) </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甲、乙双方根据</w:t>
      </w:r>
      <w:r>
        <w:rPr>
          <w:rFonts w:hint="eastAsia" w:ascii="宋体" w:hAnsi="宋体" w:cs="宋体"/>
          <w:sz w:val="24"/>
          <w:szCs w:val="24"/>
          <w:u w:val="single"/>
        </w:rPr>
        <w:t>盐城幼儿师范高等专科学校入侵防御系统项目</w:t>
      </w:r>
      <w:r>
        <w:rPr>
          <w:rFonts w:hint="eastAsia" w:ascii="宋体" w:hAnsi="宋体" w:cs="宋体"/>
          <w:sz w:val="24"/>
          <w:szCs w:val="24"/>
        </w:rPr>
        <w:t>公开招标的结果和国家相关的法津、法规，签署本合同。</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一、货物内容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 货物名称：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 型号规格：</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1.3 技术参数：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b/>
          <w:color w:val="000000"/>
          <w:sz w:val="24"/>
          <w:szCs w:val="24"/>
        </w:rPr>
      </w:pPr>
      <w:r>
        <w:rPr>
          <w:rFonts w:hint="eastAsia"/>
          <w:color w:val="000000"/>
          <w:sz w:val="24"/>
          <w:szCs w:val="24"/>
        </w:rPr>
        <w:t>1.4 数量（单位）：</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二、合同金额</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2.1 本合同金额为（大写）：</w:t>
      </w:r>
      <w:r>
        <w:rPr>
          <w:color w:val="000000"/>
          <w:sz w:val="24"/>
          <w:szCs w:val="24"/>
        </w:rPr>
        <w:t>_______________</w:t>
      </w:r>
      <w:r>
        <w:rPr>
          <w:rFonts w:hint="eastAsia"/>
          <w:color w:val="000000"/>
          <w:sz w:val="24"/>
          <w:szCs w:val="24"/>
        </w:rPr>
        <w:t>元（¥</w:t>
      </w:r>
      <w:r>
        <w:rPr>
          <w:color w:val="000000"/>
          <w:sz w:val="24"/>
          <w:szCs w:val="24"/>
        </w:rPr>
        <w:t>_____________</w:t>
      </w:r>
      <w:r>
        <w:rPr>
          <w:rFonts w:hint="eastAsia"/>
          <w:color w:val="000000"/>
          <w:sz w:val="24"/>
          <w:szCs w:val="24"/>
        </w:rPr>
        <w:t>）人民币。</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color w:val="000000"/>
          <w:sz w:val="24"/>
          <w:szCs w:val="24"/>
        </w:rPr>
      </w:pPr>
      <w:r>
        <w:rPr>
          <w:rFonts w:hint="eastAsia"/>
          <w:color w:val="000000"/>
          <w:sz w:val="24"/>
          <w:szCs w:val="24"/>
        </w:rPr>
        <w:t>（详见投标报价表）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三、技术资料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3.1 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color w:val="000000"/>
          <w:sz w:val="24"/>
          <w:szCs w:val="24"/>
        </w:rPr>
      </w:pPr>
      <w:r>
        <w:rPr>
          <w:rFonts w:hint="eastAsia"/>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四、知识产权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color w:val="000000"/>
          <w:sz w:val="24"/>
          <w:szCs w:val="24"/>
        </w:rPr>
      </w:pPr>
      <w:r>
        <w:rPr>
          <w:rFonts w:hint="eastAsia" w:hAnsi="宋体"/>
          <w:color w:val="000000"/>
          <w:sz w:val="24"/>
          <w:szCs w:val="24"/>
        </w:rPr>
        <w:t>4.1 乙方应保证所提供的货物或其任何一部分均不会侵犯任何第三方的专利权、商标权或著作权</w:t>
      </w:r>
      <w:r>
        <w:rPr>
          <w:rFonts w:hint="eastAsia" w:hAnsi="宋体"/>
          <w:b/>
          <w:bCs/>
          <w:color w:val="000000"/>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olor w:val="000000"/>
          <w:sz w:val="24"/>
          <w:szCs w:val="24"/>
          <w:u w:val="single"/>
        </w:rPr>
      </w:pPr>
      <w:r>
        <w:rPr>
          <w:rFonts w:hint="eastAsia" w:ascii="宋体" w:hAnsi="宋体"/>
          <w:b/>
          <w:color w:val="000000"/>
          <w:sz w:val="24"/>
          <w:szCs w:val="24"/>
        </w:rPr>
        <w:t>五、无产权瑕疵条款</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b/>
          <w:color w:val="000000"/>
          <w:sz w:val="24"/>
          <w:szCs w:val="24"/>
        </w:rPr>
      </w:pPr>
      <w:r>
        <w:rPr>
          <w:rFonts w:hint="eastAsia"/>
          <w:color w:val="000000"/>
          <w:sz w:val="24"/>
          <w:szCs w:val="24"/>
        </w:rPr>
        <w:t>5.1 乙方保证所交付的货物的所有权完全属于乙方且无任何抵押、查封等产权瑕疵。如乙方所交货物有产权瑕疵的，视为乙方违约，按照本合同第13条第3款的约定处理。但在已经全部支付完合同款后才发现有产权瑕疵的，除了支付违约金，乙方还应负担由此而产生的一切损失。</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六、履约保证金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sz w:val="24"/>
          <w:szCs w:val="24"/>
        </w:rPr>
      </w:pPr>
      <w:r>
        <w:rPr>
          <w:rFonts w:hint="eastAsia"/>
          <w:color w:val="000000"/>
          <w:sz w:val="24"/>
          <w:szCs w:val="24"/>
        </w:rPr>
        <w:t>6.1 乙方提交人民币</w:t>
      </w:r>
      <w:r>
        <w:rPr>
          <w:rFonts w:hint="eastAsia"/>
          <w:color w:val="000000"/>
          <w:sz w:val="24"/>
          <w:szCs w:val="24"/>
          <w:u w:val="single"/>
        </w:rPr>
        <w:t>　　　　　　</w:t>
      </w:r>
      <w:r>
        <w:rPr>
          <w:rFonts w:hint="eastAsia"/>
          <w:color w:val="000000"/>
          <w:sz w:val="24"/>
          <w:szCs w:val="24"/>
        </w:rPr>
        <w:t>元作为本合同的履约保证金（履约保证金为采购合同金额的10%）</w:t>
      </w:r>
      <w:r>
        <w:rPr>
          <w:color w:val="000000"/>
          <w:sz w:val="24"/>
          <w:szCs w:val="24"/>
        </w:rPr>
        <w:t>。</w:t>
      </w:r>
      <w:r>
        <w:rPr>
          <w:rFonts w:ascii="宋体" w:hAnsi="宋体"/>
          <w:sz w:val="24"/>
          <w:szCs w:val="24"/>
        </w:rPr>
        <w:t>鼓励采购人对AA评级及以上政府采购供应商（需提供信用管理部门备案的第三方信用报告），免收履约保证金或降低履约保证金缴纳比例。</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 xml:space="preserve">6.2 </w:t>
      </w:r>
      <w:r>
        <w:rPr>
          <w:color w:val="000000"/>
          <w:sz w:val="24"/>
          <w:szCs w:val="24"/>
        </w:rPr>
        <w:t>履约保证金在中标供应商按合同约定交货验收合格后无息退还。</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color w:val="000000"/>
          <w:sz w:val="24"/>
          <w:szCs w:val="24"/>
        </w:rPr>
      </w:pPr>
      <w:r>
        <w:rPr>
          <w:rFonts w:hint="eastAsia"/>
          <w:color w:val="000000"/>
          <w:sz w:val="24"/>
          <w:szCs w:val="24"/>
        </w:rPr>
        <w:t>6.3 乙方违约的，甲方将扣除其全部或部分履约保证金。如乙方违约给甲方造成的损失超过履约保证金的，应当依法赔</w:t>
      </w:r>
      <w:r>
        <w:rPr>
          <w:rFonts w:hint="eastAsia" w:hAnsi="宋体"/>
          <w:color w:val="000000"/>
          <w:sz w:val="24"/>
          <w:szCs w:val="24"/>
        </w:rPr>
        <w:t>偿超过部分的损失。</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七、质保期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7.1 质保期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sz w:val="24"/>
          <w:szCs w:val="24"/>
          <w:highlight w:val="yellow"/>
        </w:rPr>
        <w:t>至少五年免费质保</w:t>
      </w:r>
      <w:r>
        <w:rPr>
          <w:rFonts w:hint="eastAsia" w:ascii="宋体" w:hAnsi="宋体" w:eastAsia="宋体" w:cs="宋体"/>
          <w:color w:val="000000"/>
          <w:sz w:val="24"/>
          <w:szCs w:val="24"/>
          <w:highlight w:val="yellow"/>
        </w:rPr>
        <w:t>，</w:t>
      </w:r>
      <w:r>
        <w:rPr>
          <w:rFonts w:hint="eastAsia" w:ascii="宋体" w:hAnsi="宋体" w:eastAsia="宋体" w:cs="宋体"/>
          <w:sz w:val="24"/>
          <w:szCs w:val="24"/>
          <w:highlight w:val="yellow"/>
        </w:rPr>
        <w:t>中标后需提供加盖原厂公章的5年以上保修及5年以上上门服务承诺函。</w:t>
      </w:r>
      <w:r>
        <w:rPr>
          <w:rFonts w:hint="eastAsia" w:ascii="宋体" w:hAnsi="宋体" w:eastAsia="宋体" w:cs="宋体"/>
          <w:color w:val="000000"/>
          <w:sz w:val="24"/>
          <w:szCs w:val="24"/>
        </w:rPr>
        <w:t>）</w:t>
      </w:r>
      <w:r>
        <w:rPr>
          <w:rFonts w:hint="eastAsia" w:ascii="宋体" w:hAnsi="宋体" w:eastAsia="宋体" w:cs="宋体"/>
          <w:sz w:val="24"/>
          <w:szCs w:val="24"/>
        </w:rPr>
        <w:t>从安装调试完毕并经验收合格之日开始计算，</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7.2 </w:t>
      </w:r>
      <w:r>
        <w:rPr>
          <w:rFonts w:hint="eastAsia" w:ascii="宋体" w:hAnsi="宋体" w:eastAsia="宋体" w:cs="宋体"/>
          <w:sz w:val="24"/>
          <w:szCs w:val="24"/>
        </w:rPr>
        <w:t>质保期内提供24小时免费上门维修服务，质保期后提供维修维护服务，软件系统提供免费升级和技术支持服务。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7.3 </w:t>
      </w:r>
      <w:r>
        <w:rPr>
          <w:rFonts w:hint="eastAsia" w:ascii="宋体" w:hAnsi="宋体" w:eastAsia="宋体" w:cs="宋体"/>
          <w:sz w:val="24"/>
          <w:szCs w:val="24"/>
        </w:rPr>
        <w:t>提供原厂技术人员培训。</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八、交货期、交货方式及交货地点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8.1 交货期：</w:t>
      </w:r>
      <w:r>
        <w:rPr>
          <w:rFonts w:hint="eastAsia"/>
          <w:color w:val="000000"/>
          <w:sz w:val="24"/>
          <w:szCs w:val="24"/>
          <w:u w:val="single"/>
        </w:rPr>
        <w:t xml:space="preserve">         </w:t>
      </w:r>
      <w:r>
        <w:rPr>
          <w:rFonts w:hint="eastAsia"/>
          <w:color w:val="000000"/>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8.2 交货方式：</w:t>
      </w:r>
      <w:r>
        <w:rPr>
          <w:rFonts w:hint="eastAsia"/>
          <w:color w:val="000000"/>
          <w:sz w:val="24"/>
          <w:szCs w:val="24"/>
          <w:u w:val="single"/>
        </w:rPr>
        <w:t xml:space="preserve">       </w:t>
      </w:r>
      <w:r>
        <w:rPr>
          <w:rFonts w:hint="eastAsia"/>
          <w:color w:val="000000"/>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b/>
          <w:color w:val="000000"/>
          <w:sz w:val="24"/>
          <w:szCs w:val="24"/>
        </w:rPr>
      </w:pPr>
      <w:r>
        <w:rPr>
          <w:rFonts w:hint="eastAsia"/>
          <w:color w:val="000000"/>
          <w:sz w:val="24"/>
          <w:szCs w:val="24"/>
        </w:rPr>
        <w:t>8.3 交货地点：</w:t>
      </w:r>
      <w:r>
        <w:rPr>
          <w:rFonts w:hint="eastAsia"/>
          <w:color w:val="000000"/>
          <w:sz w:val="24"/>
          <w:szCs w:val="24"/>
          <w:u w:val="single"/>
        </w:rPr>
        <w:t xml:space="preserve">       </w:t>
      </w:r>
      <w:r>
        <w:rPr>
          <w:rFonts w:hint="eastAsia"/>
          <w:color w:val="000000"/>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九、合同款支付</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eastAsia="宋体"/>
          <w:color w:val="000000"/>
          <w:sz w:val="24"/>
          <w:szCs w:val="24"/>
          <w:highlight w:val="yellow"/>
          <w:lang w:eastAsia="zh-CN"/>
        </w:rPr>
      </w:pPr>
      <w:r>
        <w:rPr>
          <w:rFonts w:hint="eastAsia"/>
          <w:color w:val="000000"/>
          <w:sz w:val="24"/>
          <w:szCs w:val="24"/>
        </w:rPr>
        <w:t xml:space="preserve">9.1 </w:t>
      </w:r>
      <w:r>
        <w:rPr>
          <w:rFonts w:hint="eastAsia"/>
          <w:color w:val="000000"/>
          <w:sz w:val="24"/>
          <w:szCs w:val="24"/>
          <w:highlight w:val="yellow"/>
        </w:rPr>
        <w:t>付款方式：合同签订前需缴纳履约保证金（合同总价10%），合同生效，货物安装、调试、验收合格后30日内，支付合同货物总价的100%，履约保证金在合同履约过程中分两次平均退还</w:t>
      </w:r>
      <w:r>
        <w:rPr>
          <w:rFonts w:hint="eastAsia"/>
          <w:color w:val="000000"/>
          <w:sz w:val="24"/>
          <w:szCs w:val="24"/>
          <w:highlight w:val="yellow"/>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color w:val="000000"/>
          <w:sz w:val="24"/>
          <w:szCs w:val="24"/>
        </w:rPr>
      </w:pPr>
      <w:r>
        <w:rPr>
          <w:rFonts w:hint="eastAsia"/>
          <w:color w:val="000000"/>
          <w:sz w:val="24"/>
          <w:szCs w:val="24"/>
        </w:rPr>
        <w:t>付款前，乙方应当提供完税发票供甲方办理付款手续。如乙方不提供完税发票的，校方有权拒绝付款。</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color w:val="000000"/>
          <w:sz w:val="24"/>
          <w:szCs w:val="24"/>
        </w:rPr>
      </w:pPr>
      <w:r>
        <w:rPr>
          <w:rFonts w:hint="eastAsia"/>
          <w:color w:val="000000"/>
          <w:sz w:val="24"/>
          <w:szCs w:val="24"/>
        </w:rPr>
        <w:t>当采购数量与实际使用数量不一致时，乙方应根据实际使用量供货，合同的最终结算金额按实际使用量乘以成交单价进行计算。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bCs/>
          <w:color w:val="000000"/>
          <w:sz w:val="24"/>
          <w:szCs w:val="24"/>
        </w:rPr>
      </w:pPr>
      <w:r>
        <w:rPr>
          <w:rFonts w:hint="eastAsia"/>
          <w:color w:val="000000"/>
          <w:sz w:val="24"/>
          <w:szCs w:val="24"/>
        </w:rPr>
        <w:t>9.2 当采购数量与实际使用数量不一致时，乙方根据实际使用量提供产品和服务，合同的最终结算金额按实际使用量乘以中标单价进行计算。</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十、质量保证及售后服务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10.1 乙方应按招标文件规定的货物性能、技术要求、质量标准向甲方提供未经使用的全新产品。</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10.2 乙方提供的货物在质保期内因货物本身的质量问题发生故障，乙方应负责免费更换。对达不到技术要求者，根据实际情况，经双方协商，可按以下办法处理：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（1）更换：由乙方承担所发生的全部费用。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（2）贬值处理：由甲乙双方合议定价。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（3）退货处理：乙方应退还甲方支付的合同款，同时应承担该货物的直接费用（运输、保险、检验、合同款利息及银行手续费等）。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10.3 测试要求：乙方安装后现场测试，提供测试报告，甲方验收签字确认。</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十一、调试和验收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11.1 甲方对乙方提交的货物依据招标文件上的技术规格要求和国家有关质量标准进行现场初步验收，外观、说明书符合招标文件技术要求的，给予签收，初步验收不合格的不予签收并可立即要求退换。货到后，甲方需在五个工作日内验收。在采购人将所有的货物按招标文件要求和国家标准或行业标准进行检测验收后，发现有其他非故意的损坏或质量问题的，由中标供应商立即予以更换，不得拒绝和延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11.2 乙方交货前应对产品作出全面检查和对验收文件进行整理，并列出清单，作为甲方收货验收和使用的技术条件依据，检验的结果应随货物交甲方。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11.3 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11.4 验收时乙方必须在现场，验收完毕后作出验收结果报告；安装调试费用由中标供应商负责。</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b/>
          <w:color w:val="000000"/>
          <w:sz w:val="24"/>
          <w:szCs w:val="24"/>
        </w:rPr>
      </w:pPr>
      <w:r>
        <w:rPr>
          <w:rFonts w:hint="eastAsia"/>
          <w:color w:val="000000"/>
          <w:sz w:val="24"/>
          <w:szCs w:val="24"/>
        </w:rPr>
        <w:t>11.5 对技术复杂的项目，甲方可组织有关部门和专家进行验收，并出具验收报告，相关费用由甲乙双方协商解决。</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十二、货物包装、发运及运输</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12.1 乙方应在货物发运前对其进行满足运输距离、防潮、防震、防锈和防破损装卸等要求包装，以保证货物安全运达甲方指定地点。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12.3 乙方在货物发运手续办理完毕后24小时内或货到甲方48小时前通知甲方，以准备接货。</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12.4 货物在交付甲方前发生的风险均由乙方负责。</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Ansi="宋体"/>
          <w:b/>
          <w:color w:val="000000"/>
          <w:sz w:val="24"/>
          <w:szCs w:val="24"/>
        </w:rPr>
      </w:pPr>
      <w:r>
        <w:rPr>
          <w:rFonts w:hint="eastAsia"/>
          <w:color w:val="000000"/>
          <w:sz w:val="24"/>
          <w:szCs w:val="24"/>
        </w:rPr>
        <w:t>12.5 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十三、违约责任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13.1 甲方无正当理由拒收货物的，甲方向乙方偿付拒收合同款总值的百分之五违约金。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13.2 甲方无故逾期验收和办理合同款支付手续的，甲方应按逾期付款总额每日千分之五向乙方支付违约金。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 xml:space="preserve">13.3 乙方逾期交付货物的，乙方应按逾期交货总额每日千分之五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13.4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十四、不可抗力事件处理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14.1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14.2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14.3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十五、争议解决</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color w:val="000000"/>
          <w:sz w:val="24"/>
          <w:szCs w:val="24"/>
        </w:rPr>
        <w:t>15.1</w:t>
      </w:r>
      <w:r>
        <w:rPr>
          <w:rFonts w:hint="eastAsia" w:ascii="宋体" w:hAnsi="宋体" w:cs="宋体"/>
          <w:sz w:val="24"/>
          <w:szCs w:val="24"/>
        </w:rPr>
        <w:t>双方在执行合同中所发生的一切争议，应通过协商解决。如协商不成，由甲方驻所在地人民法院处理。</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sz w:val="24"/>
          <w:szCs w:val="24"/>
        </w:rPr>
      </w:pPr>
      <w:r>
        <w:rPr>
          <w:rFonts w:hint="eastAsia"/>
          <w:b/>
          <w:bCs/>
          <w:color w:val="000000"/>
          <w:sz w:val="24"/>
          <w:szCs w:val="24"/>
        </w:rPr>
        <w:t>十六、合同生效及其它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16.1 合同经双方法定代表人或授权委托人签字并加盖单位公章后生效。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16.2 采购招标文件和乙方的投标文件中被甲方认可的部分为本合同的不可分割的组成部分，与本合同具有同样效力。</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16.3 本合同未注明事项，标书中有规定的，按标书中的规定处理，没有规定的，按照国家的有关规定处理。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16.4 本合同一式四份，合同双方各两份。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16.5 本合同自签订之日起生效。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本合同签订日期:     年    月    日。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本合同签订地点:</w:t>
      </w:r>
    </w:p>
    <w:p>
      <w:pPr>
        <w:spacing w:line="560" w:lineRule="exact"/>
        <w:rPr>
          <w:rFonts w:hint="eastAsia" w:ascii="宋体" w:hAnsi="宋体" w:cs="宋体"/>
          <w:sz w:val="24"/>
          <w:szCs w:val="24"/>
        </w:rPr>
      </w:pPr>
    </w:p>
    <w:p>
      <w:pPr>
        <w:spacing w:line="560" w:lineRule="exact"/>
        <w:ind w:firstLine="480" w:firstLineChars="200"/>
        <w:rPr>
          <w:rFonts w:hint="eastAsia" w:ascii="宋体" w:hAnsi="宋体" w:cs="宋体"/>
          <w:sz w:val="24"/>
          <w:szCs w:val="24"/>
        </w:rPr>
      </w:pPr>
      <w:r>
        <w:rPr>
          <w:rFonts w:hint="eastAsia" w:ascii="宋体" w:hAnsi="宋体" w:cs="宋体"/>
          <w:sz w:val="24"/>
          <w:szCs w:val="24"/>
        </w:rPr>
        <w:t>甲方:                        乙方:</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地址:                        地址: </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法定代表人或授权委托人:      法定代表人或授权委托人: </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联系电话:                    联系电话: </w:t>
      </w:r>
    </w:p>
    <w:p>
      <w:pPr>
        <w:jc w:val="center"/>
        <w:outlineLvl w:val="0"/>
        <w:rPr>
          <w:rFonts w:eastAsia="黑体"/>
          <w:color w:val="000000" w:themeColor="text1"/>
          <w:sz w:val="40"/>
          <w:szCs w:val="40"/>
        </w:rPr>
      </w:pPr>
      <w:r>
        <w:rPr>
          <w:rFonts w:hint="eastAsia" w:ascii="方正大标宋_GBK" w:hAnsi="方正大标宋_GBK" w:eastAsia="方正大标宋_GBK" w:cs="方正大标宋_GBK"/>
          <w:sz w:val="44"/>
          <w:szCs w:val="44"/>
        </w:rPr>
        <w:br w:type="page"/>
      </w:r>
      <w:r>
        <w:rPr>
          <w:rFonts w:eastAsia="黑体"/>
          <w:color w:val="000000" w:themeColor="text1"/>
          <w:sz w:val="40"/>
          <w:szCs w:val="40"/>
        </w:rPr>
        <w:t>第四章 项目需求</w:t>
      </w:r>
      <w:bookmarkEnd w:id="125"/>
    </w:p>
    <w:p>
      <w:pPr>
        <w:spacing w:line="440" w:lineRule="exact"/>
        <w:ind w:firstLine="482" w:firstLineChars="200"/>
        <w:rPr>
          <w:b/>
          <w:bCs/>
          <w:color w:val="000000" w:themeColor="text1"/>
          <w:sz w:val="24"/>
          <w:szCs w:val="24"/>
          <w:highlight w:val="yellow"/>
        </w:rPr>
      </w:pP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hAnsi="宋体" w:cs="宋体"/>
          <w:sz w:val="24"/>
          <w:szCs w:val="24"/>
        </w:rPr>
      </w:pPr>
      <w:bookmarkStart w:id="126" w:name="_Toc92297387"/>
      <w:r>
        <w:rPr>
          <w:rFonts w:hint="eastAsia" w:hAnsi="宋体" w:cs="宋体"/>
          <w:sz w:val="24"/>
          <w:szCs w:val="24"/>
        </w:rPr>
        <w:t>（一）采购内容</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rPr>
        <w:t>学校网络中心机房入侵防御系统及配套软件一套，采购范围内所有产品的供货、运输（送达至采购方指定地点并卸货）、安装、调试、现有网络配置对接及售后服务等内容。</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hAnsi="宋体" w:cs="宋体"/>
          <w:sz w:val="24"/>
          <w:szCs w:val="24"/>
        </w:rPr>
      </w:pPr>
      <w:r>
        <w:rPr>
          <w:rFonts w:hint="eastAsia" w:hAnsi="宋体" w:cs="宋体"/>
          <w:sz w:val="24"/>
          <w:szCs w:val="24"/>
        </w:rPr>
        <w:t>（二）采购预算</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hAnsi="宋体" w:cs="宋体"/>
          <w:sz w:val="24"/>
          <w:szCs w:val="24"/>
        </w:rPr>
      </w:pPr>
      <w:r>
        <w:rPr>
          <w:rFonts w:hint="eastAsia" w:hAnsi="宋体" w:cs="宋体"/>
          <w:sz w:val="24"/>
          <w:szCs w:val="24"/>
        </w:rPr>
        <w:t>最高限价：28万元。</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hAnsi="宋体" w:cs="宋体"/>
          <w:sz w:val="24"/>
          <w:szCs w:val="24"/>
        </w:rPr>
      </w:pPr>
      <w:r>
        <w:rPr>
          <w:rFonts w:hint="eastAsia" w:hAnsi="宋体" w:cs="宋体"/>
          <w:sz w:val="24"/>
          <w:szCs w:val="24"/>
        </w:rPr>
        <w:t>（三）合同履行期限</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60" w:firstLineChars="192"/>
        <w:jc w:val="both"/>
        <w:textAlignment w:val="auto"/>
        <w:rPr>
          <w:rFonts w:hint="eastAsia" w:hAnsi="宋体" w:cs="宋体"/>
          <w:sz w:val="24"/>
          <w:szCs w:val="24"/>
        </w:rPr>
      </w:pPr>
      <w:r>
        <w:rPr>
          <w:rFonts w:hint="eastAsia" w:hAnsi="宋体" w:cs="宋体"/>
          <w:sz w:val="24"/>
          <w:szCs w:val="24"/>
        </w:rPr>
        <w:t>合同签订后30日内送至盐城幼儿师范高等专科学校指定地点，并安装、调试到位。</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hAnsi="宋体" w:cs="宋体"/>
          <w:sz w:val="24"/>
          <w:szCs w:val="24"/>
        </w:rPr>
      </w:pPr>
      <w:r>
        <w:rPr>
          <w:rFonts w:hint="eastAsia" w:hAnsi="宋体" w:cs="宋体"/>
          <w:sz w:val="24"/>
          <w:szCs w:val="24"/>
        </w:rPr>
        <w:t>（四）保修服务</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hAnsi="宋体" w:cs="宋体"/>
          <w:sz w:val="24"/>
          <w:szCs w:val="24"/>
        </w:rPr>
      </w:pPr>
      <w:r>
        <w:rPr>
          <w:rFonts w:hint="eastAsia" w:hAnsi="宋体" w:cs="宋体"/>
          <w:sz w:val="24"/>
          <w:szCs w:val="24"/>
        </w:rPr>
        <w:t>1. 质保期：投标商须承诺整机至少五年免费质保，从安装调试完毕并经验收合格之日开始计算，中标后需提供加盖原厂公章的5年以上保修及5年以上上门服务承诺函。</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kern w:val="2"/>
        </w:rPr>
      </w:pPr>
      <w:r>
        <w:rPr>
          <w:rFonts w:hint="eastAsia" w:cs="宋体"/>
          <w:kern w:val="2"/>
        </w:rPr>
        <w:t>2. 质保期内提供24小时免费上门维修服务，质保期后提供维修维护服务，软件系统提供免费升级和技术支持服务。</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kern w:val="2"/>
        </w:rPr>
      </w:pPr>
      <w:r>
        <w:rPr>
          <w:rFonts w:hint="eastAsia" w:cs="宋体"/>
          <w:kern w:val="2"/>
        </w:rPr>
        <w:t>3. 提供原厂技术人员培训。</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hAnsi="宋体" w:cs="宋体"/>
          <w:sz w:val="24"/>
          <w:szCs w:val="24"/>
        </w:rPr>
      </w:pPr>
      <w:r>
        <w:rPr>
          <w:rFonts w:hint="eastAsia" w:hAnsi="宋体" w:cs="宋体"/>
          <w:sz w:val="24"/>
          <w:szCs w:val="24"/>
        </w:rPr>
        <w:t>（五）付款方式：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ascii="宋体" w:hAnsi="宋体"/>
          <w:kern w:val="0"/>
          <w:sz w:val="24"/>
          <w:szCs w:val="24"/>
        </w:rPr>
        <w:t>1、</w:t>
      </w:r>
      <w:r>
        <w:rPr>
          <w:rFonts w:hint="eastAsia"/>
          <w:color w:val="000000"/>
          <w:sz w:val="24"/>
          <w:szCs w:val="24"/>
          <w:highlight w:val="yellow"/>
        </w:rPr>
        <w:t>合同签订前需缴纳履约保证金（合同总价10%），合同生效，货物安装、调试、验收合格后30日内，支付合同货物总价的100%，履约保证金在合同履约过程中分两次平均退还。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kern w:val="0"/>
          <w:sz w:val="24"/>
          <w:szCs w:val="24"/>
        </w:rPr>
      </w:pPr>
      <w:r>
        <w:rPr>
          <w:rFonts w:hint="eastAsia" w:ascii="宋体" w:hAnsi="宋体"/>
          <w:kern w:val="0"/>
          <w:sz w:val="24"/>
          <w:szCs w:val="24"/>
        </w:rPr>
        <w:t>2、付款前，乙方应当提供完税发票供甲方办理付款手续。如乙方不提供完税发票的，校方有权拒绝付款。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rPr>
      </w:pPr>
      <w:r>
        <w:rPr>
          <w:rFonts w:hint="eastAsia" w:ascii="宋体" w:hAnsi="宋体"/>
          <w:kern w:val="0"/>
          <w:sz w:val="24"/>
          <w:szCs w:val="24"/>
        </w:rPr>
        <w:t>3、当采购数量与实际使用数量不一致时，乙方应根据实际使用量供货，合同的最终结算金额按实际使用量乘以成交单价进行计算。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黑体" w:hAnsi="黑体" w:eastAsia="黑体"/>
          <w:sz w:val="24"/>
          <w:szCs w:val="24"/>
        </w:rPr>
      </w:pPr>
      <w:r>
        <w:rPr>
          <w:rFonts w:hint="eastAsia" w:ascii="宋体" w:hAnsi="宋体"/>
          <w:kern w:val="0"/>
          <w:sz w:val="24"/>
          <w:szCs w:val="24"/>
        </w:rPr>
        <w:tab/>
      </w:r>
      <w:r>
        <w:rPr>
          <w:rFonts w:hint="eastAsia" w:ascii="黑体" w:hAnsi="黑体" w:eastAsia="黑体"/>
          <w:sz w:val="24"/>
          <w:szCs w:val="24"/>
        </w:rPr>
        <w:t>六、系统设备清单与参数：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黑体" w:hAnsi="黑体" w:eastAsia="黑体"/>
          <w:sz w:val="24"/>
          <w:szCs w:val="24"/>
        </w:rPr>
      </w:pPr>
      <w:r>
        <w:rPr>
          <w:rFonts w:hint="eastAsia" w:ascii="黑体" w:hAnsi="黑体" w:eastAsia="黑体"/>
          <w:sz w:val="24"/>
          <w:szCs w:val="24"/>
        </w:rPr>
        <w:t>1、需求清单</w:t>
      </w:r>
    </w:p>
    <w:tbl>
      <w:tblPr>
        <w:tblStyle w:val="2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34"/>
        <w:gridCol w:w="1029"/>
        <w:gridCol w:w="5033"/>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b/>
                <w:sz w:val="24"/>
                <w:szCs w:val="24"/>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b/>
                <w:sz w:val="24"/>
                <w:szCs w:val="24"/>
              </w:rPr>
              <w:t>名称</w:t>
            </w:r>
          </w:p>
        </w:tc>
        <w:tc>
          <w:tcPr>
            <w:tcW w:w="60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b/>
                <w:sz w:val="24"/>
                <w:szCs w:val="24"/>
              </w:rPr>
              <w:t>配置要求</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sz w:val="24"/>
                <w:szCs w:val="24"/>
              </w:rPr>
              <w:t>1</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rPr>
                <w:sz w:val="24"/>
                <w:szCs w:val="24"/>
              </w:rPr>
            </w:pPr>
            <w:r>
              <w:rPr>
                <w:sz w:val="24"/>
                <w:szCs w:val="24"/>
              </w:rPr>
              <w:t>IPS</w:t>
            </w:r>
            <w:r>
              <w:rPr>
                <w:rFonts w:hint="eastAsia"/>
                <w:sz w:val="24"/>
                <w:szCs w:val="24"/>
              </w:rPr>
              <w:t>设备</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光口</w:t>
            </w:r>
          </w:p>
        </w:tc>
        <w:tc>
          <w:tcPr>
            <w:tcW w:w="5033"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w:t>
            </w:r>
            <w:r>
              <w:rPr>
                <w:rFonts w:cs="宋体"/>
                <w:kern w:val="0"/>
                <w:sz w:val="24"/>
                <w:szCs w:val="24"/>
              </w:rPr>
              <w:t>4</w:t>
            </w:r>
            <w:r>
              <w:rPr>
                <w:rFonts w:hint="eastAsia" w:cs="宋体"/>
                <w:kern w:val="0"/>
                <w:sz w:val="24"/>
                <w:szCs w:val="24"/>
              </w:rPr>
              <w:t>个千兆光口，≥</w:t>
            </w:r>
            <w:r>
              <w:rPr>
                <w:rFonts w:cs="宋体"/>
                <w:kern w:val="0"/>
                <w:sz w:val="24"/>
                <w:szCs w:val="24"/>
              </w:rPr>
              <w:t>4</w:t>
            </w:r>
            <w:r>
              <w:rPr>
                <w:rFonts w:hint="eastAsia" w:cs="宋体"/>
                <w:kern w:val="0"/>
                <w:sz w:val="24"/>
                <w:szCs w:val="24"/>
              </w:rPr>
              <w:t>个万兆光口</w:t>
            </w:r>
          </w:p>
        </w:tc>
        <w:tc>
          <w:tcPr>
            <w:tcW w:w="78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sz w:val="24"/>
                <w:szCs w:val="24"/>
              </w:rPr>
              <w:t>1</w:t>
            </w:r>
            <w:r>
              <w:rPr>
                <w:rFonts w:hint="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网口</w:t>
            </w:r>
          </w:p>
        </w:tc>
        <w:tc>
          <w:tcPr>
            <w:tcW w:w="5033"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w:t>
            </w:r>
            <w:r>
              <w:rPr>
                <w:rFonts w:cs="宋体"/>
                <w:kern w:val="0"/>
                <w:sz w:val="24"/>
                <w:szCs w:val="24"/>
              </w:rPr>
              <w:t>4</w:t>
            </w:r>
            <w:r>
              <w:rPr>
                <w:rFonts w:hint="eastAsia" w:cs="宋体"/>
                <w:kern w:val="0"/>
                <w:sz w:val="24"/>
                <w:szCs w:val="24"/>
              </w:rPr>
              <w:t>个千兆电口</w:t>
            </w:r>
          </w:p>
        </w:tc>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电源</w:t>
            </w:r>
          </w:p>
        </w:tc>
        <w:tc>
          <w:tcPr>
            <w:tcW w:w="5033"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双电源</w:t>
            </w:r>
          </w:p>
        </w:tc>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质保</w:t>
            </w:r>
          </w:p>
        </w:tc>
        <w:tc>
          <w:tcPr>
            <w:tcW w:w="5033" w:type="dxa"/>
            <w:tcBorders>
              <w:top w:val="single" w:color="auto" w:sz="4" w:space="0"/>
              <w:left w:val="single" w:color="auto" w:sz="4" w:space="0"/>
              <w:bottom w:val="single" w:color="auto" w:sz="4" w:space="0"/>
              <w:right w:val="single" w:color="auto" w:sz="4" w:space="0"/>
            </w:tcBorders>
            <w:noWrap w:val="0"/>
            <w:vAlign w:val="center"/>
          </w:tcPr>
          <w:p>
            <w:pPr>
              <w:jc w:val="left"/>
              <w:rPr>
                <w:rFonts w:cs="宋体"/>
                <w:kern w:val="0"/>
                <w:sz w:val="24"/>
                <w:szCs w:val="24"/>
              </w:rPr>
            </w:pPr>
            <w:r>
              <w:rPr>
                <w:rFonts w:hint="eastAsia" w:cs="宋体"/>
                <w:kern w:val="0"/>
                <w:sz w:val="24"/>
                <w:szCs w:val="24"/>
              </w:rPr>
              <w:t>提供软硬件五年质保，质保期内提供免费软件与规则库升级和系统维护。</w:t>
            </w:r>
          </w:p>
        </w:tc>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r>
    </w:tbl>
    <w:p>
      <w:pPr>
        <w:spacing w:line="560" w:lineRule="exact"/>
        <w:ind w:firstLine="480" w:firstLineChars="200"/>
        <w:rPr>
          <w:rFonts w:ascii="黑体" w:hAnsi="黑体" w:eastAsia="黑体"/>
          <w:sz w:val="24"/>
          <w:szCs w:val="24"/>
        </w:rPr>
      </w:pPr>
      <w:r>
        <w:rPr>
          <w:rFonts w:hint="eastAsia" w:ascii="黑体" w:hAnsi="黑体" w:eastAsia="黑体"/>
          <w:sz w:val="24"/>
          <w:szCs w:val="24"/>
        </w:rPr>
        <w:t>2、系统设备参数</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b/>
                <w:kern w:val="0"/>
                <w:sz w:val="24"/>
                <w:szCs w:val="24"/>
              </w:rPr>
            </w:pPr>
            <w:r>
              <w:rPr>
                <w:rFonts w:hint="eastAsia" w:cs="Arial"/>
                <w:b/>
                <w:kern w:val="0"/>
                <w:sz w:val="24"/>
                <w:szCs w:val="24"/>
              </w:rPr>
              <w:t>项目</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b/>
                <w:kern w:val="0"/>
                <w:sz w:val="24"/>
                <w:szCs w:val="24"/>
              </w:rPr>
            </w:pPr>
            <w:r>
              <w:rPr>
                <w:rFonts w:hint="eastAsia" w:cs="Arial"/>
                <w:b/>
                <w:kern w:val="0"/>
                <w:sz w:val="24"/>
                <w:szCs w:val="24"/>
              </w:rPr>
              <w:t>功能及技术描述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kern w:val="0"/>
                <w:sz w:val="24"/>
                <w:szCs w:val="24"/>
              </w:rPr>
            </w:pPr>
            <w:r>
              <w:rPr>
                <w:rFonts w:hint="eastAsia" w:cs="Arial"/>
                <w:kern w:val="0"/>
                <w:sz w:val="24"/>
                <w:szCs w:val="24"/>
              </w:rPr>
              <w:t>硬件规格</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cs="宋体"/>
                <w:sz w:val="24"/>
                <w:szCs w:val="24"/>
              </w:rPr>
              <w:t xml:space="preserve"> </w:t>
            </w:r>
            <w:r>
              <w:rPr>
                <w:rFonts w:hint="eastAsia" w:cs="宋体"/>
                <w:sz w:val="24"/>
                <w:szCs w:val="24"/>
              </w:rPr>
              <w:t>★系统应为机架式独立</w:t>
            </w:r>
            <w:r>
              <w:rPr>
                <w:rFonts w:cs="宋体"/>
                <w:sz w:val="24"/>
                <w:szCs w:val="24"/>
              </w:rPr>
              <w:t>IPS</w:t>
            </w:r>
            <w:r>
              <w:rPr>
                <w:rFonts w:hint="eastAsia" w:cs="宋体"/>
                <w:sz w:val="24"/>
                <w:szCs w:val="24"/>
              </w:rPr>
              <w:t>硬件设备，全内置封闭式结构；</w:t>
            </w:r>
            <w:r>
              <w:rPr>
                <w:rFonts w:cs="宋体"/>
                <w:sz w:val="24"/>
                <w:szCs w:val="24"/>
              </w:rPr>
              <w:t>2U</w:t>
            </w:r>
            <w:r>
              <w:rPr>
                <w:rFonts w:hint="eastAsia" w:cs="宋体"/>
                <w:sz w:val="24"/>
                <w:szCs w:val="24"/>
              </w:rPr>
              <w:t>，含交流冗余电源模块，≧</w:t>
            </w:r>
            <w:r>
              <w:rPr>
                <w:rFonts w:cs="宋体"/>
                <w:sz w:val="24"/>
                <w:szCs w:val="24"/>
              </w:rPr>
              <w:t>2*USB</w:t>
            </w:r>
            <w:r>
              <w:rPr>
                <w:rFonts w:hint="eastAsia" w:cs="宋体"/>
                <w:sz w:val="24"/>
                <w:szCs w:val="24"/>
              </w:rPr>
              <w:t>接口，≧</w:t>
            </w:r>
            <w:r>
              <w:rPr>
                <w:rFonts w:cs="宋体"/>
                <w:sz w:val="24"/>
                <w:szCs w:val="24"/>
              </w:rPr>
              <w:t>1*RJ45</w:t>
            </w:r>
            <w:r>
              <w:rPr>
                <w:rFonts w:hint="eastAsia" w:cs="宋体"/>
                <w:sz w:val="24"/>
                <w:szCs w:val="24"/>
              </w:rPr>
              <w:t>串口，≧</w:t>
            </w:r>
            <w:r>
              <w:rPr>
                <w:rFonts w:cs="宋体"/>
                <w:sz w:val="24"/>
                <w:szCs w:val="24"/>
              </w:rPr>
              <w:t>1*GE</w:t>
            </w:r>
            <w:r>
              <w:rPr>
                <w:rFonts w:hint="eastAsia" w:cs="宋体"/>
                <w:sz w:val="24"/>
                <w:szCs w:val="24"/>
              </w:rPr>
              <w:t>管理口；≧</w:t>
            </w:r>
            <w:r>
              <w:rPr>
                <w:rFonts w:cs="宋体"/>
                <w:sz w:val="24"/>
                <w:szCs w:val="24"/>
              </w:rPr>
              <w:t>4</w:t>
            </w:r>
            <w:r>
              <w:rPr>
                <w:rFonts w:hint="eastAsia" w:cs="宋体"/>
                <w:sz w:val="24"/>
                <w:szCs w:val="24"/>
              </w:rPr>
              <w:t>个万兆兆口；≧</w:t>
            </w:r>
            <w:r>
              <w:rPr>
                <w:rFonts w:cs="宋体"/>
                <w:sz w:val="24"/>
                <w:szCs w:val="24"/>
              </w:rPr>
              <w:t>4</w:t>
            </w:r>
            <w:r>
              <w:rPr>
                <w:rFonts w:hint="eastAsia" w:cs="宋体"/>
                <w:sz w:val="24"/>
                <w:szCs w:val="24"/>
              </w:rPr>
              <w:t>个千兆光口；≧</w:t>
            </w:r>
            <w:r>
              <w:rPr>
                <w:rFonts w:cs="宋体"/>
                <w:sz w:val="24"/>
                <w:szCs w:val="24"/>
              </w:rPr>
              <w:t>4</w:t>
            </w:r>
            <w:r>
              <w:rPr>
                <w:rFonts w:hint="eastAsia" w:cs="宋体"/>
                <w:sz w:val="24"/>
                <w:szCs w:val="24"/>
              </w:rPr>
              <w:t>个千兆电口，≧</w:t>
            </w:r>
            <w:r>
              <w:rPr>
                <w:rFonts w:cs="宋体"/>
                <w:sz w:val="24"/>
                <w:szCs w:val="24"/>
              </w:rPr>
              <w:t>1</w:t>
            </w:r>
            <w:r>
              <w:rPr>
                <w:rFonts w:hint="eastAsia" w:cs="宋体"/>
                <w:sz w:val="24"/>
                <w:szCs w:val="24"/>
              </w:rPr>
              <w:t>个扩展插槽，具有扩展≧</w:t>
            </w:r>
            <w:r>
              <w:rPr>
                <w:rFonts w:cs="宋体"/>
                <w:sz w:val="24"/>
                <w:szCs w:val="24"/>
              </w:rPr>
              <w:t>8</w:t>
            </w:r>
            <w:r>
              <w:rPr>
                <w:rFonts w:hint="eastAsia" w:cs="宋体"/>
                <w:sz w:val="24"/>
                <w:szCs w:val="24"/>
              </w:rPr>
              <w:t>个万兆光口。五年硬件质保，软件和规则库的升级服务。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kern w:val="0"/>
                <w:sz w:val="24"/>
                <w:szCs w:val="24"/>
              </w:rPr>
            </w:pPr>
            <w:r>
              <w:rPr>
                <w:rFonts w:hint="eastAsia" w:cs="Arial"/>
                <w:kern w:val="0"/>
                <w:sz w:val="24"/>
                <w:szCs w:val="24"/>
              </w:rPr>
              <w:t>性能要求</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宋体"/>
                <w:sz w:val="24"/>
                <w:szCs w:val="24"/>
              </w:rPr>
            </w:pPr>
            <w:r>
              <w:rPr>
                <w:rFonts w:hint="eastAsia" w:cs="宋体"/>
                <w:sz w:val="24"/>
                <w:szCs w:val="24"/>
              </w:rPr>
              <w:t>网络层吞吐量≥</w:t>
            </w:r>
            <w:r>
              <w:rPr>
                <w:rFonts w:cs="宋体"/>
                <w:sz w:val="24"/>
                <w:szCs w:val="24"/>
              </w:rPr>
              <w:t>50Gbps</w:t>
            </w:r>
            <w:r>
              <w:rPr>
                <w:rFonts w:hint="eastAsia" w:cs="宋体"/>
                <w:sz w:val="24"/>
                <w:szCs w:val="24"/>
              </w:rPr>
              <w:t>，应用层吞吐≥</w:t>
            </w:r>
            <w:r>
              <w:rPr>
                <w:rFonts w:cs="宋体"/>
                <w:sz w:val="24"/>
                <w:szCs w:val="24"/>
              </w:rPr>
              <w:t>15Gbps</w:t>
            </w:r>
            <w:r>
              <w:rPr>
                <w:rFonts w:hint="eastAsia" w:cs="宋体"/>
                <w:sz w:val="24"/>
                <w:szCs w:val="24"/>
              </w:rPr>
              <w:t>，最大并发</w:t>
            </w:r>
            <w:r>
              <w:rPr>
                <w:rFonts w:cs="宋体"/>
                <w:sz w:val="24"/>
                <w:szCs w:val="24"/>
              </w:rPr>
              <w:t>TCP</w:t>
            </w:r>
            <w:r>
              <w:rPr>
                <w:rFonts w:hint="eastAsia" w:cs="宋体"/>
                <w:sz w:val="24"/>
                <w:szCs w:val="24"/>
              </w:rPr>
              <w:t>会话数≥</w:t>
            </w:r>
            <w:r>
              <w:rPr>
                <w:rFonts w:cs="宋体"/>
                <w:sz w:val="24"/>
                <w:szCs w:val="24"/>
              </w:rPr>
              <w:t>1000</w:t>
            </w:r>
            <w:r>
              <w:rPr>
                <w:rFonts w:hint="eastAsia" w:cs="宋体"/>
                <w:sz w:val="24"/>
                <w:szCs w:val="24"/>
              </w:rPr>
              <w:t>万，每秒新增</w:t>
            </w:r>
            <w:r>
              <w:rPr>
                <w:rFonts w:cs="宋体"/>
                <w:sz w:val="24"/>
                <w:szCs w:val="24"/>
              </w:rPr>
              <w:t>TCP</w:t>
            </w:r>
            <w:r>
              <w:rPr>
                <w:rFonts w:hint="eastAsia" w:cs="宋体"/>
                <w:sz w:val="24"/>
                <w:szCs w:val="24"/>
              </w:rPr>
              <w:t>会话数≥</w:t>
            </w:r>
            <w:r>
              <w:rPr>
                <w:rFonts w:cs="宋体"/>
                <w:sz w:val="24"/>
                <w:szCs w:val="24"/>
              </w:rPr>
              <w:t>600</w:t>
            </w:r>
            <w:r>
              <w:rPr>
                <w:rFonts w:hint="eastAsia" w:cs="宋体"/>
                <w:sz w:val="24"/>
                <w:szCs w:val="24"/>
              </w:rPr>
              <w:t>，</w:t>
            </w:r>
            <w:r>
              <w:rPr>
                <w:rFonts w:cs="宋体"/>
                <w:sz w:val="24"/>
                <w:szCs w:val="24"/>
              </w:rPr>
              <w:t>000</w:t>
            </w:r>
            <w:r>
              <w:rPr>
                <w:rFonts w:hint="eastAsia" w:cs="宋体"/>
                <w:sz w:val="24"/>
                <w:szCs w:val="24"/>
              </w:rPr>
              <w:t>；多路防护免授权。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宋体"/>
                <w:sz w:val="24"/>
                <w:szCs w:val="24"/>
              </w:rPr>
            </w:pPr>
            <w:r>
              <w:rPr>
                <w:rFonts w:hint="eastAsia" w:cs="宋体"/>
                <w:sz w:val="24"/>
                <w:szCs w:val="24"/>
              </w:rPr>
              <w:t>网络适应性</w:t>
            </w: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left"/>
              <w:rPr>
                <w:rFonts w:cs="宋体"/>
                <w:sz w:val="24"/>
                <w:szCs w:val="24"/>
              </w:rPr>
            </w:pPr>
            <w:r>
              <w:rPr>
                <w:rFonts w:hint="eastAsia" w:cs="宋体"/>
                <w:sz w:val="24"/>
                <w:szCs w:val="24"/>
              </w:rPr>
              <w:t>系统须支持</w:t>
            </w:r>
            <w:r>
              <w:rPr>
                <w:rFonts w:cs="宋体"/>
                <w:sz w:val="24"/>
                <w:szCs w:val="24"/>
              </w:rPr>
              <w:t>IPv6/IPv4</w:t>
            </w:r>
            <w:r>
              <w:rPr>
                <w:rFonts w:hint="eastAsia" w:cs="宋体"/>
                <w:sz w:val="24"/>
                <w:szCs w:val="24"/>
              </w:rPr>
              <w:t>双协议栈功能，能同时辨识</w:t>
            </w:r>
            <w:r>
              <w:rPr>
                <w:rFonts w:cs="宋体"/>
                <w:sz w:val="24"/>
                <w:szCs w:val="24"/>
              </w:rPr>
              <w:t>IPv4</w:t>
            </w:r>
            <w:r>
              <w:rPr>
                <w:rFonts w:hint="eastAsia" w:cs="宋体"/>
                <w:sz w:val="24"/>
                <w:szCs w:val="24"/>
              </w:rPr>
              <w:t>和</w:t>
            </w:r>
            <w:r>
              <w:rPr>
                <w:rFonts w:cs="宋体"/>
                <w:sz w:val="24"/>
                <w:szCs w:val="24"/>
              </w:rPr>
              <w:t>IPv6</w:t>
            </w:r>
            <w:r>
              <w:rPr>
                <w:rFonts w:hint="eastAsia" w:cs="宋体"/>
                <w:sz w:val="24"/>
                <w:szCs w:val="24"/>
              </w:rPr>
              <w:t>通讯流量。支持</w:t>
            </w:r>
            <w:r>
              <w:rPr>
                <w:rFonts w:cs="宋体"/>
                <w:sz w:val="24"/>
                <w:szCs w:val="24"/>
              </w:rPr>
              <w:t>IPv6</w:t>
            </w:r>
            <w:r>
              <w:rPr>
                <w:rFonts w:hint="eastAsia" w:cs="宋体"/>
                <w:sz w:val="24"/>
                <w:szCs w:val="24"/>
              </w:rPr>
              <w:t>环境下攻击检测技术和基于</w:t>
            </w:r>
            <w:r>
              <w:rPr>
                <w:rFonts w:cs="宋体"/>
                <w:sz w:val="24"/>
                <w:szCs w:val="24"/>
              </w:rPr>
              <w:t>IPv6</w:t>
            </w:r>
            <w:r>
              <w:rPr>
                <w:rFonts w:hint="eastAsia" w:cs="宋体"/>
                <w:sz w:val="24"/>
                <w:szCs w:val="24"/>
              </w:rPr>
              <w:t>地址格式的安全检测策略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rFonts w:hint="eastAsia"/>
                <w:sz w:val="24"/>
                <w:szCs w:val="24"/>
              </w:rPr>
              <w:t>入侵防护</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▲系统攻击特征库数量至少为</w:t>
            </w:r>
            <w:r>
              <w:rPr>
                <w:sz w:val="24"/>
                <w:szCs w:val="24"/>
              </w:rPr>
              <w:t>9000</w:t>
            </w:r>
            <w:r>
              <w:rPr>
                <w:rFonts w:hint="eastAsia"/>
                <w:sz w:val="24"/>
                <w:szCs w:val="24"/>
              </w:rPr>
              <w:t>种以上。</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系统需提供入侵规则分类，帮助更便捷的制定防护策略。如勒索、挖矿、</w:t>
            </w:r>
            <w:r>
              <w:rPr>
                <w:sz w:val="24"/>
                <w:szCs w:val="24"/>
              </w:rPr>
              <w:t>SQL</w:t>
            </w:r>
            <w:r>
              <w:rPr>
                <w:rFonts w:hint="eastAsia"/>
                <w:sz w:val="24"/>
                <w:szCs w:val="24"/>
              </w:rPr>
              <w:t>注入、</w:t>
            </w:r>
            <w:r>
              <w:rPr>
                <w:sz w:val="24"/>
                <w:szCs w:val="24"/>
              </w:rPr>
              <w:t>XSS</w:t>
            </w:r>
            <w:r>
              <w:rPr>
                <w:rFonts w:hint="eastAsia"/>
                <w:sz w:val="24"/>
                <w:szCs w:val="24"/>
              </w:rPr>
              <w:t>注入、</w:t>
            </w:r>
            <w:r>
              <w:rPr>
                <w:sz w:val="24"/>
                <w:szCs w:val="24"/>
              </w:rPr>
              <w:t>webshell</w:t>
            </w:r>
            <w:r>
              <w:rPr>
                <w:rFonts w:hint="eastAsia"/>
                <w:sz w:val="24"/>
                <w:szCs w:val="24"/>
              </w:rPr>
              <w:t>、命令代码执行、内存破坏、类型混淆、反序列化、信息泄露、目录遍历、文件操作漏洞、注入攻击、重定向漏洞、</w:t>
            </w:r>
            <w:r>
              <w:rPr>
                <w:sz w:val="24"/>
                <w:szCs w:val="24"/>
              </w:rPr>
              <w:t>CSRF</w:t>
            </w:r>
            <w:r>
              <w:rPr>
                <w:rFonts w:hint="eastAsia"/>
                <w:sz w:val="24"/>
                <w:szCs w:val="24"/>
              </w:rPr>
              <w:t>、僵木蠕、拒绝服务、弱口令、欺骗劫持、扫描类攻击等。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▲系统具有手动添加白名单</w:t>
            </w:r>
            <w:r>
              <w:rPr>
                <w:sz w:val="24"/>
                <w:szCs w:val="24"/>
              </w:rPr>
              <w:t>IP</w:t>
            </w:r>
            <w:r>
              <w:rPr>
                <w:rFonts w:hint="eastAsia"/>
                <w:sz w:val="24"/>
                <w:szCs w:val="24"/>
              </w:rPr>
              <w:t>、域名的能力，对白名单中的条目不进行安全检测。</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支持基于</w:t>
            </w:r>
            <w:r>
              <w:rPr>
                <w:sz w:val="24"/>
                <w:szCs w:val="24"/>
              </w:rPr>
              <w:t>SCADA</w:t>
            </w:r>
            <w:r>
              <w:rPr>
                <w:rFonts w:hint="eastAsia"/>
                <w:sz w:val="24"/>
                <w:szCs w:val="24"/>
              </w:rPr>
              <w:t>、</w:t>
            </w:r>
            <w:r>
              <w:rPr>
                <w:sz w:val="24"/>
                <w:szCs w:val="24"/>
              </w:rPr>
              <w:t>IEC 61850</w:t>
            </w:r>
            <w:r>
              <w:rPr>
                <w:rFonts w:hint="eastAsia"/>
                <w:sz w:val="24"/>
                <w:szCs w:val="24"/>
              </w:rPr>
              <w:t>、</w:t>
            </w:r>
            <w:r>
              <w:rPr>
                <w:sz w:val="24"/>
                <w:szCs w:val="24"/>
              </w:rPr>
              <w:t>IEC 60870-104</w:t>
            </w:r>
            <w:r>
              <w:rPr>
                <w:rFonts w:hint="eastAsia"/>
                <w:sz w:val="24"/>
                <w:szCs w:val="24"/>
              </w:rPr>
              <w:t>等工控协议的相关漏洞攻击检测与防护。须提供界面截图。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具有至少七种弱口令配置，具有导入自定义弱口令字典。须具有强密码复杂度限制，如同时包含大小写字母、特殊字符、数字、不能包含用户名等组合方式限制。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right w:val="single" w:color="auto" w:sz="4" w:space="0"/>
            </w:tcBorders>
            <w:noWrap w:val="0"/>
            <w:vAlign w:val="center"/>
          </w:tcPr>
          <w:p>
            <w:pPr>
              <w:spacing w:line="320" w:lineRule="exact"/>
              <w:jc w:val="center"/>
              <w:rPr>
                <w:sz w:val="24"/>
                <w:szCs w:val="24"/>
              </w:rPr>
            </w:pPr>
            <w:r>
              <w:rPr>
                <w:rFonts w:hint="eastAsia"/>
                <w:sz w:val="24"/>
                <w:szCs w:val="24"/>
              </w:rPr>
              <w:t>防病毒</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sz w:val="24"/>
                <w:szCs w:val="24"/>
              </w:rPr>
            </w:pPr>
            <w:r>
              <w:rPr>
                <w:rFonts w:hint="eastAsia"/>
                <w:sz w:val="24"/>
                <w:szCs w:val="24"/>
              </w:rPr>
              <w:t>需提供防病毒引擎厂商合作证明。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left w:val="single" w:color="auto" w:sz="4" w:space="0"/>
              <w:right w:val="single" w:color="auto" w:sz="4" w:space="0"/>
            </w:tcBorders>
            <w:noWrap w:val="0"/>
            <w:vAlign w:val="center"/>
          </w:tcPr>
          <w:p>
            <w:pPr>
              <w:spacing w:line="320" w:lineRule="exact"/>
              <w:jc w:val="center"/>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sz w:val="24"/>
                <w:szCs w:val="24"/>
              </w:rPr>
            </w:pPr>
            <w:r>
              <w:rPr>
                <w:rFonts w:hint="eastAsia"/>
                <w:sz w:val="24"/>
                <w:szCs w:val="24"/>
              </w:rPr>
              <w:t>支持扩展流式防病毒，且病毒库在10万以上防病毒，需具备启发式防病毒能力，且病毒库在900万以上。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sz w:val="24"/>
                <w:szCs w:val="24"/>
              </w:rPr>
            </w:pPr>
            <w:r>
              <w:rPr>
                <w:rFonts w:hint="eastAsia"/>
                <w:sz w:val="24"/>
                <w:szCs w:val="24"/>
              </w:rPr>
              <w:t>支持防病毒库实时更新，实现快速能力部署、应对热点突发病毒，至少一天更新两次。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sz w:val="24"/>
                <w:szCs w:val="24"/>
              </w:rPr>
              <w:t>DoS/DDoS</w:t>
            </w:r>
            <w:r>
              <w:rPr>
                <w:rFonts w:hint="eastAsia"/>
                <w:sz w:val="24"/>
                <w:szCs w:val="24"/>
              </w:rPr>
              <w:t>防护</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系统应提供</w:t>
            </w:r>
            <w:r>
              <w:rPr>
                <w:sz w:val="24"/>
                <w:szCs w:val="24"/>
              </w:rPr>
              <w:t>DoS/DDoS</w:t>
            </w:r>
            <w:r>
              <w:rPr>
                <w:rFonts w:hint="eastAsia"/>
                <w:sz w:val="24"/>
                <w:szCs w:val="24"/>
              </w:rPr>
              <w:t>攻击防护能力，具有</w:t>
            </w:r>
            <w:r>
              <w:rPr>
                <w:sz w:val="24"/>
                <w:szCs w:val="24"/>
              </w:rPr>
              <w:t>TCP/UDP/ICMP/ACK Flooding</w:t>
            </w:r>
            <w:r>
              <w:rPr>
                <w:rFonts w:hint="eastAsia"/>
                <w:sz w:val="24"/>
                <w:szCs w:val="24"/>
              </w:rPr>
              <w:t>，以及</w:t>
            </w:r>
            <w:r>
              <w:rPr>
                <w:sz w:val="24"/>
                <w:szCs w:val="24"/>
              </w:rPr>
              <w:t>UDP/ICMP Smurfing</w:t>
            </w:r>
            <w:r>
              <w:rPr>
                <w:rFonts w:hint="eastAsia"/>
                <w:sz w:val="24"/>
                <w:szCs w:val="24"/>
              </w:rPr>
              <w:t>等常见的</w:t>
            </w:r>
            <w:r>
              <w:rPr>
                <w:sz w:val="24"/>
                <w:szCs w:val="24"/>
              </w:rPr>
              <w:t>DoS/DDoS</w:t>
            </w:r>
            <w:r>
              <w:rPr>
                <w:rFonts w:hint="eastAsia"/>
                <w:sz w:val="24"/>
                <w:szCs w:val="24"/>
              </w:rPr>
              <w:t>的攻击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sz w:val="24"/>
                <w:szCs w:val="24"/>
              </w:rPr>
              <w:t>URL</w:t>
            </w:r>
            <w:r>
              <w:rPr>
                <w:rFonts w:hint="eastAsia"/>
                <w:sz w:val="24"/>
                <w:szCs w:val="24"/>
              </w:rPr>
              <w:t>分类</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支持提供</w:t>
            </w:r>
            <w:r>
              <w:rPr>
                <w:sz w:val="24"/>
                <w:szCs w:val="24"/>
              </w:rPr>
              <w:t>URL</w:t>
            </w:r>
            <w:r>
              <w:rPr>
                <w:rFonts w:hint="eastAsia"/>
                <w:sz w:val="24"/>
                <w:szCs w:val="24"/>
              </w:rPr>
              <w:t>分类本地库和云端查询能力，可实现高风险、不良网站的过滤，规范上网行为。可提供本地搜索，手动研判可以</w:t>
            </w:r>
            <w:r>
              <w:rPr>
                <w:sz w:val="24"/>
                <w:szCs w:val="24"/>
              </w:rPr>
              <w:t>URL</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rFonts w:hint="eastAsia"/>
                <w:sz w:val="24"/>
                <w:szCs w:val="24"/>
              </w:rPr>
              <w:t>高级未知威胁防护</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支持与本地沙箱或云沙箱的联动配置。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系统支持可选择对</w:t>
            </w:r>
            <w:r>
              <w:rPr>
                <w:sz w:val="24"/>
                <w:szCs w:val="24"/>
              </w:rPr>
              <w:t>PE</w:t>
            </w:r>
            <w:r>
              <w:rPr>
                <w:rFonts w:hint="eastAsia"/>
                <w:sz w:val="24"/>
                <w:szCs w:val="24"/>
              </w:rPr>
              <w:t>类、文档类还是压缩包等进行检测。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支持提供未知恶意软件检测分析报告。能够展示未知恶意软件的传播</w:t>
            </w:r>
            <w:r>
              <w:rPr>
                <w:sz w:val="24"/>
                <w:szCs w:val="24"/>
              </w:rPr>
              <w:t>URL</w:t>
            </w:r>
            <w:r>
              <w:rPr>
                <w:rFonts w:hint="eastAsia"/>
                <w:sz w:val="24"/>
                <w:szCs w:val="24"/>
              </w:rPr>
              <w:t>地址。能提供高级恶意文件样本下载用于取证。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rFonts w:hint="eastAsia"/>
                <w:sz w:val="24"/>
                <w:szCs w:val="24"/>
              </w:rPr>
              <w:t>威胁情报</w:t>
            </w:r>
          </w:p>
          <w:p>
            <w:pPr>
              <w:spacing w:line="320" w:lineRule="exact"/>
              <w:jc w:val="center"/>
              <w:rPr>
                <w:sz w:val="24"/>
                <w:szCs w:val="24"/>
              </w:rPr>
            </w:pPr>
            <w:r>
              <w:rPr>
                <w:rFonts w:hint="eastAsia"/>
                <w:sz w:val="24"/>
                <w:szCs w:val="24"/>
              </w:rPr>
              <w:t>检测</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▲高质量的威胁情报</w:t>
            </w:r>
            <w:r>
              <w:rPr>
                <w:sz w:val="24"/>
                <w:szCs w:val="24"/>
              </w:rPr>
              <w:t>IOC</w:t>
            </w:r>
            <w:r>
              <w:rPr>
                <w:rFonts w:hint="eastAsia"/>
                <w:sz w:val="24"/>
                <w:szCs w:val="24"/>
              </w:rPr>
              <w:t>，支持检测的威胁事件分类包括但不限于：传统的僵尸网络病毒、后门木马、蠕虫病毒、检测</w:t>
            </w:r>
            <w:r>
              <w:rPr>
                <w:sz w:val="24"/>
                <w:szCs w:val="24"/>
              </w:rPr>
              <w:t>DDoS</w:t>
            </w:r>
            <w:r>
              <w:rPr>
                <w:rFonts w:hint="eastAsia"/>
                <w:sz w:val="24"/>
                <w:szCs w:val="24"/>
              </w:rPr>
              <w:t>木马、钓鱼网站，利用高危漏洞样本的攻击、勒索软件、无文件攻击、高级</w:t>
            </w:r>
            <w:r>
              <w:rPr>
                <w:sz w:val="24"/>
                <w:szCs w:val="24"/>
              </w:rPr>
              <w:t>APT</w:t>
            </w:r>
            <w:r>
              <w:rPr>
                <w:rFonts w:hint="eastAsia"/>
                <w:sz w:val="24"/>
                <w:szCs w:val="24"/>
              </w:rPr>
              <w:t>攻击等。</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宋体"/>
                <w:sz w:val="24"/>
                <w:szCs w:val="24"/>
              </w:rPr>
            </w:pPr>
            <w:r>
              <w:rPr>
                <w:rFonts w:hint="eastAsia" w:cs="宋体"/>
                <w:sz w:val="24"/>
                <w:szCs w:val="24"/>
              </w:rPr>
              <w:t>终端恶意进程取证</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cs="宋体"/>
                <w:sz w:val="24"/>
                <w:szCs w:val="24"/>
              </w:rPr>
            </w:pPr>
            <w:r>
              <w:rPr>
                <w:rFonts w:hint="eastAsia"/>
                <w:sz w:val="24"/>
                <w:szCs w:val="24"/>
              </w:rPr>
              <w:t>▲</w:t>
            </w:r>
            <w:r>
              <w:rPr>
                <w:rFonts w:hint="eastAsia" w:cs="宋体"/>
                <w:sz w:val="24"/>
                <w:szCs w:val="24"/>
              </w:rPr>
              <w:t>可通过终端</w:t>
            </w:r>
            <w:r>
              <w:rPr>
                <w:rFonts w:cs="宋体"/>
                <w:sz w:val="24"/>
                <w:szCs w:val="24"/>
              </w:rPr>
              <w:t>Agent</w:t>
            </w:r>
            <w:r>
              <w:rPr>
                <w:rFonts w:hint="eastAsia" w:cs="宋体"/>
                <w:sz w:val="24"/>
                <w:szCs w:val="24"/>
              </w:rPr>
              <w:t>自动化定位到恶意的文件和进程，准确获取终端上恶意进程的运行过程，用户可自主选择是否开启取证能力。</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rFonts w:hint="eastAsia"/>
                <w:sz w:val="24"/>
                <w:szCs w:val="24"/>
              </w:rPr>
              <w:t>自定义拦截页面</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▲支持自定义拦截页面，拦截页面可展示自定义内容，或跳转到指定的</w:t>
            </w:r>
            <w:r>
              <w:rPr>
                <w:sz w:val="24"/>
                <w:szCs w:val="24"/>
              </w:rPr>
              <w:t>URL</w:t>
            </w:r>
            <w:r>
              <w:rPr>
                <w:rFonts w:hint="eastAsia"/>
                <w:sz w:val="24"/>
                <w:szCs w:val="24"/>
              </w:rPr>
              <w:t>、指定</w:t>
            </w:r>
            <w:r>
              <w:rPr>
                <w:sz w:val="24"/>
                <w:szCs w:val="24"/>
              </w:rPr>
              <w:t>IP</w:t>
            </w:r>
            <w:r>
              <w:rPr>
                <w:rFonts w:hint="eastAsia"/>
                <w:sz w:val="24"/>
                <w:szCs w:val="24"/>
              </w:rPr>
              <w:t>，基于不同拦截原因（威胁，内容，名单）制定不同拦截页面策略。</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宋体"/>
                <w:sz w:val="24"/>
                <w:szCs w:val="24"/>
              </w:rPr>
            </w:pPr>
            <w:r>
              <w:rPr>
                <w:rFonts w:hint="eastAsia" w:cs="宋体"/>
                <w:sz w:val="24"/>
                <w:szCs w:val="24"/>
              </w:rPr>
              <w:t>远程办公防护能力</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cs="宋体"/>
                <w:sz w:val="24"/>
                <w:szCs w:val="24"/>
              </w:rPr>
            </w:pPr>
            <w:r>
              <w:rPr>
                <w:rFonts w:hint="eastAsia"/>
                <w:sz w:val="24"/>
                <w:szCs w:val="24"/>
              </w:rPr>
              <w:t>▲</w:t>
            </w:r>
            <w:r>
              <w:rPr>
                <w:rFonts w:hint="eastAsia" w:cs="宋体"/>
                <w:sz w:val="24"/>
                <w:szCs w:val="24"/>
              </w:rPr>
              <w:t>可提供</w:t>
            </w:r>
            <w:r>
              <w:rPr>
                <w:rFonts w:cs="宋体"/>
                <w:sz w:val="24"/>
                <w:szCs w:val="24"/>
              </w:rPr>
              <w:t>Agent</w:t>
            </w:r>
            <w:r>
              <w:rPr>
                <w:rFonts w:hint="eastAsia" w:cs="宋体"/>
                <w:sz w:val="24"/>
                <w:szCs w:val="24"/>
              </w:rPr>
              <w:t>工具为漫游终端提供实时威胁拦截的防护能力，并在云端控制台统计所有漫游终端的威胁防护情况；可配置</w:t>
            </w:r>
            <w:r>
              <w:rPr>
                <w:rFonts w:cs="宋体"/>
                <w:sz w:val="24"/>
                <w:szCs w:val="24"/>
              </w:rPr>
              <w:t>Agent</w:t>
            </w:r>
            <w:r>
              <w:rPr>
                <w:rFonts w:hint="eastAsia" w:cs="宋体"/>
                <w:sz w:val="24"/>
                <w:szCs w:val="24"/>
              </w:rPr>
              <w:t>策略，漫游终端设备回到企业内网后，默认使用内网</w:t>
            </w:r>
            <w:r>
              <w:rPr>
                <w:rFonts w:cs="宋体"/>
                <w:sz w:val="24"/>
                <w:szCs w:val="24"/>
              </w:rPr>
              <w:t>DNS</w:t>
            </w:r>
            <w:r>
              <w:rPr>
                <w:rFonts w:hint="eastAsia" w:cs="宋体"/>
                <w:sz w:val="24"/>
                <w:szCs w:val="24"/>
              </w:rPr>
              <w:t>服务器。</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宋体"/>
                <w:sz w:val="24"/>
                <w:szCs w:val="24"/>
              </w:rPr>
            </w:pPr>
            <w:r>
              <w:rPr>
                <w:rFonts w:hint="eastAsia" w:cs="宋体"/>
                <w:sz w:val="24"/>
                <w:szCs w:val="24"/>
              </w:rPr>
              <w:t>失陷指标（</w:t>
            </w:r>
            <w:r>
              <w:rPr>
                <w:rFonts w:cs="宋体"/>
                <w:sz w:val="24"/>
                <w:szCs w:val="24"/>
              </w:rPr>
              <w:t>IOC</w:t>
            </w:r>
            <w:r>
              <w:rPr>
                <w:rFonts w:hint="eastAsia" w:cs="宋体"/>
                <w:sz w:val="24"/>
                <w:szCs w:val="24"/>
              </w:rPr>
              <w:t>）情报</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cs="宋体"/>
                <w:sz w:val="24"/>
                <w:szCs w:val="24"/>
              </w:rPr>
            </w:pPr>
            <w:r>
              <w:rPr>
                <w:rFonts w:hint="eastAsia"/>
                <w:sz w:val="24"/>
                <w:szCs w:val="24"/>
              </w:rPr>
              <w:t>▲</w:t>
            </w:r>
            <w:r>
              <w:rPr>
                <w:rFonts w:hint="eastAsia" w:cs="宋体"/>
                <w:sz w:val="24"/>
                <w:szCs w:val="24"/>
              </w:rPr>
              <w:t>失陷指标（</w:t>
            </w:r>
            <w:r>
              <w:rPr>
                <w:rFonts w:cs="宋体"/>
                <w:sz w:val="24"/>
                <w:szCs w:val="24"/>
              </w:rPr>
              <w:t>IOC</w:t>
            </w:r>
            <w:r>
              <w:rPr>
                <w:rFonts w:hint="eastAsia" w:cs="宋体"/>
                <w:sz w:val="24"/>
                <w:szCs w:val="24"/>
              </w:rPr>
              <w:t>）情报≥</w:t>
            </w:r>
            <w:r>
              <w:rPr>
                <w:rFonts w:cs="宋体"/>
                <w:sz w:val="24"/>
                <w:szCs w:val="24"/>
              </w:rPr>
              <w:t>37</w:t>
            </w:r>
            <w:r>
              <w:rPr>
                <w:rFonts w:hint="eastAsia" w:cs="宋体"/>
                <w:sz w:val="24"/>
                <w:szCs w:val="24"/>
              </w:rPr>
              <w:t>万条，字段丰富度至少包括发现时间、域名、相关组织、严重程度、相关家族、置信度、关联组织、针对行业、背景信息、关联样本、是否为</w:t>
            </w:r>
            <w:r>
              <w:rPr>
                <w:rFonts w:cs="宋体"/>
                <w:sz w:val="24"/>
                <w:szCs w:val="24"/>
              </w:rPr>
              <w:t>APT</w:t>
            </w:r>
            <w:r>
              <w:rPr>
                <w:rFonts w:hint="eastAsia" w:cs="宋体"/>
                <w:sz w:val="24"/>
                <w:szCs w:val="24"/>
              </w:rPr>
              <w:t>攻击、通讯协议、应用协议、主机类型、情报类型、时间戳、</w:t>
            </w:r>
            <w:r>
              <w:rPr>
                <w:rFonts w:cs="宋体"/>
                <w:sz w:val="24"/>
                <w:szCs w:val="24"/>
              </w:rPr>
              <w:t>TLP</w:t>
            </w:r>
            <w:r>
              <w:rPr>
                <w:rFonts w:hint="eastAsia" w:cs="宋体"/>
                <w:sz w:val="24"/>
                <w:szCs w:val="24"/>
              </w:rPr>
              <w:t>红绿灯控制协议、</w:t>
            </w:r>
            <w:r>
              <w:rPr>
                <w:rFonts w:cs="宋体"/>
                <w:sz w:val="24"/>
                <w:szCs w:val="24"/>
              </w:rPr>
              <w:t>whois (</w:t>
            </w:r>
            <w:r>
              <w:rPr>
                <w:rFonts w:hint="eastAsia" w:cs="宋体"/>
                <w:sz w:val="24"/>
                <w:szCs w:val="24"/>
              </w:rPr>
              <w:t>注册人信息</w:t>
            </w:r>
            <w:r>
              <w:rPr>
                <w:rFonts w:cs="宋体"/>
                <w:sz w:val="24"/>
                <w:szCs w:val="24"/>
              </w:rPr>
              <w:t>)</w:t>
            </w:r>
            <w:r>
              <w:rPr>
                <w:rFonts w:hint="eastAsia" w:cs="宋体"/>
                <w:sz w:val="24"/>
                <w:szCs w:val="24"/>
              </w:rPr>
              <w:t>、历史</w:t>
            </w:r>
            <w:r>
              <w:rPr>
                <w:rFonts w:cs="宋体"/>
                <w:sz w:val="24"/>
                <w:szCs w:val="24"/>
              </w:rPr>
              <w:t>pDNS (</w:t>
            </w:r>
            <w:r>
              <w:rPr>
                <w:rFonts w:hint="eastAsia" w:cs="宋体"/>
                <w:sz w:val="24"/>
                <w:szCs w:val="24"/>
              </w:rPr>
              <w:t>解析对应的</w:t>
            </w:r>
            <w:r>
              <w:rPr>
                <w:rFonts w:cs="宋体"/>
                <w:sz w:val="24"/>
                <w:szCs w:val="24"/>
              </w:rPr>
              <w:t>IP)</w:t>
            </w:r>
            <w:r>
              <w:rPr>
                <w:rFonts w:hint="eastAsia" w:cs="宋体"/>
                <w:sz w:val="24"/>
                <w:szCs w:val="24"/>
              </w:rPr>
              <w:t>、</w:t>
            </w:r>
            <w:r>
              <w:rPr>
                <w:rFonts w:cs="宋体"/>
                <w:sz w:val="24"/>
                <w:szCs w:val="24"/>
              </w:rPr>
              <w:t>SSL</w:t>
            </w:r>
            <w:r>
              <w:rPr>
                <w:rFonts w:hint="eastAsia" w:cs="宋体"/>
                <w:sz w:val="24"/>
                <w:szCs w:val="24"/>
              </w:rPr>
              <w:t>证书等上下文信息</w:t>
            </w:r>
            <w:r>
              <w:rPr>
                <w:rFonts w:cs="宋体"/>
                <w:sz w:val="24"/>
                <w:szCs w:val="24"/>
              </w:rPr>
              <w:t>;</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宋体"/>
                <w:sz w:val="24"/>
                <w:szCs w:val="24"/>
              </w:rPr>
            </w:pPr>
            <w:r>
              <w:rPr>
                <w:rFonts w:cs="宋体"/>
                <w:sz w:val="24"/>
                <w:szCs w:val="24"/>
              </w:rPr>
              <w:t>IP</w:t>
            </w:r>
            <w:r>
              <w:rPr>
                <w:rFonts w:hint="eastAsia" w:cs="宋体"/>
                <w:sz w:val="24"/>
                <w:szCs w:val="24"/>
              </w:rPr>
              <w:t>信誉</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cs="宋体"/>
                <w:spacing w:val="-2"/>
                <w:sz w:val="24"/>
                <w:szCs w:val="24"/>
              </w:rPr>
            </w:pPr>
            <w:r>
              <w:rPr>
                <w:rFonts w:hint="eastAsia"/>
                <w:spacing w:val="-2"/>
                <w:sz w:val="24"/>
                <w:szCs w:val="24"/>
              </w:rPr>
              <w:t>▲</w:t>
            </w:r>
            <w:r>
              <w:rPr>
                <w:rFonts w:cs="宋体"/>
                <w:spacing w:val="-2"/>
                <w:sz w:val="24"/>
                <w:szCs w:val="24"/>
              </w:rPr>
              <w:t>IP</w:t>
            </w:r>
            <w:r>
              <w:rPr>
                <w:rFonts w:hint="eastAsia" w:cs="宋体"/>
                <w:spacing w:val="-2"/>
                <w:sz w:val="24"/>
                <w:szCs w:val="24"/>
              </w:rPr>
              <w:t>信誉≥</w:t>
            </w:r>
            <w:r>
              <w:rPr>
                <w:rFonts w:cs="宋体"/>
                <w:spacing w:val="-2"/>
                <w:sz w:val="24"/>
                <w:szCs w:val="24"/>
              </w:rPr>
              <w:t>42</w:t>
            </w:r>
            <w:r>
              <w:rPr>
                <w:rFonts w:hint="eastAsia" w:cs="宋体"/>
                <w:spacing w:val="-2"/>
                <w:sz w:val="24"/>
                <w:szCs w:val="24"/>
              </w:rPr>
              <w:t>亿条，要求能够识别远控，僵尸网络，劫持，钓鱼，恶意软件，漏洞利用，扫描，</w:t>
            </w:r>
            <w:r>
              <w:rPr>
                <w:rFonts w:cs="宋体"/>
                <w:spacing w:val="-2"/>
                <w:sz w:val="24"/>
                <w:szCs w:val="24"/>
              </w:rPr>
              <w:t>P2P</w:t>
            </w:r>
            <w:r>
              <w:rPr>
                <w:rFonts w:hint="eastAsia" w:cs="宋体"/>
                <w:spacing w:val="-2"/>
                <w:sz w:val="24"/>
                <w:szCs w:val="24"/>
              </w:rPr>
              <w:t>节点，僵尸网络，</w:t>
            </w:r>
            <w:r>
              <w:rPr>
                <w:rFonts w:cs="宋体"/>
                <w:spacing w:val="-2"/>
                <w:sz w:val="24"/>
                <w:szCs w:val="24"/>
              </w:rPr>
              <w:t>DNS</w:t>
            </w:r>
            <w:r>
              <w:rPr>
                <w:rFonts w:hint="eastAsia" w:cs="宋体"/>
                <w:spacing w:val="-2"/>
                <w:sz w:val="24"/>
                <w:szCs w:val="24"/>
              </w:rPr>
              <w:t>，垃圾邮件，可疑，代理，失陷主机，白名单，基础信息，</w:t>
            </w:r>
            <w:r>
              <w:rPr>
                <w:rFonts w:cs="宋体"/>
                <w:spacing w:val="-2"/>
                <w:sz w:val="24"/>
                <w:szCs w:val="24"/>
              </w:rPr>
              <w:t>IDC</w:t>
            </w:r>
            <w:r>
              <w:rPr>
                <w:rFonts w:hint="eastAsia" w:cs="宋体"/>
                <w:spacing w:val="-2"/>
                <w:sz w:val="24"/>
                <w:szCs w:val="24"/>
              </w:rPr>
              <w:t>服务器，动态</w:t>
            </w:r>
            <w:r>
              <w:rPr>
                <w:rFonts w:cs="宋体"/>
                <w:spacing w:val="-2"/>
                <w:sz w:val="24"/>
                <w:szCs w:val="24"/>
              </w:rPr>
              <w:t>IP</w:t>
            </w:r>
            <w:r>
              <w:rPr>
                <w:rFonts w:hint="eastAsia" w:cs="宋体"/>
                <w:spacing w:val="-2"/>
                <w:sz w:val="24"/>
                <w:szCs w:val="24"/>
              </w:rPr>
              <w:t>，保留地址，未启用</w:t>
            </w:r>
            <w:r>
              <w:rPr>
                <w:rFonts w:cs="宋体"/>
                <w:spacing w:val="-2"/>
                <w:sz w:val="24"/>
                <w:szCs w:val="24"/>
              </w:rPr>
              <w:t>IP</w:t>
            </w:r>
            <w:r>
              <w:rPr>
                <w:rFonts w:hint="eastAsia" w:cs="宋体"/>
                <w:spacing w:val="-2"/>
                <w:sz w:val="24"/>
                <w:szCs w:val="24"/>
              </w:rPr>
              <w:t>，</w:t>
            </w:r>
            <w:r>
              <w:rPr>
                <w:rFonts w:cs="宋体"/>
                <w:spacing w:val="-2"/>
                <w:sz w:val="24"/>
                <w:szCs w:val="24"/>
              </w:rPr>
              <w:t>HTTP</w:t>
            </w:r>
            <w:r>
              <w:rPr>
                <w:rFonts w:hint="eastAsia" w:cs="宋体"/>
                <w:spacing w:val="-2"/>
                <w:sz w:val="24"/>
                <w:szCs w:val="24"/>
              </w:rPr>
              <w:t>代理，</w:t>
            </w:r>
            <w:r>
              <w:rPr>
                <w:rFonts w:cs="宋体"/>
                <w:spacing w:val="-2"/>
                <w:sz w:val="24"/>
                <w:szCs w:val="24"/>
              </w:rPr>
              <w:t>Socks</w:t>
            </w:r>
            <w:r>
              <w:rPr>
                <w:rFonts w:hint="eastAsia" w:cs="宋体"/>
                <w:spacing w:val="-2"/>
                <w:sz w:val="24"/>
                <w:szCs w:val="24"/>
              </w:rPr>
              <w:t>代理，</w:t>
            </w:r>
            <w:r>
              <w:rPr>
                <w:rFonts w:cs="宋体"/>
                <w:spacing w:val="-2"/>
                <w:sz w:val="24"/>
                <w:szCs w:val="24"/>
              </w:rPr>
              <w:t>VPN</w:t>
            </w:r>
            <w:r>
              <w:rPr>
                <w:rFonts w:hint="eastAsia" w:cs="宋体"/>
                <w:spacing w:val="-2"/>
                <w:sz w:val="24"/>
                <w:szCs w:val="24"/>
              </w:rPr>
              <w:t>。连接云端状态下可达到</w:t>
            </w:r>
            <w:r>
              <w:rPr>
                <w:rFonts w:cs="宋体"/>
                <w:spacing w:val="-2"/>
                <w:sz w:val="24"/>
                <w:szCs w:val="24"/>
              </w:rPr>
              <w:t>42</w:t>
            </w:r>
            <w:r>
              <w:rPr>
                <w:rFonts w:hint="eastAsia" w:cs="宋体"/>
                <w:spacing w:val="-2"/>
                <w:sz w:val="24"/>
                <w:szCs w:val="24"/>
              </w:rPr>
              <w:t>亿全量</w:t>
            </w:r>
            <w:r>
              <w:rPr>
                <w:rFonts w:cs="宋体"/>
                <w:spacing w:val="-2"/>
                <w:sz w:val="24"/>
                <w:szCs w:val="24"/>
              </w:rPr>
              <w:t>IP</w:t>
            </w:r>
            <w:r>
              <w:rPr>
                <w:rFonts w:hint="eastAsia" w:cs="宋体"/>
                <w:spacing w:val="-2"/>
                <w:sz w:val="24"/>
                <w:szCs w:val="24"/>
              </w:rPr>
              <w:t>信誉。情报上下文要求包括威胁类型、风险等级、</w:t>
            </w:r>
            <w:r>
              <w:rPr>
                <w:rFonts w:cs="宋体"/>
                <w:spacing w:val="-2"/>
                <w:sz w:val="24"/>
                <w:szCs w:val="24"/>
              </w:rPr>
              <w:t>IP ASN</w:t>
            </w:r>
            <w:r>
              <w:rPr>
                <w:rFonts w:hint="eastAsia" w:cs="宋体"/>
                <w:spacing w:val="-2"/>
                <w:sz w:val="24"/>
                <w:szCs w:val="24"/>
              </w:rPr>
              <w:t>信息或地理位置信息</w:t>
            </w:r>
            <w:r>
              <w:rPr>
                <w:rFonts w:cs="宋体"/>
                <w:spacing w:val="-2"/>
                <w:sz w:val="24"/>
                <w:szCs w:val="24"/>
              </w:rPr>
              <w:t>(</w:t>
            </w:r>
            <w:r>
              <w:rPr>
                <w:rFonts w:hint="eastAsia" w:cs="宋体"/>
                <w:spacing w:val="-2"/>
                <w:sz w:val="24"/>
                <w:szCs w:val="24"/>
              </w:rPr>
              <w:t>所属国家、地区</w:t>
            </w:r>
            <w:r>
              <w:rPr>
                <w:rFonts w:cs="宋体"/>
                <w:spacing w:val="-2"/>
                <w:sz w:val="24"/>
                <w:szCs w:val="24"/>
              </w:rPr>
              <w:t>)</w:t>
            </w:r>
            <w:r>
              <w:rPr>
                <w:rFonts w:hint="eastAsia" w:cs="宋体"/>
                <w:spacing w:val="-2"/>
                <w:sz w:val="24"/>
                <w:szCs w:val="24"/>
              </w:rPr>
              <w:t>、是否为</w:t>
            </w:r>
            <w:r>
              <w:rPr>
                <w:rFonts w:cs="宋体"/>
                <w:spacing w:val="-2"/>
                <w:sz w:val="24"/>
                <w:szCs w:val="24"/>
              </w:rPr>
              <w:t>APT</w:t>
            </w:r>
            <w:r>
              <w:rPr>
                <w:rFonts w:hint="eastAsia" w:cs="宋体"/>
                <w:spacing w:val="-2"/>
                <w:sz w:val="24"/>
                <w:szCs w:val="24"/>
              </w:rPr>
              <w:t>攻击、通讯协议、应用协议、主机类型、</w:t>
            </w:r>
            <w:r>
              <w:rPr>
                <w:rFonts w:cs="宋体"/>
                <w:spacing w:val="-2"/>
                <w:sz w:val="24"/>
                <w:szCs w:val="24"/>
              </w:rPr>
              <w:t xml:space="preserve">TLP </w:t>
            </w:r>
            <w:r>
              <w:rPr>
                <w:rFonts w:hint="eastAsia" w:cs="宋体"/>
                <w:spacing w:val="-2"/>
                <w:sz w:val="24"/>
                <w:szCs w:val="24"/>
              </w:rPr>
              <w:t>红绿灯控制协议、关联黑客组织、相关家族、关联的样本、端口、安全事件信息、是否</w:t>
            </w:r>
            <w:r>
              <w:rPr>
                <w:rFonts w:cs="宋体"/>
                <w:spacing w:val="-2"/>
                <w:sz w:val="24"/>
                <w:szCs w:val="24"/>
              </w:rPr>
              <w:t>IDC</w:t>
            </w:r>
            <w:r>
              <w:rPr>
                <w:rFonts w:hint="eastAsia" w:cs="宋体"/>
                <w:spacing w:val="-2"/>
                <w:sz w:val="24"/>
                <w:szCs w:val="24"/>
              </w:rPr>
              <w:t>主机、是否动态</w:t>
            </w:r>
            <w:r>
              <w:rPr>
                <w:rFonts w:cs="宋体"/>
                <w:spacing w:val="-2"/>
                <w:sz w:val="24"/>
                <w:szCs w:val="24"/>
              </w:rPr>
              <w:t>IP</w:t>
            </w:r>
            <w:r>
              <w:rPr>
                <w:rFonts w:hint="eastAsia" w:cs="宋体"/>
                <w:spacing w:val="-2"/>
                <w:sz w:val="24"/>
                <w:szCs w:val="24"/>
              </w:rPr>
              <w:t>、是否傀倡机、是否</w:t>
            </w:r>
            <w:r>
              <w:rPr>
                <w:rFonts w:cs="宋体"/>
                <w:spacing w:val="-2"/>
                <w:sz w:val="24"/>
                <w:szCs w:val="24"/>
              </w:rPr>
              <w:t>VPN</w:t>
            </w:r>
            <w:r>
              <w:rPr>
                <w:rFonts w:hint="eastAsia" w:cs="宋体"/>
                <w:spacing w:val="-2"/>
                <w:sz w:val="24"/>
                <w:szCs w:val="24"/>
              </w:rPr>
              <w:t>、是否代理</w:t>
            </w:r>
            <w:r>
              <w:rPr>
                <w:rFonts w:cs="宋体"/>
                <w:spacing w:val="-2"/>
                <w:sz w:val="24"/>
                <w:szCs w:val="24"/>
              </w:rPr>
              <w:t>IP</w:t>
            </w:r>
            <w:r>
              <w:rPr>
                <w:rFonts w:hint="eastAsia" w:cs="宋体"/>
                <w:spacing w:val="-2"/>
                <w:sz w:val="24"/>
                <w:szCs w:val="24"/>
              </w:rPr>
              <w:t>等</w:t>
            </w:r>
            <w:r>
              <w:rPr>
                <w:rFonts w:cs="宋体"/>
                <w:spacing w:val="-2"/>
                <w:sz w:val="24"/>
                <w:szCs w:val="24"/>
              </w:rPr>
              <w:t>;IDC</w:t>
            </w:r>
            <w:r>
              <w:rPr>
                <w:rFonts w:hint="eastAsia" w:cs="宋体"/>
                <w:spacing w:val="-2"/>
                <w:sz w:val="24"/>
                <w:szCs w:val="24"/>
              </w:rPr>
              <w:t>主机和动态</w:t>
            </w:r>
            <w:r>
              <w:rPr>
                <w:rFonts w:cs="宋体"/>
                <w:spacing w:val="-2"/>
                <w:sz w:val="24"/>
                <w:szCs w:val="24"/>
              </w:rPr>
              <w:t>IP</w:t>
            </w:r>
            <w:r>
              <w:rPr>
                <w:rFonts w:hint="eastAsia" w:cs="宋体"/>
                <w:spacing w:val="-2"/>
                <w:sz w:val="24"/>
                <w:szCs w:val="24"/>
              </w:rPr>
              <w:t>、未启用</w:t>
            </w:r>
            <w:r>
              <w:rPr>
                <w:rFonts w:cs="宋体"/>
                <w:spacing w:val="-2"/>
                <w:sz w:val="24"/>
                <w:szCs w:val="24"/>
              </w:rPr>
              <w:t>IP</w:t>
            </w:r>
            <w:r>
              <w:rPr>
                <w:rFonts w:hint="eastAsia" w:cs="宋体"/>
                <w:spacing w:val="-2"/>
                <w:sz w:val="24"/>
                <w:szCs w:val="24"/>
              </w:rPr>
              <w:t>需要达到亿级别、傀儡机数量需达到千万级别、教育网、移动基站需达到千万级别、网关</w:t>
            </w:r>
            <w:r>
              <w:rPr>
                <w:rFonts w:cs="宋体"/>
                <w:spacing w:val="-2"/>
                <w:sz w:val="24"/>
                <w:szCs w:val="24"/>
              </w:rPr>
              <w:t>IP</w:t>
            </w:r>
            <w:r>
              <w:rPr>
                <w:rFonts w:hint="eastAsia" w:cs="宋体"/>
                <w:spacing w:val="-2"/>
                <w:sz w:val="24"/>
                <w:szCs w:val="24"/>
              </w:rPr>
              <w:t>、</w:t>
            </w:r>
            <w:r>
              <w:rPr>
                <w:rFonts w:cs="宋体"/>
                <w:spacing w:val="-2"/>
                <w:sz w:val="24"/>
                <w:szCs w:val="24"/>
              </w:rPr>
              <w:t>VPN/Tor</w:t>
            </w:r>
            <w:r>
              <w:rPr>
                <w:rFonts w:hint="eastAsia" w:cs="宋体"/>
                <w:spacing w:val="-2"/>
                <w:sz w:val="24"/>
                <w:szCs w:val="24"/>
              </w:rPr>
              <w:t>需要达到百万级别，实现</w:t>
            </w:r>
            <w:r>
              <w:rPr>
                <w:rFonts w:cs="宋体"/>
                <w:spacing w:val="-2"/>
                <w:sz w:val="24"/>
                <w:szCs w:val="24"/>
              </w:rPr>
              <w:t>IP</w:t>
            </w:r>
            <w:r>
              <w:rPr>
                <w:rFonts w:hint="eastAsia" w:cs="宋体"/>
                <w:spacing w:val="-2"/>
                <w:sz w:val="24"/>
                <w:szCs w:val="24"/>
              </w:rPr>
              <w:t>信誉数据的每日更新，傀儡机更新量级在每日十万级别。</w:t>
            </w:r>
            <w:r>
              <w:rPr>
                <w:rFonts w:hint="eastAsia"/>
                <w:b/>
                <w:spacing w:val="-2"/>
                <w:sz w:val="24"/>
                <w:szCs w:val="24"/>
              </w:rPr>
              <w:t>须提供截图证明，并加盖</w:t>
            </w:r>
            <w:r>
              <w:rPr>
                <w:rFonts w:hint="eastAsia"/>
                <w:b/>
                <w:sz w:val="24"/>
                <w:szCs w:val="24"/>
              </w:rPr>
              <w:t>投</w:t>
            </w:r>
            <w:r>
              <w:rPr>
                <w:b/>
                <w:sz w:val="24"/>
                <w:szCs w:val="24"/>
              </w:rPr>
              <w:t>标人</w:t>
            </w:r>
            <w:r>
              <w:rPr>
                <w:rFonts w:hint="eastAsia"/>
                <w:b/>
                <w:spacing w:val="-2"/>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宋体"/>
                <w:sz w:val="24"/>
                <w:szCs w:val="24"/>
              </w:rPr>
            </w:pPr>
            <w:r>
              <w:rPr>
                <w:rFonts w:hint="eastAsia" w:cs="宋体"/>
                <w:sz w:val="24"/>
                <w:szCs w:val="24"/>
              </w:rPr>
              <w:t>情报数据分析能力</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cs="宋体"/>
                <w:sz w:val="24"/>
                <w:szCs w:val="24"/>
              </w:rPr>
            </w:pPr>
            <w:r>
              <w:rPr>
                <w:rFonts w:hint="eastAsia"/>
                <w:sz w:val="24"/>
                <w:szCs w:val="24"/>
              </w:rPr>
              <w:t>▲</w:t>
            </w:r>
            <w:r>
              <w:rPr>
                <w:rFonts w:hint="eastAsia" w:cs="宋体"/>
                <w:sz w:val="24"/>
                <w:szCs w:val="24"/>
              </w:rPr>
              <w:t>可对所有情报数据提供附加的情报分析能力，支持分析的网络基础数据要求至少包含</w:t>
            </w:r>
            <w:r>
              <w:rPr>
                <w:rFonts w:cs="宋体"/>
                <w:sz w:val="24"/>
                <w:szCs w:val="24"/>
              </w:rPr>
              <w:t>Whois</w:t>
            </w:r>
            <w:r>
              <w:rPr>
                <w:rFonts w:hint="eastAsia" w:cs="宋体"/>
                <w:sz w:val="24"/>
                <w:szCs w:val="24"/>
              </w:rPr>
              <w:t>注册信息数据以及</w:t>
            </w:r>
            <w:r>
              <w:rPr>
                <w:rFonts w:cs="宋体"/>
                <w:sz w:val="24"/>
                <w:szCs w:val="24"/>
              </w:rPr>
              <w:t>10</w:t>
            </w:r>
            <w:r>
              <w:rPr>
                <w:rFonts w:hint="eastAsia" w:cs="宋体"/>
                <w:sz w:val="24"/>
                <w:szCs w:val="24"/>
              </w:rPr>
              <w:t>年历史数据，</w:t>
            </w:r>
            <w:r>
              <w:rPr>
                <w:rFonts w:cs="宋体"/>
                <w:sz w:val="24"/>
                <w:szCs w:val="24"/>
              </w:rPr>
              <w:t>PDNS</w:t>
            </w:r>
            <w:r>
              <w:rPr>
                <w:rFonts w:hint="eastAsia" w:cs="宋体"/>
                <w:sz w:val="24"/>
                <w:szCs w:val="24"/>
              </w:rPr>
              <w:t>数据以及</w:t>
            </w:r>
            <w:r>
              <w:rPr>
                <w:rFonts w:cs="宋体"/>
                <w:sz w:val="24"/>
                <w:szCs w:val="24"/>
              </w:rPr>
              <w:t>5</w:t>
            </w:r>
            <w:r>
              <w:rPr>
                <w:rFonts w:hint="eastAsia" w:cs="宋体"/>
                <w:sz w:val="24"/>
                <w:szCs w:val="24"/>
              </w:rPr>
              <w:t>年历史数据。</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sz w:val="24"/>
                <w:szCs w:val="24"/>
              </w:rPr>
              <w:t>攻击溯源</w:t>
            </w: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sz w:val="24"/>
                <w:szCs w:val="24"/>
              </w:rPr>
            </w:pPr>
            <w:r>
              <w:rPr>
                <w:rFonts w:hint="eastAsia"/>
                <w:sz w:val="24"/>
                <w:szCs w:val="24"/>
              </w:rPr>
              <w:t>▲支持溯源攻击日志中的</w:t>
            </w:r>
            <w:r>
              <w:rPr>
                <w:sz w:val="24"/>
                <w:szCs w:val="24"/>
              </w:rPr>
              <w:t>IP</w:t>
            </w:r>
            <w:r>
              <w:rPr>
                <w:rFonts w:hint="eastAsia"/>
                <w:sz w:val="24"/>
                <w:szCs w:val="24"/>
              </w:rPr>
              <w:t>地址、文件</w:t>
            </w:r>
            <w:r>
              <w:rPr>
                <w:sz w:val="24"/>
                <w:szCs w:val="24"/>
              </w:rPr>
              <w:t>MD5</w:t>
            </w:r>
            <w:r>
              <w:rPr>
                <w:rFonts w:hint="eastAsia"/>
                <w:sz w:val="24"/>
                <w:szCs w:val="24"/>
              </w:rPr>
              <w:t>、</w:t>
            </w:r>
            <w:r>
              <w:rPr>
                <w:sz w:val="24"/>
                <w:szCs w:val="24"/>
              </w:rPr>
              <w:t>URL</w:t>
            </w:r>
            <w:r>
              <w:rPr>
                <w:rFonts w:hint="eastAsia"/>
                <w:sz w:val="24"/>
                <w:szCs w:val="24"/>
              </w:rPr>
              <w:t>等进行溯源；如</w:t>
            </w:r>
            <w:r>
              <w:rPr>
                <w:sz w:val="24"/>
                <w:szCs w:val="24"/>
              </w:rPr>
              <w:t>IP</w:t>
            </w:r>
            <w:r>
              <w:rPr>
                <w:rFonts w:hint="eastAsia"/>
                <w:sz w:val="24"/>
                <w:szCs w:val="24"/>
              </w:rPr>
              <w:t>地址溯源，可展示地理信息、开放端口、主机操作系统、对外提供的服务、相关联域名、</w:t>
            </w:r>
            <w:r>
              <w:rPr>
                <w:sz w:val="24"/>
                <w:szCs w:val="24"/>
              </w:rPr>
              <w:t>ASN</w:t>
            </w:r>
            <w:r>
              <w:rPr>
                <w:rFonts w:hint="eastAsia"/>
                <w:sz w:val="24"/>
                <w:szCs w:val="24"/>
              </w:rPr>
              <w:t>信息、</w:t>
            </w:r>
            <w:r>
              <w:rPr>
                <w:sz w:val="24"/>
                <w:szCs w:val="24"/>
              </w:rPr>
              <w:t>Whois</w:t>
            </w:r>
            <w:r>
              <w:rPr>
                <w:rFonts w:hint="eastAsia"/>
                <w:sz w:val="24"/>
                <w:szCs w:val="24"/>
              </w:rPr>
              <w:t>信息、</w:t>
            </w:r>
            <w:r>
              <w:rPr>
                <w:sz w:val="24"/>
                <w:szCs w:val="24"/>
              </w:rPr>
              <w:t>ICP</w:t>
            </w:r>
            <w:r>
              <w:rPr>
                <w:rFonts w:hint="eastAsia"/>
                <w:sz w:val="24"/>
                <w:szCs w:val="24"/>
              </w:rPr>
              <w:t>备案信息等。</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攻击响应</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系统应提供丰富的响应方式，包括：告警、阻断、</w:t>
            </w:r>
            <w:r>
              <w:rPr>
                <w:sz w:val="24"/>
                <w:szCs w:val="24"/>
              </w:rPr>
              <w:t>IP</w:t>
            </w:r>
            <w:r>
              <w:rPr>
                <w:rFonts w:hint="eastAsia"/>
                <w:sz w:val="24"/>
                <w:szCs w:val="24"/>
              </w:rPr>
              <w:t>隔离、抓包等，满足用户各种响应需求。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系统应具备攻击快照功能，获取攻击数据包，详细记录触发告警的数据特征，以便做进一步的事件分析。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地理</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bCs/>
                <w:spacing w:val="-2"/>
                <w:sz w:val="24"/>
                <w:szCs w:val="24"/>
              </w:rPr>
            </w:pPr>
            <w:r>
              <w:rPr>
                <w:rFonts w:hint="eastAsia"/>
                <w:bCs/>
                <w:spacing w:val="-2"/>
                <w:sz w:val="24"/>
                <w:szCs w:val="24"/>
              </w:rPr>
              <w:t>系统需提供公网地理库，能够在日志中展示攻击源</w:t>
            </w:r>
            <w:r>
              <w:rPr>
                <w:bCs/>
                <w:spacing w:val="-2"/>
                <w:sz w:val="24"/>
                <w:szCs w:val="24"/>
              </w:rPr>
              <w:t>IP</w:t>
            </w:r>
            <w:r>
              <w:rPr>
                <w:rFonts w:hint="eastAsia"/>
                <w:bCs/>
                <w:spacing w:val="-2"/>
                <w:sz w:val="24"/>
                <w:szCs w:val="24"/>
              </w:rPr>
              <w:t>的地理信息。能够定义私网</w:t>
            </w:r>
            <w:r>
              <w:rPr>
                <w:bCs/>
                <w:spacing w:val="-2"/>
                <w:sz w:val="24"/>
                <w:szCs w:val="24"/>
              </w:rPr>
              <w:t>IP</w:t>
            </w:r>
            <w:r>
              <w:rPr>
                <w:rFonts w:hint="eastAsia"/>
                <w:bCs/>
                <w:spacing w:val="-2"/>
                <w:sz w:val="24"/>
                <w:szCs w:val="24"/>
              </w:rPr>
              <w:t>地址或地址段，避免与公网重合时误展示为公网地址。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用户认证</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pacing w:val="-2"/>
                <w:sz w:val="24"/>
                <w:szCs w:val="24"/>
              </w:rPr>
            </w:pPr>
            <w:r>
              <w:rPr>
                <w:rFonts w:hint="eastAsia"/>
                <w:spacing w:val="-2"/>
                <w:sz w:val="24"/>
                <w:szCs w:val="24"/>
              </w:rPr>
              <w:t>系统应具备用户身份识别能力，具有基于用户身份进行策略配置、日志记录与查询；具有自动与手动获取用户信息列表并生成组织结构图。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智能用户</w:t>
            </w:r>
          </w:p>
          <w:p>
            <w:pPr>
              <w:spacing w:line="320" w:lineRule="exact"/>
              <w:jc w:val="center"/>
              <w:rPr>
                <w:bCs/>
                <w:sz w:val="24"/>
                <w:szCs w:val="24"/>
              </w:rPr>
            </w:pPr>
            <w:r>
              <w:rPr>
                <w:rFonts w:hint="eastAsia"/>
                <w:bCs/>
                <w:sz w:val="24"/>
                <w:szCs w:val="24"/>
              </w:rPr>
              <w:t>识别</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▲能够有效识别某</w:t>
            </w:r>
            <w:r>
              <w:rPr>
                <w:sz w:val="24"/>
                <w:szCs w:val="24"/>
              </w:rPr>
              <w:t>IP</w:t>
            </w:r>
            <w:r>
              <w:rPr>
                <w:rFonts w:hint="eastAsia"/>
                <w:sz w:val="24"/>
                <w:szCs w:val="24"/>
              </w:rPr>
              <w:t>上登录的用户并将用户名关联在该</w:t>
            </w:r>
            <w:r>
              <w:rPr>
                <w:sz w:val="24"/>
                <w:szCs w:val="24"/>
              </w:rPr>
              <w:t>IP</w:t>
            </w:r>
            <w:r>
              <w:rPr>
                <w:rFonts w:hint="eastAsia"/>
                <w:sz w:val="24"/>
                <w:szCs w:val="24"/>
              </w:rPr>
              <w:t>触发的安全事件上。用户信息来源于：网站登录用户、数据库用户、远程登录用户、即时通讯用户、文件传输、邮件用户等。</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服务器异常防护</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系统应提供服务器异常告警功能，可以手动添加或自学习服务器外联行为，并以此为基线检测服务器非法外联行为。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敏感数据</w:t>
            </w:r>
          </w:p>
          <w:p>
            <w:pPr>
              <w:spacing w:line="320" w:lineRule="exact"/>
              <w:jc w:val="center"/>
              <w:rPr>
                <w:bCs/>
                <w:sz w:val="24"/>
                <w:szCs w:val="24"/>
              </w:rPr>
            </w:pPr>
            <w:r>
              <w:rPr>
                <w:rFonts w:hint="eastAsia"/>
                <w:bCs/>
                <w:sz w:val="24"/>
                <w:szCs w:val="24"/>
              </w:rPr>
              <w:t>保护</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系统应提供敏感数据保护功能，能够识别、阻断超过阈值的敏感数据信息（身份证号、银行卡、手机号等）。</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文件管控</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系统应提供关键文件保护功能，能够识别、阻断通过自身的关键文件，以防止非法外传行为。能识别的关键文件类型应包含至少以下几类：文档类如</w:t>
            </w:r>
            <w:r>
              <w:rPr>
                <w:sz w:val="24"/>
                <w:szCs w:val="24"/>
              </w:rPr>
              <w:t>Excel</w:t>
            </w:r>
            <w:r>
              <w:rPr>
                <w:rFonts w:hint="eastAsia"/>
                <w:sz w:val="24"/>
                <w:szCs w:val="24"/>
              </w:rPr>
              <w:t>、</w:t>
            </w:r>
            <w:r>
              <w:rPr>
                <w:sz w:val="24"/>
                <w:szCs w:val="24"/>
              </w:rPr>
              <w:t>PDF</w:t>
            </w:r>
            <w:r>
              <w:rPr>
                <w:rFonts w:hint="eastAsia"/>
                <w:sz w:val="24"/>
                <w:szCs w:val="24"/>
              </w:rPr>
              <w:t>、</w:t>
            </w:r>
            <w:r>
              <w:rPr>
                <w:sz w:val="24"/>
                <w:szCs w:val="24"/>
              </w:rPr>
              <w:t>PowerPoint</w:t>
            </w:r>
            <w:r>
              <w:rPr>
                <w:rFonts w:hint="eastAsia"/>
                <w:sz w:val="24"/>
                <w:szCs w:val="24"/>
              </w:rPr>
              <w:t>、</w:t>
            </w:r>
            <w:r>
              <w:rPr>
                <w:sz w:val="24"/>
                <w:szCs w:val="24"/>
              </w:rPr>
              <w:t>Word</w:t>
            </w:r>
            <w:r>
              <w:rPr>
                <w:rFonts w:hint="eastAsia"/>
                <w:sz w:val="24"/>
                <w:szCs w:val="24"/>
              </w:rPr>
              <w:t>等，压缩文件类如</w:t>
            </w:r>
            <w:r>
              <w:rPr>
                <w:sz w:val="24"/>
                <w:szCs w:val="24"/>
              </w:rPr>
              <w:t>CAB</w:t>
            </w:r>
            <w:r>
              <w:rPr>
                <w:rFonts w:hint="eastAsia"/>
                <w:sz w:val="24"/>
                <w:szCs w:val="24"/>
              </w:rPr>
              <w:t>、</w:t>
            </w:r>
            <w:r>
              <w:rPr>
                <w:sz w:val="24"/>
                <w:szCs w:val="24"/>
              </w:rPr>
              <w:t>GZIP</w:t>
            </w:r>
            <w:r>
              <w:rPr>
                <w:rFonts w:hint="eastAsia"/>
                <w:sz w:val="24"/>
                <w:szCs w:val="24"/>
              </w:rPr>
              <w:t>、</w:t>
            </w:r>
            <w:r>
              <w:rPr>
                <w:sz w:val="24"/>
                <w:szCs w:val="24"/>
              </w:rPr>
              <w:t>RAR</w:t>
            </w:r>
            <w:r>
              <w:rPr>
                <w:rFonts w:hint="eastAsia"/>
                <w:sz w:val="24"/>
                <w:szCs w:val="24"/>
              </w:rPr>
              <w:t>、</w:t>
            </w:r>
            <w:r>
              <w:rPr>
                <w:sz w:val="24"/>
                <w:szCs w:val="24"/>
              </w:rPr>
              <w:t>ZIP</w:t>
            </w:r>
            <w:r>
              <w:rPr>
                <w:rFonts w:hint="eastAsia"/>
                <w:sz w:val="24"/>
                <w:szCs w:val="24"/>
              </w:rPr>
              <w:t>、</w:t>
            </w:r>
            <w:r>
              <w:rPr>
                <w:sz w:val="24"/>
                <w:szCs w:val="24"/>
              </w:rPr>
              <w:t>JAR</w:t>
            </w:r>
            <w:r>
              <w:rPr>
                <w:rFonts w:hint="eastAsia"/>
                <w:sz w:val="24"/>
                <w:szCs w:val="24"/>
              </w:rPr>
              <w:t>等，图像类如</w:t>
            </w:r>
            <w:r>
              <w:rPr>
                <w:sz w:val="24"/>
                <w:szCs w:val="24"/>
              </w:rPr>
              <w:t>BMP</w:t>
            </w:r>
            <w:r>
              <w:rPr>
                <w:rFonts w:hint="eastAsia"/>
                <w:sz w:val="24"/>
                <w:szCs w:val="24"/>
              </w:rPr>
              <w:t>、</w:t>
            </w:r>
            <w:r>
              <w:rPr>
                <w:sz w:val="24"/>
                <w:szCs w:val="24"/>
              </w:rPr>
              <w:t>GIF</w:t>
            </w:r>
            <w:r>
              <w:rPr>
                <w:rFonts w:hint="eastAsia"/>
                <w:sz w:val="24"/>
                <w:szCs w:val="24"/>
              </w:rPr>
              <w:t>、</w:t>
            </w:r>
            <w:r>
              <w:rPr>
                <w:sz w:val="24"/>
                <w:szCs w:val="24"/>
              </w:rPr>
              <w:t>JPEG</w:t>
            </w:r>
            <w:r>
              <w:rPr>
                <w:rFonts w:hint="eastAsia"/>
                <w:sz w:val="24"/>
                <w:szCs w:val="24"/>
              </w:rPr>
              <w:t>等，音频视频类如</w:t>
            </w:r>
            <w:r>
              <w:rPr>
                <w:sz w:val="24"/>
                <w:szCs w:val="24"/>
              </w:rPr>
              <w:t>MP3</w:t>
            </w:r>
            <w:r>
              <w:rPr>
                <w:rFonts w:hint="eastAsia"/>
                <w:sz w:val="24"/>
                <w:szCs w:val="24"/>
              </w:rPr>
              <w:t>、</w:t>
            </w:r>
            <w:r>
              <w:rPr>
                <w:sz w:val="24"/>
                <w:szCs w:val="24"/>
              </w:rPr>
              <w:t>AVI</w:t>
            </w:r>
            <w:r>
              <w:rPr>
                <w:rFonts w:hint="eastAsia"/>
                <w:sz w:val="24"/>
                <w:szCs w:val="24"/>
              </w:rPr>
              <w:t>、</w:t>
            </w:r>
            <w:r>
              <w:rPr>
                <w:sz w:val="24"/>
                <w:szCs w:val="24"/>
              </w:rPr>
              <w:t>MKV</w:t>
            </w:r>
            <w:r>
              <w:rPr>
                <w:rFonts w:hint="eastAsia"/>
                <w:sz w:val="24"/>
                <w:szCs w:val="24"/>
              </w:rPr>
              <w:t>、</w:t>
            </w:r>
            <w:r>
              <w:rPr>
                <w:sz w:val="24"/>
                <w:szCs w:val="24"/>
              </w:rPr>
              <w:t>MP4</w:t>
            </w:r>
            <w:r>
              <w:rPr>
                <w:rFonts w:hint="eastAsia"/>
                <w:sz w:val="24"/>
                <w:szCs w:val="24"/>
              </w:rPr>
              <w:t>、</w:t>
            </w:r>
            <w:r>
              <w:rPr>
                <w:sz w:val="24"/>
                <w:szCs w:val="24"/>
              </w:rPr>
              <w:t>MPEG</w:t>
            </w:r>
            <w:r>
              <w:rPr>
                <w:rFonts w:hint="eastAsia"/>
                <w:sz w:val="24"/>
                <w:szCs w:val="24"/>
              </w:rPr>
              <w:t>、</w:t>
            </w:r>
            <w:r>
              <w:rPr>
                <w:sz w:val="24"/>
                <w:szCs w:val="24"/>
              </w:rPr>
              <w:t>WMV</w:t>
            </w:r>
            <w:r>
              <w:rPr>
                <w:rFonts w:hint="eastAsia"/>
                <w:sz w:val="24"/>
                <w:szCs w:val="24"/>
              </w:rPr>
              <w:t>等，脚本类如</w:t>
            </w:r>
            <w:r>
              <w:rPr>
                <w:sz w:val="24"/>
                <w:szCs w:val="24"/>
              </w:rPr>
              <w:t>BAT</w:t>
            </w:r>
            <w:r>
              <w:rPr>
                <w:rFonts w:hint="eastAsia"/>
                <w:sz w:val="24"/>
                <w:szCs w:val="24"/>
              </w:rPr>
              <w:t>、</w:t>
            </w:r>
            <w:r>
              <w:rPr>
                <w:sz w:val="24"/>
                <w:szCs w:val="24"/>
              </w:rPr>
              <w:t>CMD</w:t>
            </w:r>
            <w:r>
              <w:rPr>
                <w:rFonts w:hint="eastAsia"/>
                <w:sz w:val="24"/>
                <w:szCs w:val="24"/>
              </w:rPr>
              <w:t>、</w:t>
            </w:r>
            <w:r>
              <w:rPr>
                <w:sz w:val="24"/>
                <w:szCs w:val="24"/>
              </w:rPr>
              <w:t>WSF</w:t>
            </w:r>
            <w:r>
              <w:rPr>
                <w:rFonts w:hint="eastAsia"/>
                <w:sz w:val="24"/>
                <w:szCs w:val="24"/>
              </w:rPr>
              <w:t>等，程序类如</w:t>
            </w:r>
            <w:r>
              <w:rPr>
                <w:sz w:val="24"/>
                <w:szCs w:val="24"/>
              </w:rPr>
              <w:t>APK</w:t>
            </w:r>
            <w:r>
              <w:rPr>
                <w:rFonts w:hint="eastAsia"/>
                <w:sz w:val="24"/>
                <w:szCs w:val="24"/>
              </w:rPr>
              <w:t>、</w:t>
            </w:r>
            <w:r>
              <w:rPr>
                <w:sz w:val="24"/>
                <w:szCs w:val="24"/>
              </w:rPr>
              <w:t>DLL</w:t>
            </w:r>
            <w:r>
              <w:rPr>
                <w:rFonts w:hint="eastAsia"/>
                <w:sz w:val="24"/>
                <w:szCs w:val="24"/>
              </w:rPr>
              <w:t>、</w:t>
            </w:r>
            <w:r>
              <w:rPr>
                <w:sz w:val="24"/>
                <w:szCs w:val="24"/>
              </w:rPr>
              <w:t>EXE</w:t>
            </w:r>
            <w:r>
              <w:rPr>
                <w:rFonts w:hint="eastAsia"/>
                <w:sz w:val="24"/>
                <w:szCs w:val="24"/>
              </w:rPr>
              <w:t>、</w:t>
            </w:r>
            <w:r>
              <w:rPr>
                <w:sz w:val="24"/>
                <w:szCs w:val="24"/>
              </w:rPr>
              <w:t>JAVA_CLASS</w:t>
            </w:r>
            <w:r>
              <w:rPr>
                <w:rFonts w:hint="eastAsia"/>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kern w:val="0"/>
                <w:sz w:val="24"/>
                <w:szCs w:val="24"/>
              </w:rPr>
            </w:pPr>
            <w:r>
              <w:rPr>
                <w:rFonts w:hint="eastAsia" w:cs="Arial"/>
                <w:kern w:val="0"/>
                <w:sz w:val="24"/>
                <w:szCs w:val="24"/>
              </w:rPr>
              <w:t>应用识别</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cs="Arial"/>
                <w:kern w:val="0"/>
                <w:sz w:val="24"/>
                <w:szCs w:val="24"/>
              </w:rPr>
              <w:t>系统应能识别主流的应用程序，识别不少于</w:t>
            </w:r>
            <w:r>
              <w:rPr>
                <w:rFonts w:cs="Arial"/>
                <w:kern w:val="0"/>
                <w:sz w:val="24"/>
                <w:szCs w:val="24"/>
              </w:rPr>
              <w:t>6000</w:t>
            </w:r>
            <w:r>
              <w:rPr>
                <w:rFonts w:hint="eastAsia" w:cs="Arial"/>
                <w:kern w:val="0"/>
                <w:sz w:val="24"/>
                <w:szCs w:val="24"/>
              </w:rPr>
              <w:t>个应用。具有至少</w:t>
            </w:r>
            <w:r>
              <w:rPr>
                <w:rFonts w:cs="Arial"/>
                <w:kern w:val="0"/>
                <w:sz w:val="24"/>
                <w:szCs w:val="24"/>
              </w:rPr>
              <w:t>5G</w:t>
            </w:r>
            <w:r>
              <w:rPr>
                <w:rFonts w:hint="eastAsia" w:cs="Arial"/>
                <w:kern w:val="0"/>
                <w:sz w:val="24"/>
                <w:szCs w:val="24"/>
              </w:rPr>
              <w:t>应用，具有</w:t>
            </w:r>
            <w:r>
              <w:rPr>
                <w:rFonts w:cs="Arial"/>
                <w:kern w:val="0"/>
                <w:sz w:val="24"/>
                <w:szCs w:val="24"/>
              </w:rPr>
              <w:t>PFCP</w:t>
            </w:r>
            <w:r>
              <w:rPr>
                <w:rFonts w:hint="eastAsia" w:cs="Arial"/>
                <w:kern w:val="0"/>
                <w:sz w:val="24"/>
                <w:szCs w:val="24"/>
              </w:rPr>
              <w:t>、</w:t>
            </w:r>
            <w:r>
              <w:rPr>
                <w:rFonts w:cs="Arial"/>
                <w:kern w:val="0"/>
                <w:sz w:val="24"/>
                <w:szCs w:val="24"/>
              </w:rPr>
              <w:t>NAS</w:t>
            </w:r>
            <w:r>
              <w:rPr>
                <w:rFonts w:hint="eastAsia" w:cs="Arial"/>
                <w:kern w:val="0"/>
                <w:sz w:val="24"/>
                <w:szCs w:val="24"/>
              </w:rPr>
              <w:t>、</w:t>
            </w:r>
            <w:r>
              <w:rPr>
                <w:rFonts w:cs="Arial"/>
                <w:kern w:val="0"/>
                <w:sz w:val="24"/>
                <w:szCs w:val="24"/>
              </w:rPr>
              <w:t>HTTP2</w:t>
            </w:r>
            <w:r>
              <w:rPr>
                <w:rFonts w:hint="eastAsia" w:cs="Arial"/>
                <w:kern w:val="0"/>
                <w:sz w:val="24"/>
                <w:szCs w:val="24"/>
              </w:rPr>
              <w:t>、</w:t>
            </w:r>
            <w:r>
              <w:rPr>
                <w:rFonts w:cs="Arial"/>
                <w:kern w:val="0"/>
                <w:sz w:val="24"/>
                <w:szCs w:val="24"/>
              </w:rPr>
              <w:t>SIGTRAN</w:t>
            </w:r>
            <w:r>
              <w:rPr>
                <w:rFonts w:hint="eastAsia" w:cs="Arial"/>
                <w:kern w:val="0"/>
                <w:sz w:val="24"/>
                <w:szCs w:val="24"/>
              </w:rPr>
              <w:t>、</w:t>
            </w:r>
            <w:r>
              <w:rPr>
                <w:rFonts w:cs="Arial"/>
                <w:kern w:val="0"/>
                <w:sz w:val="24"/>
                <w:szCs w:val="24"/>
              </w:rPr>
              <w:t>S1AP</w:t>
            </w:r>
            <w:r>
              <w:rPr>
                <w:rFonts w:hint="eastAsia" w:cs="Arial"/>
                <w:kern w:val="0"/>
                <w:sz w:val="24"/>
                <w:szCs w:val="24"/>
              </w:rPr>
              <w:t>、</w:t>
            </w:r>
            <w:r>
              <w:rPr>
                <w:rFonts w:cs="Arial"/>
                <w:kern w:val="0"/>
                <w:sz w:val="24"/>
                <w:szCs w:val="24"/>
              </w:rPr>
              <w:t>MML</w:t>
            </w:r>
            <w:r>
              <w:rPr>
                <w:rFonts w:hint="eastAsia" w:cs="Arial"/>
                <w:kern w:val="0"/>
                <w:sz w:val="24"/>
                <w:szCs w:val="24"/>
              </w:rPr>
              <w:t>等协议；至少</w:t>
            </w:r>
            <w:r>
              <w:rPr>
                <w:rFonts w:cs="Arial"/>
                <w:kern w:val="0"/>
                <w:sz w:val="24"/>
                <w:szCs w:val="24"/>
              </w:rPr>
              <w:t>20</w:t>
            </w:r>
            <w:r>
              <w:rPr>
                <w:rFonts w:hint="eastAsia" w:cs="Arial"/>
                <w:kern w:val="0"/>
                <w:sz w:val="24"/>
                <w:szCs w:val="24"/>
              </w:rPr>
              <w:t>种工控协议，如</w:t>
            </w:r>
            <w:r>
              <w:rPr>
                <w:rFonts w:cs="Arial"/>
                <w:kern w:val="0"/>
                <w:sz w:val="24"/>
                <w:szCs w:val="24"/>
              </w:rPr>
              <w:t>IEC 60870 104</w:t>
            </w:r>
            <w:r>
              <w:rPr>
                <w:rFonts w:hint="eastAsia" w:cs="Arial"/>
                <w:kern w:val="0"/>
                <w:sz w:val="24"/>
                <w:szCs w:val="24"/>
              </w:rPr>
              <w:t>、</w:t>
            </w:r>
            <w:r>
              <w:rPr>
                <w:rFonts w:cs="Arial"/>
                <w:kern w:val="0"/>
                <w:sz w:val="24"/>
                <w:szCs w:val="24"/>
              </w:rPr>
              <w:t>DNP3</w:t>
            </w:r>
            <w:r>
              <w:rPr>
                <w:rFonts w:hint="eastAsia" w:cs="Arial"/>
                <w:kern w:val="0"/>
                <w:sz w:val="24"/>
                <w:szCs w:val="24"/>
              </w:rPr>
              <w:t>、</w:t>
            </w:r>
            <w:r>
              <w:rPr>
                <w:rFonts w:cs="Arial"/>
                <w:kern w:val="0"/>
                <w:sz w:val="24"/>
                <w:szCs w:val="24"/>
              </w:rPr>
              <w:t>CIP</w:t>
            </w:r>
            <w:r>
              <w:rPr>
                <w:rFonts w:hint="eastAsia" w:cs="Arial"/>
                <w:kern w:val="0"/>
                <w:sz w:val="24"/>
                <w:szCs w:val="24"/>
              </w:rPr>
              <w:t>、</w:t>
            </w:r>
            <w:r>
              <w:rPr>
                <w:rFonts w:cs="Arial"/>
                <w:kern w:val="0"/>
                <w:sz w:val="24"/>
                <w:szCs w:val="24"/>
              </w:rPr>
              <w:t>Modbus</w:t>
            </w:r>
            <w:r>
              <w:rPr>
                <w:rFonts w:hint="eastAsia" w:cs="Arial"/>
                <w:kern w:val="0"/>
                <w:sz w:val="24"/>
                <w:szCs w:val="24"/>
              </w:rPr>
              <w:t>、</w:t>
            </w:r>
            <w:r>
              <w:rPr>
                <w:rFonts w:cs="Arial"/>
                <w:kern w:val="0"/>
                <w:sz w:val="24"/>
                <w:szCs w:val="24"/>
              </w:rPr>
              <w:t xml:space="preserve">LonWorks </w:t>
            </w:r>
            <w:r>
              <w:rPr>
                <w:rFonts w:hint="eastAsia" w:cs="Arial"/>
                <w:kern w:val="0"/>
                <w:sz w:val="24"/>
                <w:szCs w:val="24"/>
              </w:rPr>
              <w:t>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kern w:val="0"/>
                <w:sz w:val="24"/>
                <w:szCs w:val="24"/>
              </w:rPr>
            </w:pPr>
            <w:r>
              <w:rPr>
                <w:rFonts w:hint="eastAsia" w:cs="Arial"/>
                <w:kern w:val="0"/>
                <w:sz w:val="24"/>
                <w:szCs w:val="24"/>
              </w:rPr>
              <w:t>流量管理</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cs="Arial"/>
                <w:kern w:val="0"/>
                <w:sz w:val="24"/>
                <w:szCs w:val="24"/>
              </w:rPr>
              <w:t>系统应提供灵活的流量管理功能，可以根据用户、应用、目的</w:t>
            </w:r>
            <w:r>
              <w:rPr>
                <w:rFonts w:cs="Arial"/>
                <w:kern w:val="0"/>
                <w:sz w:val="24"/>
                <w:szCs w:val="24"/>
              </w:rPr>
              <w:t>IP</w:t>
            </w:r>
            <w:r>
              <w:rPr>
                <w:rFonts w:hint="eastAsia" w:cs="Arial"/>
                <w:kern w:val="0"/>
                <w:sz w:val="24"/>
                <w:szCs w:val="24"/>
              </w:rPr>
              <w:t>地址、时间及带宽等因素，实现基于应用、面向对象的流量保护策略。通过流量许可和优先级控制，阻断一切非授权用户流量，并结合最小带宽保证、最大带宽限制、会话限制和每</w:t>
            </w:r>
            <w:r>
              <w:rPr>
                <w:rFonts w:cs="Arial"/>
                <w:kern w:val="0"/>
                <w:sz w:val="24"/>
                <w:szCs w:val="24"/>
              </w:rPr>
              <w:t>IP</w:t>
            </w:r>
            <w:r>
              <w:rPr>
                <w:rFonts w:hint="eastAsia" w:cs="Arial"/>
                <w:kern w:val="0"/>
                <w:sz w:val="24"/>
                <w:szCs w:val="24"/>
              </w:rPr>
              <w:t>设置等功能，有效保证关键应用全天候畅通无阻。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kern w:val="0"/>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sz w:val="24"/>
                <w:szCs w:val="24"/>
              </w:rPr>
              <w:t>▲</w:t>
            </w:r>
            <w:r>
              <w:rPr>
                <w:rFonts w:hint="eastAsia" w:cs="Arial"/>
                <w:kern w:val="0"/>
                <w:sz w:val="24"/>
                <w:szCs w:val="24"/>
              </w:rPr>
              <w:t>系统需具有对超限流量的</w:t>
            </w:r>
            <w:r>
              <w:rPr>
                <w:rFonts w:cs="Arial"/>
                <w:kern w:val="0"/>
                <w:sz w:val="24"/>
                <w:szCs w:val="24"/>
              </w:rPr>
              <w:t>IP</w:t>
            </w:r>
            <w:r>
              <w:rPr>
                <w:rFonts w:hint="eastAsia" w:cs="Arial"/>
                <w:kern w:val="0"/>
                <w:sz w:val="24"/>
                <w:szCs w:val="24"/>
              </w:rPr>
              <w:t>进行一键限速，快速处理异常流量</w:t>
            </w:r>
            <w:r>
              <w:rPr>
                <w:rFonts w:cs="Arial"/>
                <w:kern w:val="0"/>
                <w:sz w:val="24"/>
                <w:szCs w:val="24"/>
              </w:rPr>
              <w:t>IP</w:t>
            </w:r>
            <w:r>
              <w:rPr>
                <w:rFonts w:hint="eastAsia" w:cs="Arial"/>
                <w:kern w:val="0"/>
                <w:sz w:val="24"/>
                <w:szCs w:val="24"/>
              </w:rPr>
              <w:t>，</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5"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sz w:val="24"/>
                <w:szCs w:val="24"/>
              </w:rPr>
            </w:pPr>
            <w:r>
              <w:rPr>
                <w:rFonts w:hint="eastAsia"/>
                <w:bCs/>
                <w:sz w:val="24"/>
                <w:szCs w:val="24"/>
              </w:rPr>
              <w:t>日志报表</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系统各检测模块，应具备实时的日志归并功能，可以根据用户需要，按照告警事件的源</w:t>
            </w:r>
            <w:r>
              <w:rPr>
                <w:sz w:val="24"/>
                <w:szCs w:val="24"/>
              </w:rPr>
              <w:t>/</w:t>
            </w:r>
            <w:r>
              <w:rPr>
                <w:rFonts w:hint="eastAsia"/>
                <w:sz w:val="24"/>
                <w:szCs w:val="24"/>
              </w:rPr>
              <w:t>目的</w:t>
            </w:r>
            <w:r>
              <w:rPr>
                <w:sz w:val="24"/>
                <w:szCs w:val="24"/>
              </w:rPr>
              <w:t>IP</w:t>
            </w:r>
            <w:r>
              <w:rPr>
                <w:rFonts w:hint="eastAsia"/>
                <w:sz w:val="24"/>
                <w:szCs w:val="24"/>
              </w:rPr>
              <w:t>、事件类型等信息，对告警日志执行归并，有效抵御告警风暴。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日志可选择备份到本地</w:t>
            </w:r>
            <w:r>
              <w:rPr>
                <w:sz w:val="24"/>
                <w:szCs w:val="24"/>
              </w:rPr>
              <w:t>PC</w:t>
            </w:r>
            <w:r>
              <w:rPr>
                <w:rFonts w:hint="eastAsia"/>
                <w:sz w:val="24"/>
                <w:szCs w:val="24"/>
              </w:rPr>
              <w:t>、日志备份到</w:t>
            </w:r>
            <w:r>
              <w:rPr>
                <w:sz w:val="24"/>
                <w:szCs w:val="24"/>
              </w:rPr>
              <w:t>FTP</w:t>
            </w:r>
            <w:r>
              <w:rPr>
                <w:rFonts w:hint="eastAsia"/>
                <w:sz w:val="24"/>
                <w:szCs w:val="24"/>
              </w:rPr>
              <w:t>服务器。可选择备份的日志类型、备份某时间段日志、备份周期、备份是否加密。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szCs w:val="24"/>
              </w:rPr>
            </w:pPr>
            <w:r>
              <w:rPr>
                <w:rFonts w:hint="eastAsia"/>
                <w:sz w:val="24"/>
                <w:szCs w:val="24"/>
              </w:rPr>
              <w:t>▲具有自定义报表模板，可设置报表封面、</w:t>
            </w:r>
            <w:r>
              <w:rPr>
                <w:sz w:val="24"/>
                <w:szCs w:val="24"/>
              </w:rPr>
              <w:t>logo</w:t>
            </w:r>
            <w:r>
              <w:rPr>
                <w:rFonts w:hint="eastAsia"/>
                <w:sz w:val="24"/>
                <w:szCs w:val="24"/>
              </w:rPr>
              <w:t>等信息；可选报表维度、可配置过滤条件、可设置执行周期、数据统计区间、并可配置报表格式和输出方式（如本地存储、邮件外发或</w:t>
            </w:r>
            <w:r>
              <w:rPr>
                <w:sz w:val="24"/>
                <w:szCs w:val="24"/>
              </w:rPr>
              <w:t>FTP</w:t>
            </w:r>
            <w:r>
              <w:rPr>
                <w:rFonts w:hint="eastAsia"/>
                <w:sz w:val="24"/>
                <w:szCs w:val="24"/>
              </w:rPr>
              <w:t>外发）；具有设置手动报表、自动报表。</w:t>
            </w:r>
            <w:r>
              <w:rPr>
                <w:rFonts w:hint="eastAsia"/>
                <w:b/>
                <w:sz w:val="24"/>
                <w:szCs w:val="24"/>
              </w:rPr>
              <w:t>须提供截图证明，并加盖投</w:t>
            </w:r>
            <w:r>
              <w:rPr>
                <w:b/>
                <w:sz w:val="24"/>
                <w:szCs w:val="24"/>
              </w:rPr>
              <w:t>标人</w:t>
            </w:r>
            <w:r>
              <w:rPr>
                <w:rFonts w:hint="eastAsia"/>
                <w:b/>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kern w:val="0"/>
                <w:sz w:val="24"/>
                <w:szCs w:val="24"/>
              </w:rPr>
            </w:pPr>
            <w:r>
              <w:rPr>
                <w:rFonts w:cs="Arial"/>
                <w:kern w:val="0"/>
                <w:sz w:val="24"/>
                <w:szCs w:val="24"/>
              </w:rPr>
              <w:t>BYPASS</w:t>
            </w:r>
          </w:p>
          <w:p>
            <w:pPr>
              <w:spacing w:line="320" w:lineRule="exact"/>
              <w:jc w:val="center"/>
              <w:rPr>
                <w:rFonts w:cs="Arial"/>
                <w:kern w:val="0"/>
                <w:sz w:val="24"/>
                <w:szCs w:val="24"/>
              </w:rPr>
            </w:pPr>
            <w:r>
              <w:rPr>
                <w:rFonts w:hint="eastAsia" w:cs="Arial"/>
                <w:kern w:val="0"/>
                <w:sz w:val="24"/>
                <w:szCs w:val="24"/>
              </w:rPr>
              <w:t>方案</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cs="Arial"/>
                <w:kern w:val="0"/>
                <w:sz w:val="24"/>
                <w:szCs w:val="24"/>
              </w:rPr>
              <w:t>系统具有软件</w:t>
            </w:r>
            <w:r>
              <w:rPr>
                <w:rFonts w:cs="Arial"/>
                <w:kern w:val="0"/>
                <w:sz w:val="24"/>
                <w:szCs w:val="24"/>
              </w:rPr>
              <w:t>BYPASS</w:t>
            </w:r>
            <w:r>
              <w:rPr>
                <w:rFonts w:hint="eastAsia" w:cs="Arial"/>
                <w:kern w:val="0"/>
                <w:sz w:val="24"/>
                <w:szCs w:val="24"/>
              </w:rPr>
              <w:t>功能，系统软件故障时，系统自动实现旁路保护，避免网络中断等事故的发生。</w:t>
            </w:r>
            <w:r>
              <w:rPr>
                <w:rFonts w:cs="Arial"/>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cs="Arial"/>
                <w:kern w:val="0"/>
                <w:sz w:val="24"/>
                <w:szCs w:val="24"/>
              </w:rPr>
            </w:pPr>
            <w:r>
              <w:rPr>
                <w:rFonts w:hint="eastAsia" w:cs="Arial"/>
                <w:kern w:val="0"/>
                <w:sz w:val="24"/>
                <w:szCs w:val="24"/>
              </w:rPr>
              <w:t>部署能力</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cs="Arial"/>
                <w:kern w:val="0"/>
                <w:sz w:val="24"/>
                <w:szCs w:val="24"/>
              </w:rPr>
              <w:t>系统应具有</w:t>
            </w:r>
            <w:r>
              <w:rPr>
                <w:rFonts w:cs="Arial"/>
                <w:kern w:val="0"/>
                <w:sz w:val="24"/>
                <w:szCs w:val="24"/>
              </w:rPr>
              <w:t>IPS</w:t>
            </w:r>
            <w:r>
              <w:rPr>
                <w:rFonts w:hint="eastAsia" w:cs="Arial"/>
                <w:kern w:val="0"/>
                <w:sz w:val="24"/>
                <w:szCs w:val="24"/>
              </w:rPr>
              <w:t>和</w:t>
            </w:r>
            <w:r>
              <w:rPr>
                <w:rFonts w:cs="Arial"/>
                <w:kern w:val="0"/>
                <w:sz w:val="24"/>
                <w:szCs w:val="24"/>
              </w:rPr>
              <w:t>IDS</w:t>
            </w:r>
            <w:r>
              <w:rPr>
                <w:rFonts w:hint="eastAsia" w:cs="Arial"/>
                <w:kern w:val="0"/>
                <w:sz w:val="24"/>
                <w:szCs w:val="24"/>
              </w:rPr>
              <w:t>的混合运行模式，同时提供入侵防护和入侵检测功能。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kern w:val="0"/>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cs="Arial"/>
                <w:kern w:val="0"/>
                <w:sz w:val="24"/>
                <w:szCs w:val="24"/>
              </w:rPr>
              <w:t>系统须具有旁路在交换机或路由器场景时，具有旁路阻断功能，并具有配置独立的阻断包发送接口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kern w:val="0"/>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Arial"/>
                <w:kern w:val="0"/>
                <w:sz w:val="24"/>
                <w:szCs w:val="24"/>
              </w:rPr>
            </w:pPr>
            <w:r>
              <w:rPr>
                <w:rFonts w:hint="eastAsia" w:cs="Arial"/>
                <w:kern w:val="0"/>
                <w:sz w:val="24"/>
                <w:szCs w:val="24"/>
              </w:rPr>
              <w:t>系统须具有</w:t>
            </w:r>
            <w:r>
              <w:rPr>
                <w:rFonts w:cs="Arial"/>
                <w:kern w:val="0"/>
                <w:sz w:val="24"/>
                <w:szCs w:val="24"/>
              </w:rPr>
              <w:t>IPv6/IPv4</w:t>
            </w:r>
            <w:r>
              <w:rPr>
                <w:rFonts w:hint="eastAsia" w:cs="Arial"/>
                <w:kern w:val="0"/>
                <w:sz w:val="24"/>
                <w:szCs w:val="24"/>
              </w:rPr>
              <w:t>双协议栈功能，能同时辨识</w:t>
            </w:r>
            <w:r>
              <w:rPr>
                <w:rFonts w:cs="Arial"/>
                <w:kern w:val="0"/>
                <w:sz w:val="24"/>
                <w:szCs w:val="24"/>
              </w:rPr>
              <w:t>IPv4</w:t>
            </w:r>
            <w:r>
              <w:rPr>
                <w:rFonts w:hint="eastAsia" w:cs="Arial"/>
                <w:kern w:val="0"/>
                <w:sz w:val="24"/>
                <w:szCs w:val="24"/>
              </w:rPr>
              <w:t>和</w:t>
            </w:r>
            <w:r>
              <w:rPr>
                <w:rFonts w:cs="Arial"/>
                <w:kern w:val="0"/>
                <w:sz w:val="24"/>
                <w:szCs w:val="24"/>
              </w:rPr>
              <w:t>IPv6</w:t>
            </w:r>
            <w:r>
              <w:rPr>
                <w:rFonts w:hint="eastAsia" w:cs="Arial"/>
                <w:kern w:val="0"/>
                <w:sz w:val="24"/>
                <w:szCs w:val="24"/>
              </w:rPr>
              <w:t>通讯流量。具有</w:t>
            </w:r>
            <w:r>
              <w:rPr>
                <w:rFonts w:cs="Arial"/>
                <w:kern w:val="0"/>
                <w:sz w:val="24"/>
                <w:szCs w:val="24"/>
              </w:rPr>
              <w:t>IPv6</w:t>
            </w:r>
            <w:r>
              <w:rPr>
                <w:rFonts w:hint="eastAsia" w:cs="Arial"/>
                <w:kern w:val="0"/>
                <w:sz w:val="24"/>
                <w:szCs w:val="24"/>
              </w:rPr>
              <w:t>环境下攻击检测技术和基于</w:t>
            </w:r>
            <w:r>
              <w:rPr>
                <w:rFonts w:cs="Arial"/>
                <w:kern w:val="0"/>
                <w:sz w:val="24"/>
                <w:szCs w:val="24"/>
              </w:rPr>
              <w:t>IPv6</w:t>
            </w:r>
            <w:r>
              <w:rPr>
                <w:rFonts w:hint="eastAsia" w:cs="Arial"/>
                <w:kern w:val="0"/>
                <w:sz w:val="24"/>
                <w:szCs w:val="24"/>
              </w:rPr>
              <w:t>地址格式的安全控制策略，为</w:t>
            </w:r>
            <w:r>
              <w:rPr>
                <w:rFonts w:cs="Arial"/>
                <w:kern w:val="0"/>
                <w:sz w:val="24"/>
                <w:szCs w:val="24"/>
              </w:rPr>
              <w:t>IPv6</w:t>
            </w:r>
            <w:r>
              <w:rPr>
                <w:rFonts w:hint="eastAsia" w:cs="Arial"/>
                <w:kern w:val="0"/>
                <w:sz w:val="24"/>
                <w:szCs w:val="24"/>
              </w:rPr>
              <w:t>环境提供入侵防护。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szCs w:val="24"/>
              </w:rPr>
            </w:pPr>
            <w:r>
              <w:rPr>
                <w:rFonts w:hint="eastAsia"/>
                <w:sz w:val="24"/>
                <w:szCs w:val="24"/>
              </w:rPr>
              <w:t>系统管理</w:t>
            </w: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sz w:val="24"/>
                <w:szCs w:val="24"/>
              </w:rPr>
            </w:pPr>
            <w:r>
              <w:rPr>
                <w:rFonts w:hint="eastAsia"/>
                <w:sz w:val="24"/>
                <w:szCs w:val="24"/>
              </w:rPr>
              <w:t>提供覆盖</w:t>
            </w:r>
            <w:r>
              <w:rPr>
                <w:sz w:val="24"/>
                <w:szCs w:val="24"/>
              </w:rPr>
              <w:t>web</w:t>
            </w:r>
            <w:r>
              <w:rPr>
                <w:rFonts w:hint="eastAsia"/>
                <w:sz w:val="24"/>
                <w:szCs w:val="24"/>
              </w:rPr>
              <w:t>操作的全面的灵活的</w:t>
            </w:r>
            <w:r>
              <w:rPr>
                <w:sz w:val="24"/>
                <w:szCs w:val="24"/>
              </w:rPr>
              <w:t>RestAPI</w:t>
            </w:r>
            <w:r>
              <w:rPr>
                <w:rFonts w:hint="eastAsia"/>
                <w:sz w:val="24"/>
                <w:szCs w:val="24"/>
              </w:rPr>
              <w:t>接口，可供第三方管理平台集中管理。如设备升级、状态监控；策略、对象等的增删改查等操作。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sz w:val="24"/>
                <w:szCs w:val="24"/>
              </w:rPr>
            </w:pPr>
            <w:r>
              <w:rPr>
                <w:rFonts w:hint="eastAsia" w:cs="Arial"/>
                <w:sz w:val="24"/>
                <w:szCs w:val="24"/>
              </w:rPr>
              <w:t>系统应提供多种升级方式，至少提供自动在线升级、离线升级两种方式。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cs="Arial"/>
                <w:sz w:val="24"/>
                <w:szCs w:val="24"/>
              </w:rPr>
            </w:pPr>
            <w:r>
              <w:rPr>
                <w:rFonts w:hint="eastAsia" w:cs="Arial"/>
                <w:sz w:val="24"/>
                <w:szCs w:val="24"/>
              </w:rPr>
              <w:t>具有设备硬件异常状态监控，可监控设备</w:t>
            </w:r>
            <w:r>
              <w:rPr>
                <w:rFonts w:cs="Arial"/>
                <w:sz w:val="24"/>
                <w:szCs w:val="24"/>
              </w:rPr>
              <w:t>CPU</w:t>
            </w:r>
            <w:r>
              <w:rPr>
                <w:rFonts w:hint="eastAsia" w:cs="Arial"/>
                <w:sz w:val="24"/>
                <w:szCs w:val="24"/>
              </w:rPr>
              <w:t>温度，主板温度，风扇的转速。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cs="Arial"/>
                <w:sz w:val="24"/>
                <w:szCs w:val="24"/>
              </w:rPr>
            </w:pPr>
            <w:r>
              <w:rPr>
                <w:rFonts w:hint="eastAsia" w:cs="Arial"/>
                <w:sz w:val="24"/>
                <w:szCs w:val="24"/>
              </w:rPr>
              <w:t>具有系统资源的告警规则设置，如</w:t>
            </w:r>
            <w:r>
              <w:rPr>
                <w:rFonts w:cs="Arial"/>
                <w:sz w:val="24"/>
                <w:szCs w:val="24"/>
              </w:rPr>
              <w:t>CPU</w:t>
            </w:r>
            <w:r>
              <w:rPr>
                <w:rFonts w:hint="eastAsia" w:cs="Arial"/>
                <w:sz w:val="24"/>
                <w:szCs w:val="24"/>
              </w:rPr>
              <w:t>利用率、内存利用率、</w:t>
            </w:r>
            <w:r>
              <w:rPr>
                <w:rFonts w:cs="Arial"/>
                <w:sz w:val="24"/>
                <w:szCs w:val="24"/>
              </w:rPr>
              <w:t>CF</w:t>
            </w:r>
            <w:r>
              <w:rPr>
                <w:rFonts w:hint="eastAsia" w:cs="Arial"/>
                <w:sz w:val="24"/>
                <w:szCs w:val="24"/>
              </w:rPr>
              <w:t>卡利用率、硬盘利用率等阈值设备。告警信息统一推送到消息中心便于查看和管理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738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cs="Arial"/>
                <w:sz w:val="24"/>
                <w:szCs w:val="24"/>
              </w:rPr>
            </w:pPr>
            <w:r>
              <w:rPr>
                <w:rFonts w:hint="eastAsia" w:cs="Arial"/>
                <w:sz w:val="24"/>
                <w:szCs w:val="24"/>
              </w:rPr>
              <w:t>投标设备应具有热插拔的冗余双电源，避免电源硬件故障时设备宕机，提高设备可用性。</w:t>
            </w:r>
          </w:p>
        </w:tc>
      </w:tr>
    </w:tbl>
    <w:p>
      <w:pPr>
        <w:pStyle w:val="3"/>
        <w:keepNext w:val="0"/>
        <w:spacing w:line="360" w:lineRule="auto"/>
        <w:ind w:firstLine="1320" w:firstLineChars="300"/>
        <w:jc w:val="both"/>
        <w:rPr>
          <w:rFonts w:hint="eastAsia" w:ascii="黑体" w:eastAsia="黑体"/>
          <w:bCs/>
          <w:color w:val="000000"/>
          <w:sz w:val="44"/>
        </w:rPr>
      </w:pPr>
    </w:p>
    <w:p>
      <w:pPr>
        <w:adjustRightInd w:val="0"/>
        <w:snapToGrid w:val="0"/>
        <w:spacing w:line="440" w:lineRule="exact"/>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rPr>
          <w:sz w:val="24"/>
        </w:rPr>
      </w:pPr>
    </w:p>
    <w:p>
      <w:pPr>
        <w:jc w:val="left"/>
        <w:rPr>
          <w:rFonts w:eastAsia="黑体"/>
          <w:sz w:val="44"/>
          <w:szCs w:val="44"/>
        </w:rPr>
      </w:pPr>
      <w:r>
        <w:rPr>
          <w:rFonts w:eastAsia="黑体"/>
          <w:sz w:val="44"/>
          <w:szCs w:val="44"/>
        </w:rPr>
        <w:br w:type="page"/>
      </w:r>
    </w:p>
    <w:p>
      <w:pPr>
        <w:jc w:val="center"/>
        <w:outlineLvl w:val="0"/>
        <w:rPr>
          <w:rFonts w:eastAsia="黑体"/>
          <w:color w:val="000000" w:themeColor="text1"/>
          <w:sz w:val="40"/>
          <w:szCs w:val="40"/>
        </w:rPr>
      </w:pPr>
      <w:bookmarkStart w:id="127" w:name="_Toc108021876"/>
      <w:r>
        <w:rPr>
          <w:rFonts w:eastAsia="黑体"/>
          <w:sz w:val="40"/>
          <w:szCs w:val="40"/>
        </w:rPr>
        <w:t>第五章 定标原则</w:t>
      </w:r>
      <w:r>
        <w:rPr>
          <w:rFonts w:eastAsia="黑体"/>
          <w:color w:val="000000" w:themeColor="text1"/>
          <w:sz w:val="40"/>
          <w:szCs w:val="40"/>
        </w:rPr>
        <w:t>与评标标准</w:t>
      </w:r>
      <w:bookmarkEnd w:id="126"/>
      <w:bookmarkEnd w:id="127"/>
    </w:p>
    <w:p>
      <w:pPr>
        <w:spacing w:line="440" w:lineRule="exact"/>
        <w:ind w:firstLine="482" w:firstLineChars="200"/>
        <w:rPr>
          <w:rFonts w:eastAsiaTheme="minorEastAsia"/>
          <w:b/>
          <w:color w:val="000000" w:themeColor="text1"/>
          <w:sz w:val="24"/>
          <w:szCs w:val="24"/>
        </w:rPr>
      </w:pP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一、定标原则</w:t>
      </w:r>
    </w:p>
    <w:p>
      <w:pPr>
        <w:spacing w:line="360" w:lineRule="auto"/>
        <w:ind w:firstLine="480"/>
        <w:rPr>
          <w:rFonts w:cs="宋体"/>
          <w:bCs/>
          <w:kern w:val="0"/>
          <w:sz w:val="24"/>
          <w:szCs w:val="24"/>
        </w:rPr>
      </w:pPr>
      <w:r>
        <w:rPr>
          <w:color w:val="000000" w:themeColor="text1"/>
          <w:sz w:val="24"/>
          <w:szCs w:val="24"/>
        </w:rPr>
        <w:t xml:space="preserve">本项目采用 </w:t>
      </w:r>
      <w:r>
        <w:rPr>
          <w:color w:val="000000" w:themeColor="text1"/>
          <w:sz w:val="24"/>
          <w:szCs w:val="24"/>
          <w:u w:val="single"/>
        </w:rPr>
        <w:t>综合评分</w:t>
      </w:r>
      <w:r>
        <w:rPr>
          <w:color w:val="000000" w:themeColor="text1"/>
          <w:sz w:val="24"/>
          <w:szCs w:val="24"/>
        </w:rPr>
        <w:t xml:space="preserve"> 法。</w:t>
      </w:r>
      <w:r>
        <w:rPr>
          <w:color w:val="000000" w:themeColor="text1"/>
          <w:kern w:val="0"/>
          <w:sz w:val="24"/>
          <w:szCs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w:t>
      </w:r>
      <w:r>
        <w:rPr>
          <w:rFonts w:hint="eastAsia" w:cs="宋体"/>
          <w:bCs/>
          <w:kern w:val="0"/>
          <w:sz w:val="24"/>
          <w:szCs w:val="24"/>
        </w:rPr>
        <w:t>为排名第一的中标候选人，本项目选取1名中标候选人。</w:t>
      </w:r>
    </w:p>
    <w:p>
      <w:pPr>
        <w:spacing w:line="440" w:lineRule="exact"/>
        <w:ind w:firstLine="480" w:firstLineChars="200"/>
        <w:rPr>
          <w:color w:val="000000" w:themeColor="text1"/>
          <w:sz w:val="24"/>
          <w:szCs w:val="24"/>
        </w:rPr>
      </w:pPr>
      <w:r>
        <w:rPr>
          <w:color w:val="000000" w:themeColor="text1"/>
          <w:sz w:val="24"/>
          <w:szCs w:val="24"/>
        </w:rPr>
        <w:t>政府采购政策功能落实</w:t>
      </w:r>
    </w:p>
    <w:p>
      <w:pPr>
        <w:spacing w:line="440" w:lineRule="exact"/>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小微型企业价格扣除</w:t>
      </w:r>
    </w:p>
    <w:p>
      <w:pPr>
        <w:spacing w:line="440" w:lineRule="exact"/>
        <w:ind w:firstLine="480" w:firstLineChars="200"/>
        <w:rPr>
          <w:color w:val="000000" w:themeColor="text1"/>
          <w:sz w:val="24"/>
          <w:szCs w:val="24"/>
        </w:rPr>
      </w:pPr>
      <w:r>
        <w:rPr>
          <w:color w:val="000000" w:themeColor="text1"/>
          <w:sz w:val="24"/>
          <w:szCs w:val="24"/>
        </w:rPr>
        <w:t>（1）本项目对小型和微型企业产品给予</w:t>
      </w:r>
      <w:r>
        <w:rPr>
          <w:rFonts w:hint="eastAsia"/>
          <w:color w:val="000000" w:themeColor="text1"/>
          <w:sz w:val="24"/>
          <w:szCs w:val="24"/>
        </w:rPr>
        <w:t>2</w:t>
      </w:r>
      <w:r>
        <w:rPr>
          <w:color w:val="000000" w:themeColor="text1"/>
          <w:sz w:val="24"/>
          <w:szCs w:val="24"/>
        </w:rPr>
        <w:t>0%的扣除价格，用扣除后的价格参与评审。</w:t>
      </w:r>
    </w:p>
    <w:p>
      <w:pPr>
        <w:spacing w:line="440" w:lineRule="exact"/>
        <w:ind w:firstLine="480" w:firstLineChars="200"/>
        <w:rPr>
          <w:color w:val="000000" w:themeColor="text1"/>
          <w:sz w:val="24"/>
          <w:szCs w:val="24"/>
        </w:rPr>
      </w:pPr>
      <w:r>
        <w:rPr>
          <w:color w:val="000000" w:themeColor="text1"/>
          <w:sz w:val="24"/>
          <w:szCs w:val="24"/>
        </w:rPr>
        <w:t>（2）供应商需按照招标文件的要求提供相应的《企业声明函》。</w:t>
      </w:r>
    </w:p>
    <w:p>
      <w:pPr>
        <w:spacing w:line="440" w:lineRule="exact"/>
        <w:ind w:firstLine="480" w:firstLineChars="200"/>
        <w:rPr>
          <w:color w:val="000000" w:themeColor="text1"/>
          <w:sz w:val="24"/>
          <w:szCs w:val="24"/>
        </w:rPr>
      </w:pPr>
      <w:r>
        <w:rPr>
          <w:color w:val="000000" w:themeColor="text1"/>
          <w:sz w:val="24"/>
          <w:szCs w:val="24"/>
        </w:rPr>
        <w:t>（3）企业标准请参照《关于印发中小企业划型标准规定的通知》（工信部联企业〔201</w:t>
      </w:r>
      <w:r>
        <w:rPr>
          <w:rFonts w:hint="eastAsia"/>
          <w:color w:val="000000" w:themeColor="text1"/>
          <w:sz w:val="24"/>
          <w:szCs w:val="24"/>
        </w:rPr>
        <w:t>1</w:t>
      </w:r>
      <w:r>
        <w:rPr>
          <w:color w:val="000000" w:themeColor="text1"/>
          <w:sz w:val="24"/>
          <w:szCs w:val="24"/>
        </w:rPr>
        <w:t>〕300号）文件规定自行填写。</w:t>
      </w:r>
    </w:p>
    <w:p>
      <w:pPr>
        <w:spacing w:line="440" w:lineRule="exact"/>
        <w:ind w:firstLine="482" w:firstLineChars="200"/>
        <w:rPr>
          <w:b/>
          <w:bCs/>
          <w:color w:val="000000" w:themeColor="text1"/>
          <w:sz w:val="24"/>
          <w:szCs w:val="24"/>
        </w:rPr>
      </w:pPr>
      <w:r>
        <w:rPr>
          <w:b/>
          <w:bCs/>
          <w:color w:val="000000" w:themeColor="text1"/>
          <w:sz w:val="24"/>
          <w:szCs w:val="24"/>
        </w:rPr>
        <w:t>（4）在货物采购项目中，供应商提供的货物既有中小企业制造货物，也有大型企业制造货物的，不享受本办法规定的中小企业扶持政策。</w:t>
      </w:r>
    </w:p>
    <w:p>
      <w:pPr>
        <w:spacing w:line="440" w:lineRule="exact"/>
        <w:ind w:firstLine="480" w:firstLineChars="200"/>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残疾人福利单位价格扣除</w:t>
      </w:r>
    </w:p>
    <w:p>
      <w:pPr>
        <w:spacing w:line="440" w:lineRule="exact"/>
        <w:ind w:firstLine="480" w:firstLineChars="200"/>
        <w:rPr>
          <w:color w:val="000000" w:themeColor="text1"/>
          <w:sz w:val="24"/>
          <w:szCs w:val="24"/>
        </w:rPr>
      </w:pPr>
      <w:r>
        <w:rPr>
          <w:color w:val="000000" w:themeColor="text1"/>
          <w:sz w:val="24"/>
          <w:szCs w:val="24"/>
        </w:rPr>
        <w:t>（1）本项目对残疾人福利性单位视同小型、微型企业，给予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（2）残疾人福利单位需按照招标文件的要求提供《残疾人福利性单位声明函》。</w:t>
      </w:r>
    </w:p>
    <w:p>
      <w:pPr>
        <w:spacing w:line="440" w:lineRule="exact"/>
        <w:ind w:firstLine="480" w:firstLineChars="200"/>
        <w:rPr>
          <w:color w:val="000000" w:themeColor="text1"/>
          <w:sz w:val="24"/>
          <w:szCs w:val="24"/>
        </w:rPr>
      </w:pPr>
      <w:r>
        <w:rPr>
          <w:color w:val="000000" w:themeColor="text1"/>
          <w:sz w:val="24"/>
          <w:szCs w:val="24"/>
        </w:rPr>
        <w:t>（3）残疾人福利单位标准请参照《关于促进残疾人就业政府采购政策的通知》（财库〔2017〕141号）。</w:t>
      </w:r>
    </w:p>
    <w:p>
      <w:pPr>
        <w:spacing w:line="440" w:lineRule="exact"/>
        <w:ind w:firstLine="480" w:firstLineChars="200"/>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监狱和戒毒企业价格扣除</w:t>
      </w:r>
    </w:p>
    <w:p>
      <w:pPr>
        <w:spacing w:line="440" w:lineRule="exact"/>
        <w:ind w:firstLine="480" w:firstLineChars="200"/>
        <w:rPr>
          <w:color w:val="000000" w:themeColor="text1"/>
          <w:sz w:val="24"/>
          <w:szCs w:val="24"/>
        </w:rPr>
      </w:pPr>
      <w:r>
        <w:rPr>
          <w:color w:val="000000" w:themeColor="text1"/>
          <w:sz w:val="24"/>
          <w:szCs w:val="24"/>
        </w:rPr>
        <w:t>（1）本项目对监狱和戒毒企业（简称监狱企业）视同小型、微型企业，给予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color w:val="000000" w:themeColor="text1"/>
          <w:sz w:val="24"/>
          <w:szCs w:val="24"/>
        </w:rPr>
      </w:pPr>
      <w:r>
        <w:rPr>
          <w:color w:val="000000" w:themeColor="text1"/>
          <w:sz w:val="24"/>
          <w:szCs w:val="24"/>
        </w:rPr>
        <w:t>（3）监狱企业标准请参照《关于政府采购支持监狱企业发展有关问题的通知》（财库〔201</w:t>
      </w:r>
      <w:r>
        <w:rPr>
          <w:rFonts w:hint="eastAsia"/>
          <w:color w:val="000000" w:themeColor="text1"/>
          <w:sz w:val="24"/>
          <w:szCs w:val="24"/>
        </w:rPr>
        <w:t>4</w:t>
      </w:r>
      <w:r>
        <w:rPr>
          <w:color w:val="000000" w:themeColor="text1"/>
          <w:sz w:val="24"/>
          <w:szCs w:val="24"/>
        </w:rPr>
        <w:t>〕68号）。</w:t>
      </w:r>
    </w:p>
    <w:p>
      <w:pPr>
        <w:spacing w:line="440" w:lineRule="exact"/>
        <w:ind w:firstLine="480" w:firstLineChars="200"/>
        <w:rPr>
          <w:color w:val="000000" w:themeColor="text1"/>
          <w:sz w:val="24"/>
          <w:szCs w:val="24"/>
        </w:rPr>
      </w:pPr>
      <w:r>
        <w:rPr>
          <w:color w:val="000000" w:themeColor="text1"/>
          <w:sz w:val="24"/>
          <w:szCs w:val="24"/>
        </w:rPr>
        <w:t>4</w:t>
      </w:r>
      <w:r>
        <w:rPr>
          <w:rFonts w:hint="eastAsia"/>
          <w:color w:val="000000" w:themeColor="text1"/>
          <w:sz w:val="24"/>
          <w:szCs w:val="24"/>
        </w:rPr>
        <w:t>.</w:t>
      </w:r>
      <w:r>
        <w:rPr>
          <w:color w:val="000000" w:themeColor="text1"/>
          <w:sz w:val="24"/>
          <w:szCs w:val="24"/>
        </w:rPr>
        <w:t>残疾人福利单位、监狱企业属于小型、微型企业的，不重复享受政策。</w:t>
      </w: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二、评标标准</w:t>
      </w:r>
    </w:p>
    <w:p>
      <w:pPr>
        <w:spacing w:line="440" w:lineRule="exact"/>
        <w:ind w:firstLine="480" w:firstLineChars="200"/>
        <w:rPr>
          <w:rFonts w:eastAsiaTheme="minorEastAsia"/>
          <w:b w:val="0"/>
          <w:bCs/>
          <w:color w:val="000000" w:themeColor="text1"/>
          <w:kern w:val="0"/>
          <w:sz w:val="24"/>
          <w:szCs w:val="24"/>
        </w:rPr>
      </w:pPr>
      <w:r>
        <w:rPr>
          <w:rFonts w:eastAsiaTheme="minorEastAsia"/>
          <w:b w:val="0"/>
          <w:bCs/>
          <w:color w:val="000000" w:themeColor="text1"/>
          <w:kern w:val="0"/>
          <w:sz w:val="24"/>
          <w:szCs w:val="24"/>
        </w:rPr>
        <w:t>本项目评分总分值为100分。</w:t>
      </w:r>
    </w:p>
    <w:tbl>
      <w:tblPr>
        <w:tblStyle w:val="22"/>
        <w:tblW w:w="898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1"/>
        <w:gridCol w:w="6713"/>
        <w:gridCol w:w="100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22" w:hRule="atLeast"/>
          <w:jc w:val="center"/>
        </w:trPr>
        <w:tc>
          <w:tcPr>
            <w:tcW w:w="1271" w:type="dxa"/>
            <w:tcBorders>
              <w:top w:val="single" w:color="000000" w:sz="4" w:space="0"/>
              <w:right w:val="single" w:color="auto" w:sz="4" w:space="0"/>
            </w:tcBorders>
            <w:noWrap w:val="0"/>
            <w:vAlign w:val="center"/>
          </w:tcPr>
          <w:p>
            <w:pPr>
              <w:snapToGrid w:val="0"/>
              <w:rPr>
                <w:rFonts w:ascii="宋体" w:hAnsi="宋体"/>
                <w:color w:val="000000"/>
                <w:kern w:val="0"/>
                <w:sz w:val="24"/>
                <w:szCs w:val="24"/>
              </w:rPr>
            </w:pPr>
            <w:bookmarkStart w:id="128" w:name="_Toc108021877"/>
            <w:r>
              <w:rPr>
                <w:rFonts w:hint="eastAsia" w:ascii="宋体" w:hAnsi="宋体"/>
                <w:color w:val="000000"/>
                <w:kern w:val="0"/>
                <w:sz w:val="24"/>
                <w:szCs w:val="24"/>
              </w:rPr>
              <w:t>项目</w:t>
            </w:r>
          </w:p>
        </w:tc>
        <w:tc>
          <w:tcPr>
            <w:tcW w:w="6713" w:type="dxa"/>
            <w:tcBorders>
              <w:top w:val="single" w:color="000000" w:sz="4" w:space="0"/>
            </w:tcBorders>
            <w:noWrap w:val="0"/>
            <w:vAlign w:val="center"/>
          </w:tcPr>
          <w:p>
            <w:pPr>
              <w:snapToGrid w:val="0"/>
              <w:jc w:val="center"/>
              <w:rPr>
                <w:rFonts w:ascii="宋体" w:hAnsi="宋体"/>
                <w:color w:val="000000"/>
                <w:kern w:val="0"/>
                <w:sz w:val="24"/>
                <w:szCs w:val="24"/>
              </w:rPr>
            </w:pPr>
            <w:r>
              <w:rPr>
                <w:rFonts w:hint="eastAsia" w:ascii="宋体" w:hAnsi="宋体"/>
                <w:color w:val="000000"/>
                <w:kern w:val="0"/>
                <w:sz w:val="24"/>
                <w:szCs w:val="24"/>
              </w:rPr>
              <w:t>评分标准</w:t>
            </w:r>
          </w:p>
        </w:tc>
        <w:tc>
          <w:tcPr>
            <w:tcW w:w="1005" w:type="dxa"/>
            <w:tcBorders>
              <w:top w:val="single" w:color="000000" w:sz="4" w:space="0"/>
            </w:tcBorders>
            <w:noWrap w:val="0"/>
            <w:vAlign w:val="center"/>
          </w:tcPr>
          <w:p>
            <w:pPr>
              <w:snapToGrid w:val="0"/>
              <w:rPr>
                <w:rFonts w:ascii="宋体" w:hAnsi="宋体"/>
                <w:color w:val="000000"/>
                <w:kern w:val="0"/>
                <w:sz w:val="24"/>
                <w:szCs w:val="24"/>
              </w:rPr>
            </w:pPr>
            <w:r>
              <w:rPr>
                <w:rFonts w:hint="eastAsia" w:ascii="宋体" w:hAnsi="宋体"/>
                <w:color w:val="000000"/>
                <w:kern w:val="0"/>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1" w:hRule="atLeast"/>
          <w:jc w:val="center"/>
        </w:trPr>
        <w:tc>
          <w:tcPr>
            <w:tcW w:w="1271" w:type="dxa"/>
            <w:noWrap w:val="0"/>
            <w:vAlign w:val="center"/>
          </w:tcPr>
          <w:p>
            <w:pPr>
              <w:rPr>
                <w:rFonts w:ascii="宋体" w:hAnsi="宋体"/>
                <w:b/>
                <w:bCs/>
                <w:color w:val="000000"/>
                <w:kern w:val="0"/>
                <w:sz w:val="24"/>
                <w:szCs w:val="24"/>
              </w:rPr>
            </w:pPr>
            <w:r>
              <w:rPr>
                <w:rFonts w:hint="eastAsia" w:ascii="宋体" w:hAnsi="宋体"/>
                <w:b/>
                <w:bCs/>
                <w:color w:val="000000"/>
                <w:kern w:val="0"/>
                <w:sz w:val="24"/>
                <w:szCs w:val="24"/>
              </w:rPr>
              <w:t>投标报价</w:t>
            </w:r>
          </w:p>
        </w:tc>
        <w:tc>
          <w:tcPr>
            <w:tcW w:w="6713" w:type="dxa"/>
            <w:noWrap w:val="0"/>
            <w:vAlign w:val="center"/>
          </w:tcPr>
          <w:p>
            <w:pPr>
              <w:rPr>
                <w:rFonts w:ascii="宋体" w:hAnsi="宋体"/>
                <w:color w:val="000000"/>
                <w:kern w:val="0"/>
                <w:sz w:val="24"/>
                <w:szCs w:val="24"/>
              </w:rPr>
            </w:pPr>
            <w:r>
              <w:rPr>
                <w:rFonts w:hint="eastAsia" w:ascii="宋体" w:hAnsi="宋体"/>
                <w:color w:val="000000"/>
                <w:kern w:val="0"/>
                <w:sz w:val="24"/>
                <w:szCs w:val="24"/>
              </w:rPr>
              <w:t>以满足招标要求且投标报价最低的有效报价为评标基准价，投标报价等于基准价得3</w:t>
            </w:r>
            <w:r>
              <w:rPr>
                <w:rFonts w:ascii="宋体" w:hAnsi="宋体"/>
                <w:color w:val="000000"/>
                <w:kern w:val="0"/>
                <w:sz w:val="24"/>
                <w:szCs w:val="24"/>
              </w:rPr>
              <w:t>0</w:t>
            </w:r>
            <w:r>
              <w:rPr>
                <w:rFonts w:hint="eastAsia" w:ascii="宋体" w:hAnsi="宋体"/>
                <w:color w:val="000000"/>
                <w:kern w:val="0"/>
                <w:sz w:val="24"/>
                <w:szCs w:val="24"/>
              </w:rPr>
              <w:t>分，投标价格高于基准价的按下列公式计算：</w:t>
            </w:r>
          </w:p>
          <w:p>
            <w:pPr>
              <w:rPr>
                <w:rFonts w:ascii="宋体" w:hAnsi="宋体"/>
                <w:color w:val="000000"/>
                <w:kern w:val="0"/>
                <w:sz w:val="24"/>
                <w:szCs w:val="24"/>
              </w:rPr>
            </w:pPr>
            <w:r>
              <w:rPr>
                <w:rFonts w:hint="eastAsia" w:ascii="宋体" w:hAnsi="宋体"/>
                <w:color w:val="000000"/>
                <w:kern w:val="0"/>
                <w:sz w:val="24"/>
                <w:szCs w:val="24"/>
              </w:rPr>
              <w:t>投标报价得分</w:t>
            </w:r>
            <w:r>
              <w:rPr>
                <w:rFonts w:ascii="宋体" w:hAnsi="宋体"/>
                <w:color w:val="000000"/>
                <w:kern w:val="0"/>
                <w:sz w:val="24"/>
                <w:szCs w:val="24"/>
              </w:rPr>
              <w:t xml:space="preserve"> =</w:t>
            </w:r>
            <w:r>
              <w:rPr>
                <w:rFonts w:hint="eastAsia" w:ascii="宋体" w:hAnsi="宋体"/>
                <w:color w:val="000000"/>
                <w:kern w:val="0"/>
                <w:sz w:val="24"/>
                <w:szCs w:val="24"/>
              </w:rPr>
              <w:t>（评标基准价</w:t>
            </w:r>
            <w:r>
              <w:rPr>
                <w:rFonts w:ascii="宋体" w:hAnsi="宋体"/>
                <w:color w:val="000000"/>
                <w:kern w:val="0"/>
                <w:sz w:val="24"/>
                <w:szCs w:val="24"/>
              </w:rPr>
              <w:t>/</w:t>
            </w:r>
            <w:r>
              <w:rPr>
                <w:rFonts w:hint="eastAsia" w:ascii="宋体" w:hAnsi="宋体"/>
                <w:color w:val="000000"/>
                <w:kern w:val="0"/>
                <w:sz w:val="24"/>
                <w:szCs w:val="24"/>
              </w:rPr>
              <w:t>投标报价）</w:t>
            </w:r>
            <w:r>
              <w:rPr>
                <w:rFonts w:ascii="宋体" w:hAnsi="宋体"/>
                <w:color w:val="000000"/>
                <w:kern w:val="0"/>
                <w:sz w:val="24"/>
                <w:szCs w:val="24"/>
              </w:rPr>
              <w:t>*</w:t>
            </w:r>
            <w:r>
              <w:rPr>
                <w:rFonts w:hint="eastAsia" w:ascii="宋体" w:hAnsi="宋体"/>
                <w:color w:val="000000"/>
                <w:kern w:val="0"/>
                <w:sz w:val="24"/>
                <w:szCs w:val="24"/>
              </w:rPr>
              <w:t>3</w:t>
            </w:r>
            <w:r>
              <w:rPr>
                <w:rFonts w:ascii="宋体" w:hAnsi="宋体"/>
                <w:color w:val="000000"/>
                <w:kern w:val="0"/>
                <w:sz w:val="24"/>
                <w:szCs w:val="24"/>
              </w:rPr>
              <w:t>0</w:t>
            </w:r>
          </w:p>
        </w:tc>
        <w:tc>
          <w:tcPr>
            <w:tcW w:w="1005" w:type="dxa"/>
            <w:noWrap w:val="0"/>
            <w:vAlign w:val="center"/>
          </w:tcPr>
          <w:p>
            <w:pPr>
              <w:jc w:val="center"/>
              <w:rPr>
                <w:rFonts w:ascii="宋体" w:hAnsi="宋体"/>
                <w:color w:val="000000"/>
                <w:kern w:val="0"/>
                <w:sz w:val="24"/>
                <w:szCs w:val="24"/>
              </w:rPr>
            </w:pPr>
            <w:r>
              <w:rPr>
                <w:rFonts w:ascii="宋体" w:hAnsi="宋体"/>
                <w:color w:val="000000"/>
                <w:kern w:val="0"/>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1" w:hRule="atLeast"/>
          <w:jc w:val="center"/>
        </w:trPr>
        <w:tc>
          <w:tcPr>
            <w:tcW w:w="1271" w:type="dxa"/>
            <w:noWrap w:val="0"/>
            <w:vAlign w:val="center"/>
          </w:tcPr>
          <w:p>
            <w:pPr>
              <w:rPr>
                <w:rFonts w:ascii="宋体" w:hAnsi="宋体"/>
                <w:color w:val="000000"/>
                <w:kern w:val="0"/>
                <w:sz w:val="24"/>
                <w:szCs w:val="24"/>
              </w:rPr>
            </w:pPr>
            <w:r>
              <w:rPr>
                <w:rFonts w:hint="eastAsia" w:ascii="宋体" w:hAnsi="宋体"/>
                <w:b/>
                <w:color w:val="000000"/>
                <w:kern w:val="0"/>
                <w:sz w:val="24"/>
                <w:szCs w:val="24"/>
              </w:rPr>
              <w:t>技术指标</w:t>
            </w:r>
          </w:p>
        </w:tc>
        <w:tc>
          <w:tcPr>
            <w:tcW w:w="6713" w:type="dxa"/>
            <w:noWrap w:val="0"/>
            <w:vAlign w:val="center"/>
          </w:tcPr>
          <w:p>
            <w:pPr>
              <w:rPr>
                <w:rFonts w:hint="eastAsia" w:ascii="宋体" w:hAnsi="宋体"/>
                <w:color w:val="000000"/>
                <w:kern w:val="0"/>
                <w:sz w:val="24"/>
                <w:szCs w:val="24"/>
              </w:rPr>
            </w:pPr>
            <w:r>
              <w:rPr>
                <w:rFonts w:hint="eastAsia" w:ascii="宋体" w:hAnsi="宋体"/>
                <w:color w:val="000000"/>
                <w:kern w:val="0"/>
                <w:sz w:val="24"/>
                <w:szCs w:val="24"/>
              </w:rPr>
              <w:t>投标人完全满足招标文件技术要求，可得5</w:t>
            </w:r>
            <w:r>
              <w:rPr>
                <w:rFonts w:ascii="宋体" w:hAnsi="宋体"/>
                <w:color w:val="000000"/>
                <w:kern w:val="0"/>
                <w:sz w:val="24"/>
                <w:szCs w:val="24"/>
              </w:rPr>
              <w:t>0</w:t>
            </w:r>
            <w:r>
              <w:rPr>
                <w:rFonts w:hint="eastAsia" w:ascii="宋体" w:hAnsi="宋体"/>
                <w:color w:val="000000"/>
                <w:kern w:val="0"/>
                <w:sz w:val="24"/>
                <w:szCs w:val="24"/>
              </w:rPr>
              <w:t>分。加★的技术参数为必须满足项，不满足的为无效投标；其它技术参数为负偏离的：不加▲项每一项负偏离扣1分；加▲项每一项负偏离扣2分。</w:t>
            </w:r>
          </w:p>
          <w:p>
            <w:pPr>
              <w:snapToGrid w:val="0"/>
              <w:spacing w:before="50" w:after="50"/>
              <w:jc w:val="center"/>
              <w:rPr>
                <w:rFonts w:hint="eastAsia" w:ascii="宋体" w:hAnsi="宋体"/>
                <w:color w:val="0000FF"/>
                <w:kern w:val="0"/>
                <w:sz w:val="24"/>
                <w:szCs w:val="24"/>
              </w:rPr>
            </w:pPr>
            <w:r>
              <w:rPr>
                <w:rFonts w:hint="eastAsia" w:ascii="宋体" w:hAnsi="宋体" w:cs="宋体"/>
                <w:bCs/>
                <w:color w:val="0000FF"/>
                <w:sz w:val="24"/>
                <w:szCs w:val="24"/>
              </w:rPr>
              <w:t>注：以上</w:t>
            </w:r>
            <w:r>
              <w:rPr>
                <w:rFonts w:hint="eastAsia" w:ascii="宋体" w:hAnsi="宋体"/>
                <w:color w:val="0000FF"/>
                <w:kern w:val="0"/>
                <w:sz w:val="24"/>
                <w:szCs w:val="24"/>
              </w:rPr>
              <w:t>“技术参数”响应情况均须在投标文</w:t>
            </w:r>
            <w:r>
              <w:rPr>
                <w:rFonts w:hint="eastAsia" w:ascii="宋体" w:hAnsi="宋体" w:eastAsia="宋体" w:cs="Times New Roman"/>
                <w:color w:val="0000FF"/>
                <w:kern w:val="0"/>
                <w:sz w:val="24"/>
                <w:szCs w:val="24"/>
              </w:rPr>
              <w:t>件《技术参数响应及偏离表</w:t>
            </w:r>
            <w:r>
              <w:rPr>
                <w:rFonts w:hint="eastAsia" w:ascii="宋体" w:hAnsi="宋体"/>
                <w:color w:val="0000FF"/>
                <w:kern w:val="0"/>
                <w:sz w:val="24"/>
                <w:szCs w:val="24"/>
              </w:rPr>
              <w:t>》中逐条表述清楚，如表述不清，则按不满足（负</w:t>
            </w:r>
          </w:p>
          <w:p>
            <w:pPr>
              <w:snapToGrid w:val="0"/>
              <w:spacing w:before="50" w:after="50"/>
              <w:jc w:val="both"/>
              <w:rPr>
                <w:rFonts w:hint="eastAsia" w:ascii="宋体" w:hAnsi="宋体"/>
                <w:color w:val="000000"/>
                <w:kern w:val="0"/>
                <w:sz w:val="24"/>
                <w:szCs w:val="24"/>
              </w:rPr>
            </w:pPr>
            <w:r>
              <w:rPr>
                <w:rFonts w:hint="eastAsia" w:ascii="宋体" w:hAnsi="宋体"/>
                <w:color w:val="0000FF"/>
                <w:kern w:val="0"/>
                <w:sz w:val="24"/>
                <w:szCs w:val="24"/>
              </w:rPr>
              <w:t>偏离）处理。</w:t>
            </w:r>
          </w:p>
        </w:tc>
        <w:tc>
          <w:tcPr>
            <w:tcW w:w="1005" w:type="dxa"/>
            <w:noWrap w:val="0"/>
            <w:vAlign w:val="center"/>
          </w:tcPr>
          <w:p>
            <w:pPr>
              <w:jc w:val="center"/>
              <w:rPr>
                <w:rFonts w:ascii="宋体" w:hAnsi="宋体"/>
                <w:color w:val="000000"/>
                <w:kern w:val="0"/>
                <w:sz w:val="24"/>
                <w:szCs w:val="24"/>
              </w:rPr>
            </w:pPr>
            <w:r>
              <w:rPr>
                <w:rFonts w:hint="eastAsia" w:ascii="宋体" w:hAnsi="宋体"/>
                <w:color w:val="000000"/>
                <w:kern w:val="0"/>
                <w:sz w:val="24"/>
                <w:szCs w:val="24"/>
              </w:rPr>
              <w:t>5</w:t>
            </w:r>
            <w:r>
              <w:rPr>
                <w:rFonts w:ascii="宋体" w:hAnsi="宋体"/>
                <w:color w:val="000000"/>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680" w:hRule="atLeast"/>
          <w:jc w:val="center"/>
        </w:trPr>
        <w:tc>
          <w:tcPr>
            <w:tcW w:w="1271" w:type="dxa"/>
            <w:noWrap w:val="0"/>
            <w:vAlign w:val="center"/>
          </w:tcPr>
          <w:p>
            <w:pPr>
              <w:snapToGrid w:val="0"/>
              <w:rPr>
                <w:rFonts w:ascii="宋体" w:hAnsi="宋体"/>
                <w:b/>
                <w:color w:val="000000"/>
                <w:kern w:val="0"/>
                <w:sz w:val="24"/>
                <w:szCs w:val="24"/>
              </w:rPr>
            </w:pPr>
            <w:r>
              <w:rPr>
                <w:rFonts w:hint="eastAsia" w:ascii="宋体" w:hAnsi="宋体"/>
                <w:b/>
                <w:color w:val="000000"/>
                <w:kern w:val="0"/>
                <w:sz w:val="24"/>
                <w:szCs w:val="24"/>
              </w:rPr>
              <w:t>资质实力</w:t>
            </w:r>
          </w:p>
        </w:tc>
        <w:tc>
          <w:tcPr>
            <w:tcW w:w="6713" w:type="dxa"/>
            <w:noWrap w:val="0"/>
            <w:vAlign w:val="top"/>
          </w:tcPr>
          <w:p>
            <w:pPr>
              <w:rPr>
                <w:rFonts w:ascii="宋体" w:hAnsi="宋体"/>
                <w:color w:val="000000"/>
                <w:kern w:val="0"/>
                <w:sz w:val="24"/>
                <w:szCs w:val="24"/>
              </w:rPr>
            </w:pPr>
            <w:r>
              <w:rPr>
                <w:rFonts w:hint="eastAsia" w:ascii="宋体" w:hAnsi="宋体"/>
                <w:color w:val="000000"/>
                <w:kern w:val="0"/>
                <w:sz w:val="24"/>
                <w:szCs w:val="24"/>
              </w:rPr>
              <w:t>1. 所投产品生产厂商具有ITSS信息技术服务标准符合性证书（云服务），得</w:t>
            </w:r>
            <w:r>
              <w:rPr>
                <w:rFonts w:ascii="宋体" w:hAnsi="宋体"/>
                <w:color w:val="000000"/>
                <w:kern w:val="0"/>
                <w:sz w:val="24"/>
                <w:szCs w:val="24"/>
              </w:rPr>
              <w:t>2</w:t>
            </w:r>
            <w:r>
              <w:rPr>
                <w:rFonts w:hint="eastAsia" w:ascii="宋体" w:hAnsi="宋体"/>
                <w:color w:val="000000"/>
                <w:kern w:val="0"/>
                <w:sz w:val="24"/>
                <w:szCs w:val="24"/>
              </w:rPr>
              <w:t>分，没有不得分。</w:t>
            </w:r>
            <w:r>
              <w:rPr>
                <w:rFonts w:ascii="宋体" w:hAnsi="宋体"/>
                <w:color w:val="000000"/>
                <w:kern w:val="0"/>
                <w:sz w:val="24"/>
                <w:szCs w:val="24"/>
              </w:rPr>
              <w:t>提供</w:t>
            </w:r>
            <w:r>
              <w:rPr>
                <w:rFonts w:hint="eastAsia" w:ascii="宋体" w:hAnsi="宋体"/>
                <w:color w:val="000000"/>
                <w:kern w:val="0"/>
                <w:sz w:val="24"/>
                <w:szCs w:val="24"/>
              </w:rPr>
              <w:t>证书</w:t>
            </w:r>
            <w:r>
              <w:rPr>
                <w:rFonts w:ascii="宋体" w:hAnsi="宋体"/>
                <w:color w:val="000000"/>
                <w:kern w:val="0"/>
                <w:sz w:val="24"/>
                <w:szCs w:val="24"/>
              </w:rPr>
              <w:t>复印件加盖</w:t>
            </w:r>
            <w:r>
              <w:rPr>
                <w:rFonts w:hint="eastAsia" w:ascii="宋体" w:hAnsi="宋体"/>
                <w:color w:val="000000"/>
                <w:kern w:val="0"/>
                <w:sz w:val="24"/>
                <w:szCs w:val="24"/>
              </w:rPr>
              <w:t>投标人</w:t>
            </w:r>
            <w:r>
              <w:rPr>
                <w:rFonts w:ascii="宋体" w:hAnsi="宋体"/>
                <w:color w:val="000000"/>
                <w:kern w:val="0"/>
                <w:sz w:val="24"/>
                <w:szCs w:val="24"/>
              </w:rPr>
              <w:t>公章</w:t>
            </w:r>
            <w:r>
              <w:rPr>
                <w:rFonts w:hint="eastAsia" w:ascii="宋体" w:hAnsi="宋体"/>
                <w:color w:val="000000"/>
                <w:kern w:val="0"/>
                <w:sz w:val="24"/>
                <w:szCs w:val="24"/>
              </w:rPr>
              <w:t>。</w:t>
            </w:r>
          </w:p>
          <w:p>
            <w:pPr>
              <w:rPr>
                <w:rFonts w:ascii="宋体" w:hAnsi="宋体"/>
                <w:color w:val="000000"/>
                <w:kern w:val="0"/>
                <w:sz w:val="24"/>
                <w:szCs w:val="24"/>
              </w:rPr>
            </w:pPr>
            <w:r>
              <w:rPr>
                <w:rFonts w:ascii="宋体" w:hAnsi="宋体"/>
                <w:color w:val="000000"/>
                <w:kern w:val="0"/>
                <w:sz w:val="24"/>
                <w:szCs w:val="24"/>
              </w:rPr>
              <w:t>2</w:t>
            </w:r>
            <w:r>
              <w:rPr>
                <w:rFonts w:hint="eastAsia" w:ascii="宋体" w:hAnsi="宋体"/>
                <w:color w:val="000000"/>
                <w:kern w:val="0"/>
                <w:sz w:val="24"/>
                <w:szCs w:val="24"/>
              </w:rPr>
              <w:t>.所投产品生产厂商具有的国家信息安全测评中心颁发的信息安全服务资质安全开发类二级及</w:t>
            </w:r>
            <w:r>
              <w:rPr>
                <w:rFonts w:ascii="宋体" w:hAnsi="宋体"/>
                <w:color w:val="000000"/>
                <w:kern w:val="0"/>
                <w:sz w:val="24"/>
                <w:szCs w:val="24"/>
              </w:rPr>
              <w:t>以上</w:t>
            </w:r>
            <w:r>
              <w:rPr>
                <w:rFonts w:hint="eastAsia" w:ascii="宋体" w:hAnsi="宋体"/>
                <w:color w:val="000000"/>
                <w:kern w:val="0"/>
                <w:sz w:val="24"/>
                <w:szCs w:val="24"/>
              </w:rPr>
              <w:t>证书得</w:t>
            </w:r>
            <w:r>
              <w:rPr>
                <w:rFonts w:ascii="宋体" w:hAnsi="宋体"/>
                <w:color w:val="000000"/>
                <w:kern w:val="0"/>
                <w:sz w:val="24"/>
                <w:szCs w:val="24"/>
              </w:rPr>
              <w:t>2</w:t>
            </w:r>
            <w:r>
              <w:rPr>
                <w:rFonts w:hint="eastAsia" w:ascii="宋体" w:hAnsi="宋体"/>
                <w:color w:val="000000"/>
                <w:kern w:val="0"/>
                <w:sz w:val="24"/>
                <w:szCs w:val="24"/>
              </w:rPr>
              <w:t>分，没有不得分。</w:t>
            </w:r>
            <w:r>
              <w:rPr>
                <w:rFonts w:ascii="宋体" w:hAnsi="宋体"/>
                <w:color w:val="000000"/>
                <w:kern w:val="0"/>
                <w:sz w:val="24"/>
                <w:szCs w:val="24"/>
              </w:rPr>
              <w:t>提供</w:t>
            </w:r>
            <w:r>
              <w:rPr>
                <w:rFonts w:hint="eastAsia" w:ascii="宋体" w:hAnsi="宋体"/>
                <w:color w:val="000000"/>
                <w:kern w:val="0"/>
                <w:sz w:val="24"/>
                <w:szCs w:val="24"/>
              </w:rPr>
              <w:t>证书</w:t>
            </w:r>
            <w:r>
              <w:rPr>
                <w:rFonts w:ascii="宋体" w:hAnsi="宋体"/>
                <w:color w:val="000000"/>
                <w:kern w:val="0"/>
                <w:sz w:val="24"/>
                <w:szCs w:val="24"/>
              </w:rPr>
              <w:t>复印件加盖</w:t>
            </w:r>
            <w:r>
              <w:rPr>
                <w:rFonts w:hint="eastAsia" w:ascii="宋体" w:hAnsi="宋体"/>
                <w:color w:val="000000"/>
                <w:kern w:val="0"/>
                <w:sz w:val="24"/>
                <w:szCs w:val="24"/>
              </w:rPr>
              <w:t>投标人</w:t>
            </w:r>
            <w:r>
              <w:rPr>
                <w:rFonts w:ascii="宋体" w:hAnsi="宋体"/>
                <w:color w:val="000000"/>
                <w:kern w:val="0"/>
                <w:sz w:val="24"/>
                <w:szCs w:val="24"/>
              </w:rPr>
              <w:t>公章</w:t>
            </w:r>
            <w:r>
              <w:rPr>
                <w:rFonts w:hint="eastAsia" w:ascii="宋体" w:hAnsi="宋体"/>
                <w:color w:val="000000"/>
                <w:kern w:val="0"/>
                <w:sz w:val="24"/>
                <w:szCs w:val="24"/>
              </w:rPr>
              <w:t>。</w:t>
            </w:r>
          </w:p>
          <w:p>
            <w:pPr>
              <w:rPr>
                <w:rFonts w:ascii="宋体" w:hAnsi="宋体"/>
                <w:color w:val="000000"/>
                <w:kern w:val="0"/>
                <w:sz w:val="24"/>
                <w:szCs w:val="24"/>
              </w:rPr>
            </w:pPr>
            <w:r>
              <w:rPr>
                <w:rFonts w:ascii="宋体" w:hAnsi="宋体"/>
                <w:color w:val="000000"/>
                <w:kern w:val="0"/>
                <w:sz w:val="24"/>
                <w:szCs w:val="24"/>
              </w:rPr>
              <w:t>3</w:t>
            </w:r>
            <w:r>
              <w:rPr>
                <w:rFonts w:hint="eastAsia" w:ascii="宋体" w:hAnsi="宋体"/>
                <w:color w:val="000000"/>
                <w:kern w:val="0"/>
                <w:sz w:val="24"/>
                <w:szCs w:val="24"/>
              </w:rPr>
              <w:t>.所投产品生产厂商具有国家信息安全漏洞库兼容性资质证书（简称CNNVD兼容性资质）得</w:t>
            </w:r>
            <w:r>
              <w:rPr>
                <w:rFonts w:ascii="宋体" w:hAnsi="宋体"/>
                <w:color w:val="000000"/>
                <w:kern w:val="0"/>
                <w:sz w:val="24"/>
                <w:szCs w:val="24"/>
              </w:rPr>
              <w:t>2</w:t>
            </w:r>
            <w:r>
              <w:rPr>
                <w:rFonts w:hint="eastAsia" w:ascii="宋体" w:hAnsi="宋体"/>
                <w:color w:val="000000"/>
                <w:kern w:val="0"/>
                <w:sz w:val="24"/>
                <w:szCs w:val="24"/>
              </w:rPr>
              <w:t>分，没有不得分。</w:t>
            </w:r>
            <w:r>
              <w:rPr>
                <w:rFonts w:ascii="宋体" w:hAnsi="宋体"/>
                <w:color w:val="000000"/>
                <w:kern w:val="0"/>
                <w:sz w:val="24"/>
                <w:szCs w:val="24"/>
              </w:rPr>
              <w:t>提供</w:t>
            </w:r>
            <w:r>
              <w:rPr>
                <w:rFonts w:hint="eastAsia" w:ascii="宋体" w:hAnsi="宋体"/>
                <w:color w:val="000000"/>
                <w:kern w:val="0"/>
                <w:sz w:val="24"/>
                <w:szCs w:val="24"/>
              </w:rPr>
              <w:t>证书</w:t>
            </w:r>
            <w:r>
              <w:rPr>
                <w:rFonts w:ascii="宋体" w:hAnsi="宋体"/>
                <w:color w:val="000000"/>
                <w:kern w:val="0"/>
                <w:sz w:val="24"/>
                <w:szCs w:val="24"/>
              </w:rPr>
              <w:t>复印件加盖</w:t>
            </w:r>
            <w:r>
              <w:rPr>
                <w:rFonts w:hint="eastAsia" w:ascii="宋体" w:hAnsi="宋体"/>
                <w:color w:val="000000"/>
                <w:kern w:val="0"/>
                <w:sz w:val="24"/>
                <w:szCs w:val="24"/>
              </w:rPr>
              <w:t>投标人</w:t>
            </w:r>
            <w:r>
              <w:rPr>
                <w:rFonts w:ascii="宋体" w:hAnsi="宋体"/>
                <w:color w:val="000000"/>
                <w:kern w:val="0"/>
                <w:sz w:val="24"/>
                <w:szCs w:val="24"/>
              </w:rPr>
              <w:t>公章</w:t>
            </w:r>
            <w:r>
              <w:rPr>
                <w:rFonts w:hint="eastAsia" w:ascii="宋体" w:hAnsi="宋体"/>
                <w:color w:val="000000"/>
                <w:kern w:val="0"/>
                <w:sz w:val="24"/>
                <w:szCs w:val="24"/>
              </w:rPr>
              <w:t>。</w:t>
            </w:r>
          </w:p>
          <w:p>
            <w:pPr>
              <w:rPr>
                <w:rFonts w:ascii="宋体" w:hAnsi="宋体"/>
                <w:color w:val="000000"/>
                <w:kern w:val="0"/>
                <w:sz w:val="24"/>
                <w:szCs w:val="24"/>
              </w:rPr>
            </w:pPr>
            <w:r>
              <w:rPr>
                <w:rFonts w:ascii="宋体" w:hAnsi="宋体"/>
                <w:color w:val="000000"/>
                <w:kern w:val="0"/>
                <w:sz w:val="24"/>
                <w:szCs w:val="24"/>
              </w:rPr>
              <w:t>4</w:t>
            </w:r>
            <w:r>
              <w:rPr>
                <w:rFonts w:hint="eastAsia" w:ascii="宋体" w:hAnsi="宋体"/>
                <w:color w:val="000000"/>
                <w:kern w:val="0"/>
                <w:sz w:val="24"/>
                <w:szCs w:val="24"/>
              </w:rPr>
              <w:t>.所投产品生产厂商具有网络安全应急服务支撑单位证书（国家级）得</w:t>
            </w:r>
            <w:r>
              <w:rPr>
                <w:rFonts w:ascii="宋体" w:hAnsi="宋体"/>
                <w:color w:val="000000"/>
                <w:kern w:val="0"/>
                <w:sz w:val="24"/>
                <w:szCs w:val="24"/>
              </w:rPr>
              <w:t>2</w:t>
            </w:r>
            <w:r>
              <w:rPr>
                <w:rFonts w:hint="eastAsia" w:ascii="宋体" w:hAnsi="宋体"/>
                <w:color w:val="000000"/>
                <w:kern w:val="0"/>
                <w:sz w:val="24"/>
                <w:szCs w:val="24"/>
              </w:rPr>
              <w:t>分，没有不得分。</w:t>
            </w:r>
            <w:r>
              <w:rPr>
                <w:rFonts w:ascii="宋体" w:hAnsi="宋体"/>
                <w:color w:val="000000"/>
                <w:kern w:val="0"/>
                <w:sz w:val="24"/>
                <w:szCs w:val="24"/>
              </w:rPr>
              <w:t>提供</w:t>
            </w:r>
            <w:r>
              <w:rPr>
                <w:rFonts w:hint="eastAsia" w:ascii="宋体" w:hAnsi="宋体"/>
                <w:color w:val="000000"/>
                <w:kern w:val="0"/>
                <w:sz w:val="24"/>
                <w:szCs w:val="24"/>
              </w:rPr>
              <w:t>证书</w:t>
            </w:r>
            <w:r>
              <w:rPr>
                <w:rFonts w:ascii="宋体" w:hAnsi="宋体"/>
                <w:color w:val="000000"/>
                <w:kern w:val="0"/>
                <w:sz w:val="24"/>
                <w:szCs w:val="24"/>
              </w:rPr>
              <w:t>复印件加盖</w:t>
            </w:r>
            <w:r>
              <w:rPr>
                <w:rFonts w:hint="eastAsia" w:ascii="宋体" w:hAnsi="宋体"/>
                <w:color w:val="000000"/>
                <w:kern w:val="0"/>
                <w:sz w:val="24"/>
                <w:szCs w:val="24"/>
              </w:rPr>
              <w:t>投标人</w:t>
            </w:r>
            <w:r>
              <w:rPr>
                <w:rFonts w:ascii="宋体" w:hAnsi="宋体"/>
                <w:color w:val="000000"/>
                <w:kern w:val="0"/>
                <w:sz w:val="24"/>
                <w:szCs w:val="24"/>
              </w:rPr>
              <w:t>公章</w:t>
            </w:r>
            <w:r>
              <w:rPr>
                <w:rFonts w:hint="eastAsia" w:ascii="宋体" w:hAnsi="宋体"/>
                <w:color w:val="000000"/>
                <w:kern w:val="0"/>
                <w:sz w:val="24"/>
                <w:szCs w:val="24"/>
              </w:rPr>
              <w:t>。</w:t>
            </w:r>
          </w:p>
          <w:p>
            <w:pPr>
              <w:rPr>
                <w:rFonts w:ascii="宋体" w:hAnsi="宋体"/>
                <w:color w:val="000000"/>
                <w:kern w:val="0"/>
                <w:sz w:val="24"/>
                <w:szCs w:val="24"/>
              </w:rPr>
            </w:pPr>
            <w:r>
              <w:rPr>
                <w:rFonts w:ascii="宋体" w:hAnsi="宋体"/>
                <w:color w:val="000000"/>
                <w:kern w:val="0"/>
                <w:sz w:val="24"/>
                <w:szCs w:val="24"/>
              </w:rPr>
              <w:t>5</w:t>
            </w:r>
            <w:r>
              <w:rPr>
                <w:rFonts w:hint="eastAsia" w:ascii="宋体" w:hAnsi="宋体"/>
                <w:color w:val="000000"/>
                <w:kern w:val="0"/>
                <w:sz w:val="24"/>
                <w:szCs w:val="24"/>
              </w:rPr>
              <w:t>.所投入侵防护产品获得中国网络安全审查技术与认证中心颁发的网络入侵防护系统《网络关键设备和网络安全专用产品认证》（万兆）证书得</w:t>
            </w:r>
            <w:r>
              <w:rPr>
                <w:rFonts w:ascii="宋体" w:hAnsi="宋体"/>
                <w:color w:val="000000"/>
                <w:kern w:val="0"/>
                <w:sz w:val="24"/>
                <w:szCs w:val="24"/>
              </w:rPr>
              <w:t>2</w:t>
            </w:r>
            <w:r>
              <w:rPr>
                <w:rFonts w:hint="eastAsia" w:ascii="宋体" w:hAnsi="宋体"/>
                <w:color w:val="000000"/>
                <w:kern w:val="0"/>
                <w:sz w:val="24"/>
                <w:szCs w:val="24"/>
              </w:rPr>
              <w:t>分，没有不得分。</w:t>
            </w:r>
            <w:r>
              <w:rPr>
                <w:rFonts w:ascii="宋体" w:hAnsi="宋体"/>
                <w:color w:val="000000"/>
                <w:kern w:val="0"/>
                <w:sz w:val="24"/>
                <w:szCs w:val="24"/>
              </w:rPr>
              <w:t>提供</w:t>
            </w:r>
            <w:r>
              <w:rPr>
                <w:rFonts w:hint="eastAsia" w:ascii="宋体" w:hAnsi="宋体"/>
                <w:color w:val="000000"/>
                <w:kern w:val="0"/>
                <w:sz w:val="24"/>
                <w:szCs w:val="24"/>
              </w:rPr>
              <w:t>证书</w:t>
            </w:r>
            <w:r>
              <w:rPr>
                <w:rFonts w:ascii="宋体" w:hAnsi="宋体"/>
                <w:color w:val="000000"/>
                <w:kern w:val="0"/>
                <w:sz w:val="24"/>
                <w:szCs w:val="24"/>
              </w:rPr>
              <w:t>复印件加盖</w:t>
            </w:r>
            <w:r>
              <w:rPr>
                <w:rFonts w:hint="eastAsia" w:ascii="宋体" w:hAnsi="宋体"/>
                <w:color w:val="000000"/>
                <w:kern w:val="0"/>
                <w:sz w:val="24"/>
                <w:szCs w:val="24"/>
              </w:rPr>
              <w:t>投标人</w:t>
            </w:r>
            <w:r>
              <w:rPr>
                <w:rFonts w:ascii="宋体" w:hAnsi="宋体"/>
                <w:color w:val="000000"/>
                <w:kern w:val="0"/>
                <w:sz w:val="24"/>
                <w:szCs w:val="24"/>
              </w:rPr>
              <w:t>公章</w:t>
            </w:r>
            <w:r>
              <w:rPr>
                <w:rFonts w:hint="eastAsia" w:ascii="宋体" w:hAnsi="宋体"/>
                <w:color w:val="000000"/>
                <w:kern w:val="0"/>
                <w:sz w:val="24"/>
                <w:szCs w:val="24"/>
              </w:rPr>
              <w:t>。</w:t>
            </w:r>
          </w:p>
        </w:tc>
        <w:tc>
          <w:tcPr>
            <w:tcW w:w="1005" w:type="dxa"/>
            <w:noWrap w:val="0"/>
            <w:vAlign w:val="center"/>
          </w:tcPr>
          <w:p>
            <w:pPr>
              <w:jc w:val="center"/>
              <w:rPr>
                <w:rFonts w:ascii="宋体" w:hAnsi="宋体"/>
                <w:color w:val="000000"/>
                <w:kern w:val="0"/>
                <w:sz w:val="24"/>
                <w:szCs w:val="24"/>
              </w:rPr>
            </w:pPr>
            <w:r>
              <w:rPr>
                <w:rFonts w:ascii="宋体" w:hAnsi="宋体"/>
                <w:color w:val="000000"/>
                <w:kern w:val="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271" w:type="dxa"/>
            <w:noWrap w:val="0"/>
            <w:vAlign w:val="center"/>
          </w:tcPr>
          <w:p>
            <w:pPr>
              <w:snapToGrid w:val="0"/>
              <w:rPr>
                <w:rFonts w:ascii="宋体" w:hAnsi="宋体"/>
                <w:b/>
                <w:color w:val="000000"/>
                <w:kern w:val="0"/>
                <w:sz w:val="24"/>
                <w:szCs w:val="24"/>
              </w:rPr>
            </w:pPr>
            <w:r>
              <w:rPr>
                <w:rFonts w:hint="eastAsia" w:ascii="宋体" w:hAnsi="宋体"/>
                <w:b/>
                <w:color w:val="000000"/>
                <w:kern w:val="0"/>
                <w:sz w:val="24"/>
                <w:szCs w:val="24"/>
              </w:rPr>
              <w:t>方案部</w:t>
            </w:r>
            <w:r>
              <w:rPr>
                <w:rFonts w:ascii="宋体" w:hAnsi="宋体"/>
                <w:b/>
                <w:color w:val="000000"/>
                <w:kern w:val="0"/>
                <w:sz w:val="24"/>
                <w:szCs w:val="24"/>
              </w:rPr>
              <w:t>分</w:t>
            </w:r>
          </w:p>
        </w:tc>
        <w:tc>
          <w:tcPr>
            <w:tcW w:w="6713" w:type="dxa"/>
            <w:noWrap w:val="0"/>
            <w:vAlign w:val="center"/>
          </w:tcPr>
          <w:p>
            <w:pPr>
              <w:rPr>
                <w:rFonts w:hint="eastAsia" w:ascii="宋体" w:hAnsi="宋体"/>
                <w:color w:val="000000"/>
                <w:kern w:val="0"/>
                <w:sz w:val="24"/>
                <w:szCs w:val="24"/>
              </w:rPr>
            </w:pPr>
            <w:r>
              <w:rPr>
                <w:rFonts w:hint="eastAsia" w:ascii="宋体" w:hAnsi="宋体"/>
                <w:color w:val="000000"/>
                <w:kern w:val="0"/>
                <w:sz w:val="24"/>
                <w:szCs w:val="24"/>
              </w:rPr>
              <w:t>评委会根据供应商提供的项目实施方案酌情评分，方案至少应包括以下要求：</w:t>
            </w:r>
          </w:p>
          <w:p>
            <w:pPr>
              <w:ind w:firstLine="480" w:firstLineChars="200"/>
              <w:rPr>
                <w:rFonts w:hint="eastAsia" w:ascii="宋体" w:hAnsi="宋体"/>
                <w:color w:val="000000"/>
                <w:kern w:val="0"/>
                <w:sz w:val="24"/>
                <w:szCs w:val="24"/>
              </w:rPr>
            </w:pPr>
            <w:r>
              <w:rPr>
                <w:rFonts w:hint="eastAsia" w:ascii="宋体" w:hAnsi="宋体"/>
                <w:color w:val="000000"/>
                <w:kern w:val="0"/>
                <w:sz w:val="24"/>
                <w:szCs w:val="24"/>
              </w:rPr>
              <w:t>1、采购人根据学校目前安全状况，项目实施后环境状况达到的效果等进行分析（2分）：分析全面具体得1.5-2分，较完整具体、得1-1.5分，有欠缺的得0.5-1分；未提供得0分。</w:t>
            </w:r>
          </w:p>
          <w:p>
            <w:pPr>
              <w:ind w:firstLine="480" w:firstLineChars="200"/>
              <w:rPr>
                <w:rFonts w:hint="eastAsia" w:ascii="宋体" w:hAnsi="宋体"/>
                <w:color w:val="000000"/>
                <w:kern w:val="0"/>
                <w:sz w:val="24"/>
                <w:szCs w:val="24"/>
              </w:rPr>
            </w:pPr>
            <w:r>
              <w:rPr>
                <w:rFonts w:hint="eastAsia" w:ascii="宋体" w:hAnsi="宋体"/>
                <w:color w:val="000000"/>
                <w:kern w:val="0"/>
                <w:sz w:val="24"/>
                <w:szCs w:val="24"/>
              </w:rPr>
              <w:t>2、项目实施，包含整体网络拓扑规划、各设备具体部署方案（2分）：方案科学合理、安全严密、具有一定的前瞻性，有独到的优势得1.5-2分；方案较科学合理、基本具有前瞻性，优势一般得1-1.5分；方案基本科学合理、不具有前瞻性，不具备优势得0.5-1分。未见阐述不得分。</w:t>
            </w:r>
          </w:p>
          <w:p>
            <w:pPr>
              <w:ind w:firstLine="480" w:firstLineChars="200"/>
              <w:rPr>
                <w:color w:val="000000"/>
                <w:sz w:val="24"/>
                <w:szCs w:val="24"/>
              </w:rPr>
            </w:pPr>
            <w:r>
              <w:rPr>
                <w:rFonts w:hint="eastAsia" w:ascii="宋体" w:hAnsi="宋体"/>
                <w:color w:val="000000"/>
                <w:kern w:val="0"/>
                <w:sz w:val="24"/>
                <w:szCs w:val="24"/>
              </w:rPr>
              <w:t>3、售后服务承诺情况（包括免费维保期、响应时间、售后服务方式、服务计划、服务内容等）等综合情况评定（2分）：方案合理可行、符合用户需求得1.5-2分，方案较合理可行得1-1.5分，方案基本合理，不具备优势得0.5-1分，未提供得0分。</w:t>
            </w:r>
          </w:p>
        </w:tc>
        <w:tc>
          <w:tcPr>
            <w:tcW w:w="1005" w:type="dxa"/>
            <w:noWrap w:val="0"/>
            <w:vAlign w:val="center"/>
          </w:tcPr>
          <w:p>
            <w:pPr>
              <w:jc w:val="center"/>
              <w:rPr>
                <w:rFonts w:ascii="宋体" w:hAnsi="宋体"/>
                <w:color w:val="000000"/>
                <w:kern w:val="0"/>
                <w:sz w:val="24"/>
                <w:szCs w:val="24"/>
              </w:rPr>
            </w:pPr>
            <w:r>
              <w:rPr>
                <w:rFonts w:hint="eastAsia" w:ascii="宋体" w:hAnsi="宋体"/>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427" w:hRule="atLeast"/>
          <w:jc w:val="center"/>
        </w:trPr>
        <w:tc>
          <w:tcPr>
            <w:tcW w:w="1271" w:type="dxa"/>
            <w:noWrap w:val="0"/>
            <w:vAlign w:val="center"/>
          </w:tcPr>
          <w:p>
            <w:pPr>
              <w:snapToGrid w:val="0"/>
              <w:rPr>
                <w:rFonts w:hint="eastAsia" w:ascii="宋体" w:hAnsi="宋体" w:eastAsia="宋体"/>
                <w:b/>
                <w:color w:val="000000"/>
                <w:kern w:val="0"/>
                <w:sz w:val="24"/>
                <w:szCs w:val="24"/>
                <w:lang w:eastAsia="zh-CN"/>
              </w:rPr>
            </w:pPr>
            <w:r>
              <w:rPr>
                <w:rFonts w:hint="eastAsia" w:ascii="宋体" w:hAnsi="宋体"/>
                <w:b/>
                <w:color w:val="000000"/>
                <w:kern w:val="0"/>
                <w:sz w:val="24"/>
                <w:szCs w:val="24"/>
              </w:rPr>
              <w:t>售后增值服务</w:t>
            </w:r>
            <w:r>
              <w:rPr>
                <w:rFonts w:hint="eastAsia" w:ascii="宋体" w:hAnsi="宋体"/>
                <w:b/>
                <w:color w:val="000000"/>
                <w:kern w:val="0"/>
                <w:sz w:val="24"/>
                <w:szCs w:val="24"/>
                <w:lang w:eastAsia="zh-CN"/>
              </w:rPr>
              <w:t>及方案</w:t>
            </w:r>
          </w:p>
        </w:tc>
        <w:tc>
          <w:tcPr>
            <w:tcW w:w="6713" w:type="dxa"/>
            <w:noWrap w:val="0"/>
            <w:vAlign w:val="center"/>
          </w:tcPr>
          <w:p>
            <w:pPr>
              <w:rPr>
                <w:rFonts w:hint="eastAsia" w:ascii="宋体" w:hAnsi="宋体"/>
                <w:color w:val="000000"/>
                <w:kern w:val="0"/>
                <w:sz w:val="24"/>
                <w:szCs w:val="24"/>
              </w:rPr>
            </w:pPr>
            <w:r>
              <w:rPr>
                <w:rFonts w:hint="eastAsia" w:ascii="宋体" w:hAnsi="宋体"/>
                <w:color w:val="000000"/>
                <w:kern w:val="0"/>
                <w:sz w:val="24"/>
                <w:szCs w:val="24"/>
                <w:lang w:eastAsia="zh-CN"/>
              </w:rPr>
              <w:t>投标时</w:t>
            </w:r>
            <w:r>
              <w:rPr>
                <w:rFonts w:hint="eastAsia" w:ascii="宋体" w:hAnsi="宋体"/>
                <w:color w:val="000000"/>
                <w:kern w:val="0"/>
                <w:sz w:val="24"/>
                <w:szCs w:val="24"/>
              </w:rPr>
              <w:t>承诺提供技术支持，协助学</w:t>
            </w:r>
            <w:r>
              <w:rPr>
                <w:rFonts w:ascii="宋体" w:hAnsi="宋体"/>
                <w:color w:val="000000"/>
                <w:kern w:val="0"/>
                <w:sz w:val="24"/>
                <w:szCs w:val="24"/>
              </w:rPr>
              <w:t>校</w:t>
            </w:r>
            <w:r>
              <w:rPr>
                <w:rFonts w:hint="eastAsia" w:ascii="宋体" w:hAnsi="宋体"/>
                <w:color w:val="000000"/>
                <w:kern w:val="0"/>
                <w:sz w:val="24"/>
                <w:szCs w:val="24"/>
              </w:rPr>
              <w:t>举行安全攻防演练</w:t>
            </w:r>
            <w:r>
              <w:rPr>
                <w:rFonts w:hint="eastAsia" w:ascii="宋体" w:hAnsi="宋体"/>
                <w:color w:val="000000"/>
                <w:kern w:val="0"/>
                <w:sz w:val="24"/>
                <w:szCs w:val="24"/>
                <w:lang w:eastAsia="zh-CN"/>
              </w:rPr>
              <w:t>，</w:t>
            </w:r>
            <w:r>
              <w:rPr>
                <w:rFonts w:hint="eastAsia" w:ascii="宋体" w:hAnsi="宋体"/>
                <w:color w:val="000000"/>
                <w:kern w:val="0"/>
                <w:sz w:val="24"/>
                <w:szCs w:val="24"/>
              </w:rPr>
              <w:t>并提供完整的安全演练方案，</w:t>
            </w:r>
            <w:r>
              <w:rPr>
                <w:rFonts w:hint="eastAsia" w:ascii="宋体" w:hAnsi="宋体"/>
                <w:color w:val="000000"/>
                <w:kern w:val="0"/>
                <w:sz w:val="24"/>
                <w:szCs w:val="24"/>
                <w:lang w:eastAsia="zh-CN"/>
              </w:rPr>
              <w:t>承诺一次</w:t>
            </w:r>
            <w:r>
              <w:rPr>
                <w:rFonts w:hint="eastAsia" w:ascii="宋体" w:hAnsi="宋体"/>
                <w:color w:val="000000"/>
                <w:kern w:val="0"/>
                <w:sz w:val="24"/>
                <w:szCs w:val="24"/>
              </w:rPr>
              <w:t>安全攻防演练得2分，最高得4分，</w:t>
            </w:r>
            <w:r>
              <w:rPr>
                <w:rFonts w:hint="eastAsia" w:ascii="宋体" w:hAnsi="宋体"/>
                <w:b/>
                <w:bCs/>
                <w:color w:val="000000"/>
                <w:kern w:val="0"/>
                <w:sz w:val="24"/>
                <w:szCs w:val="24"/>
                <w:lang w:eastAsia="zh-CN"/>
              </w:rPr>
              <w:t>未承诺或未</w:t>
            </w:r>
            <w:r>
              <w:rPr>
                <w:rFonts w:hint="eastAsia" w:ascii="宋体" w:hAnsi="宋体"/>
                <w:b/>
                <w:bCs/>
                <w:color w:val="000000"/>
                <w:kern w:val="0"/>
                <w:sz w:val="24"/>
                <w:szCs w:val="24"/>
              </w:rPr>
              <w:t>提供安全攻防演</w:t>
            </w:r>
            <w:r>
              <w:rPr>
                <w:rFonts w:hint="eastAsia" w:ascii="宋体" w:hAnsi="宋体" w:eastAsia="宋体" w:cs="Times New Roman"/>
                <w:b/>
                <w:bCs/>
                <w:color w:val="000000"/>
                <w:kern w:val="0"/>
                <w:sz w:val="24"/>
                <w:szCs w:val="24"/>
              </w:rPr>
              <w:t>练方案</w:t>
            </w:r>
            <w:r>
              <w:rPr>
                <w:rFonts w:hint="eastAsia" w:ascii="宋体" w:hAnsi="宋体" w:eastAsia="宋体" w:cs="Times New Roman"/>
                <w:b/>
                <w:bCs/>
                <w:color w:val="000000"/>
                <w:kern w:val="0"/>
                <w:sz w:val="24"/>
                <w:szCs w:val="24"/>
                <w:lang w:eastAsia="zh-CN"/>
              </w:rPr>
              <w:t>的</w:t>
            </w:r>
            <w:r>
              <w:rPr>
                <w:rFonts w:hint="eastAsia" w:ascii="宋体" w:hAnsi="宋体" w:eastAsia="宋体" w:cs="Times New Roman"/>
                <w:b/>
                <w:bCs/>
                <w:color w:val="000000"/>
                <w:kern w:val="0"/>
                <w:sz w:val="24"/>
                <w:szCs w:val="24"/>
              </w:rPr>
              <w:t>不得分</w:t>
            </w:r>
            <w:r>
              <w:rPr>
                <w:rFonts w:hint="eastAsia" w:ascii="宋体" w:hAnsi="宋体"/>
                <w:color w:val="000000"/>
                <w:kern w:val="0"/>
                <w:sz w:val="24"/>
                <w:szCs w:val="24"/>
              </w:rPr>
              <w:t>。</w:t>
            </w:r>
          </w:p>
        </w:tc>
        <w:tc>
          <w:tcPr>
            <w:tcW w:w="1005" w:type="dxa"/>
            <w:noWrap w:val="0"/>
            <w:vAlign w:val="center"/>
          </w:tcPr>
          <w:p>
            <w:pPr>
              <w:jc w:val="center"/>
              <w:rPr>
                <w:rFonts w:hint="eastAsia" w:ascii="宋体" w:hAnsi="宋体"/>
                <w:color w:val="000000"/>
                <w:kern w:val="0"/>
                <w:sz w:val="24"/>
                <w:szCs w:val="24"/>
              </w:rPr>
            </w:pPr>
            <w:r>
              <w:rPr>
                <w:rFonts w:hint="eastAsia" w:ascii="宋体" w:hAnsi="宋体"/>
                <w:color w:val="000000"/>
                <w:kern w:val="0"/>
                <w:sz w:val="24"/>
                <w:szCs w:val="24"/>
              </w:rPr>
              <w:t>4</w:t>
            </w:r>
          </w:p>
        </w:tc>
      </w:tr>
    </w:tbl>
    <w:p>
      <w:pPr>
        <w:snapToGrid w:val="0"/>
        <w:spacing w:line="360" w:lineRule="auto"/>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spacing w:line="360" w:lineRule="auto"/>
        <w:ind w:firstLine="480" w:firstLineChars="200"/>
        <w:rPr>
          <w:rFonts w:ascii="宋体" w:hAnsi="宋体"/>
          <w:bCs/>
          <w:color w:val="000000"/>
          <w:kern w:val="0"/>
          <w:sz w:val="24"/>
          <w:szCs w:val="24"/>
        </w:rPr>
      </w:pPr>
      <w:r>
        <w:rPr>
          <w:rFonts w:hint="eastAsia" w:ascii="宋体" w:hAnsi="宋体"/>
          <w:bCs/>
          <w:color w:val="000000"/>
          <w:kern w:val="0"/>
          <w:sz w:val="24"/>
          <w:szCs w:val="24"/>
        </w:rPr>
        <w:t>1、要求供应</w:t>
      </w:r>
      <w:r>
        <w:rPr>
          <w:rFonts w:ascii="宋体" w:hAnsi="宋体"/>
          <w:bCs/>
          <w:color w:val="000000"/>
          <w:kern w:val="0"/>
          <w:sz w:val="24"/>
          <w:szCs w:val="24"/>
        </w:rPr>
        <w:t>商提供</w:t>
      </w:r>
      <w:r>
        <w:rPr>
          <w:rFonts w:hint="eastAsia" w:ascii="宋体" w:hAnsi="宋体"/>
          <w:bCs/>
          <w:color w:val="000000"/>
          <w:kern w:val="0"/>
          <w:sz w:val="24"/>
          <w:szCs w:val="24"/>
        </w:rPr>
        <w:t>盖章复印</w:t>
      </w:r>
      <w:r>
        <w:rPr>
          <w:rFonts w:ascii="宋体" w:hAnsi="宋体"/>
          <w:bCs/>
          <w:color w:val="000000"/>
          <w:kern w:val="0"/>
          <w:sz w:val="24"/>
          <w:szCs w:val="24"/>
        </w:rPr>
        <w:t>件和</w:t>
      </w:r>
      <w:r>
        <w:rPr>
          <w:rFonts w:hint="eastAsia" w:ascii="宋体" w:hAnsi="宋体"/>
          <w:bCs/>
          <w:color w:val="000000"/>
          <w:kern w:val="0"/>
          <w:sz w:val="24"/>
          <w:szCs w:val="24"/>
        </w:rPr>
        <w:t>截</w:t>
      </w:r>
      <w:r>
        <w:rPr>
          <w:rFonts w:ascii="宋体" w:hAnsi="宋体"/>
          <w:bCs/>
          <w:color w:val="000000"/>
          <w:kern w:val="0"/>
          <w:sz w:val="24"/>
          <w:szCs w:val="24"/>
        </w:rPr>
        <w:t>图</w:t>
      </w:r>
      <w:r>
        <w:rPr>
          <w:rFonts w:hint="eastAsia" w:ascii="宋体" w:hAnsi="宋体"/>
          <w:bCs/>
          <w:color w:val="000000"/>
          <w:kern w:val="0"/>
          <w:sz w:val="24"/>
          <w:szCs w:val="24"/>
        </w:rPr>
        <w:t>的，则</w:t>
      </w:r>
      <w:r>
        <w:rPr>
          <w:rFonts w:ascii="宋体" w:hAnsi="宋体"/>
          <w:bCs/>
          <w:color w:val="000000"/>
          <w:kern w:val="0"/>
          <w:sz w:val="24"/>
          <w:szCs w:val="24"/>
        </w:rPr>
        <w:t>必须</w:t>
      </w:r>
      <w:r>
        <w:rPr>
          <w:rFonts w:hint="eastAsia" w:ascii="宋体" w:hAnsi="宋体"/>
          <w:bCs/>
          <w:color w:val="000000"/>
          <w:kern w:val="0"/>
          <w:sz w:val="24"/>
          <w:szCs w:val="24"/>
        </w:rPr>
        <w:t>按</w:t>
      </w:r>
      <w:r>
        <w:rPr>
          <w:rFonts w:ascii="宋体" w:hAnsi="宋体"/>
          <w:bCs/>
          <w:color w:val="000000"/>
          <w:kern w:val="0"/>
          <w:sz w:val="24"/>
          <w:szCs w:val="24"/>
        </w:rPr>
        <w:t>要求提供，</w:t>
      </w:r>
      <w:r>
        <w:rPr>
          <w:rFonts w:hint="eastAsia" w:ascii="宋体" w:hAnsi="宋体"/>
          <w:bCs/>
          <w:color w:val="000000"/>
          <w:kern w:val="0"/>
          <w:sz w:val="24"/>
          <w:szCs w:val="24"/>
        </w:rPr>
        <w:t>并且</w:t>
      </w:r>
      <w:r>
        <w:rPr>
          <w:rFonts w:ascii="宋体" w:hAnsi="宋体"/>
          <w:bCs/>
          <w:color w:val="000000"/>
          <w:kern w:val="0"/>
          <w:sz w:val="24"/>
          <w:szCs w:val="24"/>
        </w:rPr>
        <w:t>能够识别，否则</w:t>
      </w:r>
      <w:r>
        <w:rPr>
          <w:rFonts w:hint="eastAsia" w:ascii="宋体" w:hAnsi="宋体"/>
          <w:bCs/>
          <w:color w:val="000000"/>
          <w:kern w:val="0"/>
          <w:sz w:val="24"/>
          <w:szCs w:val="24"/>
        </w:rPr>
        <w:t>作为不</w:t>
      </w:r>
      <w:r>
        <w:rPr>
          <w:rFonts w:ascii="宋体" w:hAnsi="宋体"/>
          <w:bCs/>
          <w:color w:val="000000"/>
          <w:kern w:val="0"/>
          <w:sz w:val="24"/>
          <w:szCs w:val="24"/>
        </w:rPr>
        <w:t>响</w:t>
      </w:r>
      <w:r>
        <w:rPr>
          <w:rFonts w:hint="eastAsia" w:ascii="宋体" w:hAnsi="宋体"/>
          <w:bCs/>
          <w:color w:val="000000"/>
          <w:kern w:val="0"/>
          <w:sz w:val="24"/>
          <w:szCs w:val="24"/>
        </w:rPr>
        <w:t>应处理</w:t>
      </w:r>
      <w:r>
        <w:rPr>
          <w:rFonts w:ascii="宋体" w:hAnsi="宋体"/>
          <w:bCs/>
          <w:color w:val="000000"/>
          <w:kern w:val="0"/>
          <w:sz w:val="24"/>
          <w:szCs w:val="24"/>
        </w:rPr>
        <w:t>。</w:t>
      </w:r>
    </w:p>
    <w:p>
      <w:pPr>
        <w:snapToGrid w:val="0"/>
        <w:spacing w:line="360" w:lineRule="auto"/>
        <w:ind w:firstLine="480" w:firstLineChars="200"/>
        <w:rPr>
          <w:rFonts w:ascii="宋体" w:hAnsi="宋体"/>
          <w:bCs/>
          <w:color w:val="000000"/>
          <w:kern w:val="0"/>
          <w:sz w:val="24"/>
          <w:szCs w:val="24"/>
        </w:rPr>
      </w:pPr>
      <w:r>
        <w:rPr>
          <w:rFonts w:hint="eastAsia" w:ascii="宋体" w:hAnsi="宋体"/>
          <w:bCs/>
          <w:color w:val="000000"/>
          <w:kern w:val="0"/>
          <w:sz w:val="24"/>
          <w:szCs w:val="24"/>
        </w:rPr>
        <w:t>2、中标单位不得转包、分包，如果发现有转包、分包情况，则取消其中标候选人资格，并向相关主管部门汇报。</w:t>
      </w:r>
    </w:p>
    <w:p>
      <w:pPr>
        <w:snapToGrid w:val="0"/>
        <w:spacing w:line="360" w:lineRule="auto"/>
        <w:ind w:firstLine="480" w:firstLineChars="200"/>
        <w:rPr>
          <w:rFonts w:hint="eastAsia" w:ascii="微软雅黑" w:hAnsi="微软雅黑" w:eastAsia="微软雅黑"/>
          <w:color w:val="FF0000"/>
          <w:sz w:val="24"/>
          <w:szCs w:val="24"/>
        </w:rPr>
      </w:pPr>
      <w:r>
        <w:rPr>
          <w:rFonts w:hint="eastAsia" w:ascii="宋体" w:hAnsi="宋体"/>
          <w:bCs/>
          <w:color w:val="FF0000"/>
          <w:kern w:val="0"/>
          <w:sz w:val="24"/>
          <w:szCs w:val="24"/>
        </w:rPr>
        <w:t>3、中标公告期内，中标单位有义务按采购单位的</w:t>
      </w:r>
      <w:r>
        <w:rPr>
          <w:rFonts w:ascii="宋体" w:hAnsi="宋体"/>
          <w:bCs/>
          <w:color w:val="FF0000"/>
          <w:kern w:val="0"/>
          <w:sz w:val="24"/>
          <w:szCs w:val="24"/>
        </w:rPr>
        <w:t>要求</w:t>
      </w:r>
      <w:r>
        <w:rPr>
          <w:rFonts w:hint="eastAsia" w:ascii="宋体" w:hAnsi="宋体"/>
          <w:bCs/>
          <w:color w:val="FF0000"/>
          <w:kern w:val="0"/>
          <w:sz w:val="24"/>
          <w:szCs w:val="24"/>
        </w:rPr>
        <w:t>提供产品相关证明文件原件以供审核，如有不实采购人有权取消其中标资格。</w:t>
      </w:r>
    </w:p>
    <w:p>
      <w:pPr>
        <w:ind w:right="884" w:firstLine="1192" w:firstLineChars="298"/>
        <w:rPr>
          <w:rFonts w:eastAsia="黑体"/>
          <w:color w:val="000000" w:themeColor="text1"/>
          <w:sz w:val="40"/>
          <w:szCs w:val="40"/>
        </w:rPr>
      </w:pPr>
    </w:p>
    <w:p>
      <w:pPr>
        <w:ind w:right="884" w:firstLine="1192" w:firstLineChars="298"/>
        <w:rPr>
          <w:rFonts w:eastAsia="黑体"/>
          <w:color w:val="000000" w:themeColor="text1"/>
          <w:sz w:val="40"/>
          <w:szCs w:val="40"/>
        </w:rPr>
      </w:pPr>
    </w:p>
    <w:p>
      <w:pPr>
        <w:ind w:right="884" w:firstLine="1192" w:firstLineChars="298"/>
        <w:rPr>
          <w:rFonts w:eastAsia="黑体"/>
          <w:color w:val="000000" w:themeColor="text1"/>
          <w:sz w:val="40"/>
          <w:szCs w:val="40"/>
        </w:rPr>
      </w:pPr>
    </w:p>
    <w:p>
      <w:pPr>
        <w:ind w:right="884" w:firstLine="1192" w:firstLineChars="298"/>
        <w:rPr>
          <w:rFonts w:eastAsia="黑体"/>
          <w:color w:val="000000" w:themeColor="text1"/>
          <w:sz w:val="40"/>
          <w:szCs w:val="40"/>
        </w:rPr>
      </w:pPr>
    </w:p>
    <w:p>
      <w:pPr>
        <w:ind w:right="884" w:firstLine="1192" w:firstLineChars="298"/>
        <w:rPr>
          <w:rFonts w:eastAsia="黑体"/>
          <w:color w:val="000000" w:themeColor="text1"/>
          <w:sz w:val="40"/>
          <w:szCs w:val="40"/>
        </w:rPr>
      </w:pPr>
    </w:p>
    <w:p>
      <w:pPr>
        <w:ind w:right="884" w:firstLine="1192" w:firstLineChars="298"/>
        <w:rPr>
          <w:rFonts w:eastAsia="黑体"/>
          <w:color w:val="000000" w:themeColor="text1"/>
          <w:sz w:val="40"/>
          <w:szCs w:val="40"/>
        </w:rPr>
      </w:pPr>
    </w:p>
    <w:p>
      <w:pPr>
        <w:ind w:right="884" w:firstLine="1192" w:firstLineChars="298"/>
        <w:rPr>
          <w:rFonts w:eastAsia="黑体"/>
          <w:color w:val="000000" w:themeColor="text1"/>
          <w:sz w:val="40"/>
          <w:szCs w:val="40"/>
        </w:rPr>
      </w:pPr>
      <w:r>
        <w:rPr>
          <w:rFonts w:eastAsia="黑体"/>
          <w:color w:val="000000" w:themeColor="text1"/>
          <w:sz w:val="40"/>
          <w:szCs w:val="40"/>
        </w:rPr>
        <w:t>第六章  投标文件的组成和格式</w:t>
      </w:r>
      <w:bookmarkEnd w:id="128"/>
    </w:p>
    <w:p>
      <w:pPr>
        <w:jc w:val="center"/>
        <w:rPr>
          <w:b/>
          <w:bCs/>
          <w:color w:val="000000" w:themeColor="text1"/>
          <w:sz w:val="72"/>
          <w:szCs w:val="72"/>
        </w:rPr>
      </w:pPr>
    </w:p>
    <w:p>
      <w:pPr>
        <w:jc w:val="center"/>
        <w:rPr>
          <w:b/>
          <w:bCs/>
          <w:color w:val="000000" w:themeColor="text1"/>
          <w:sz w:val="72"/>
          <w:szCs w:val="72"/>
        </w:rPr>
      </w:pPr>
      <w:r>
        <w:rPr>
          <w:b/>
          <w:bCs/>
          <w:color w:val="000000" w:themeColor="text1"/>
          <w:sz w:val="72"/>
          <w:szCs w:val="72"/>
        </w:rPr>
        <w:t>投标文件</w:t>
      </w:r>
    </w:p>
    <w:p>
      <w:pPr>
        <w:adjustRightInd w:val="0"/>
        <w:spacing w:before="120" w:after="120" w:line="360" w:lineRule="auto"/>
        <w:jc w:val="center"/>
        <w:textAlignment w:val="baseline"/>
        <w:rPr>
          <w:b/>
          <w:bCs/>
          <w:color w:val="000000" w:themeColor="text1"/>
          <w:kern w:val="0"/>
          <w:sz w:val="32"/>
          <w:szCs w:val="32"/>
        </w:rPr>
      </w:pPr>
    </w:p>
    <w:p>
      <w:pPr>
        <w:jc w:val="center"/>
        <w:rPr>
          <w:b/>
          <w:bCs/>
          <w:color w:val="000000" w:themeColor="text1"/>
          <w:sz w:val="36"/>
          <w:szCs w:val="36"/>
        </w:rPr>
      </w:pPr>
      <w:r>
        <w:rPr>
          <w:b/>
          <w:bCs/>
          <w:color w:val="000000" w:themeColor="text1"/>
          <w:sz w:val="36"/>
          <w:szCs w:val="36"/>
        </w:rPr>
        <w:t>（正或副本）</w:t>
      </w:r>
    </w:p>
    <w:p>
      <w:pPr>
        <w:ind w:firstLine="1084"/>
        <w:rPr>
          <w:b/>
          <w:bCs/>
          <w:color w:val="000000" w:themeColor="text1"/>
          <w:sz w:val="36"/>
          <w:szCs w:val="36"/>
        </w:rPr>
      </w:pPr>
    </w:p>
    <w:p>
      <w:pPr>
        <w:ind w:firstLine="1084"/>
        <w:rPr>
          <w:b/>
          <w:bCs/>
          <w:color w:val="000000" w:themeColor="text1"/>
          <w:sz w:val="36"/>
          <w:szCs w:val="36"/>
        </w:rPr>
      </w:pPr>
    </w:p>
    <w:p>
      <w:pPr>
        <w:spacing w:before="312" w:beforeLines="100" w:after="312" w:afterLines="100"/>
        <w:ind w:firstLine="1083"/>
        <w:rPr>
          <w:b/>
          <w:bCs/>
          <w:color w:val="000000" w:themeColor="text1"/>
          <w:sz w:val="36"/>
          <w:szCs w:val="36"/>
        </w:rPr>
      </w:pPr>
      <w:r>
        <w:rPr>
          <w:b/>
          <w:bCs/>
          <w:color w:val="000000" w:themeColor="text1"/>
          <w:sz w:val="36"/>
          <w:szCs w:val="36"/>
        </w:rPr>
        <w:t>项 目 名 称：</w:t>
      </w:r>
    </w:p>
    <w:p>
      <w:pPr>
        <w:spacing w:before="312" w:beforeLines="100" w:after="312" w:afterLines="100"/>
        <w:ind w:firstLine="1083"/>
        <w:rPr>
          <w:b/>
          <w:bCs/>
          <w:color w:val="000000" w:themeColor="text1"/>
          <w:sz w:val="36"/>
          <w:szCs w:val="36"/>
          <w:u w:val="single"/>
        </w:rPr>
      </w:pPr>
      <w:r>
        <w:rPr>
          <w:b/>
          <w:bCs/>
          <w:color w:val="000000" w:themeColor="text1"/>
          <w:sz w:val="36"/>
          <w:szCs w:val="36"/>
        </w:rPr>
        <w:t>项 目 编 号：</w:t>
      </w:r>
    </w:p>
    <w:p>
      <w:pPr>
        <w:spacing w:before="312" w:beforeLines="100" w:after="312" w:afterLines="100"/>
        <w:ind w:firstLine="1083"/>
        <w:rPr>
          <w:b/>
          <w:bCs/>
          <w:color w:val="000000" w:themeColor="text1"/>
          <w:sz w:val="36"/>
          <w:szCs w:val="36"/>
        </w:rPr>
      </w:pPr>
      <w:r>
        <w:rPr>
          <w:b/>
          <w:bCs/>
          <w:color w:val="000000" w:themeColor="text1"/>
          <w:sz w:val="36"/>
          <w:szCs w:val="36"/>
        </w:rPr>
        <w:t>投标供应商名称：</w:t>
      </w:r>
    </w:p>
    <w:p>
      <w:pPr>
        <w:spacing w:before="312" w:beforeLines="100" w:after="312" w:afterLines="100"/>
        <w:ind w:firstLine="1083"/>
        <w:rPr>
          <w:b/>
          <w:bCs/>
          <w:color w:val="000000" w:themeColor="text1"/>
          <w:sz w:val="36"/>
          <w:szCs w:val="36"/>
        </w:rPr>
      </w:pPr>
      <w:r>
        <w:rPr>
          <w:b/>
          <w:bCs/>
          <w:color w:val="000000" w:themeColor="text1"/>
          <w:sz w:val="36"/>
          <w:szCs w:val="36"/>
        </w:rPr>
        <w:t>日       期：</w:t>
      </w:r>
    </w:p>
    <w:p>
      <w:pPr>
        <w:spacing w:line="440" w:lineRule="exact"/>
        <w:jc w:val="center"/>
        <w:rPr>
          <w:b/>
          <w:bCs/>
          <w:color w:val="000000" w:themeColor="text1"/>
          <w:sz w:val="28"/>
          <w:szCs w:val="28"/>
        </w:rPr>
      </w:pPr>
    </w:p>
    <w:p>
      <w:pPr>
        <w:spacing w:line="440" w:lineRule="exact"/>
        <w:jc w:val="center"/>
        <w:rPr>
          <w:b/>
          <w:bCs/>
          <w:color w:val="000000" w:themeColor="text1"/>
          <w:sz w:val="28"/>
          <w:szCs w:val="28"/>
        </w:rPr>
      </w:pPr>
    </w:p>
    <w:p>
      <w:pPr>
        <w:pStyle w:val="26"/>
        <w:rPr>
          <w:b/>
          <w:bCs/>
          <w:color w:val="000000" w:themeColor="text1"/>
          <w:sz w:val="28"/>
          <w:szCs w:val="28"/>
        </w:rPr>
      </w:pPr>
    </w:p>
    <w:p>
      <w:pPr>
        <w:pStyle w:val="26"/>
        <w:rPr>
          <w:b/>
          <w:bCs/>
          <w:color w:val="000000" w:themeColor="text1"/>
          <w:sz w:val="28"/>
          <w:szCs w:val="28"/>
        </w:rPr>
      </w:pPr>
    </w:p>
    <w:p>
      <w:pPr>
        <w:pStyle w:val="26"/>
        <w:rPr>
          <w:b/>
          <w:bCs/>
          <w:color w:val="000000" w:themeColor="text1"/>
          <w:sz w:val="28"/>
          <w:szCs w:val="28"/>
        </w:rPr>
      </w:pPr>
    </w:p>
    <w:p>
      <w:pPr>
        <w:pStyle w:val="26"/>
        <w:rPr>
          <w:b/>
          <w:bCs/>
          <w:color w:val="000000" w:themeColor="text1"/>
          <w:sz w:val="28"/>
          <w:szCs w:val="28"/>
        </w:rPr>
      </w:pPr>
    </w:p>
    <w:p>
      <w:pPr>
        <w:spacing w:line="440" w:lineRule="exact"/>
        <w:ind w:firstLine="3915" w:firstLineChars="1300"/>
        <w:rPr>
          <w:rFonts w:hint="eastAsia" w:ascii="宋体" w:hAnsi="宋体"/>
          <w:b/>
          <w:color w:val="000000"/>
          <w:sz w:val="30"/>
          <w:szCs w:val="30"/>
        </w:rPr>
      </w:pPr>
    </w:p>
    <w:p>
      <w:pPr>
        <w:spacing w:line="440" w:lineRule="exact"/>
        <w:ind w:firstLine="3915" w:firstLineChars="1300"/>
        <w:rPr>
          <w:rFonts w:ascii="宋体" w:hAnsi="宋体"/>
          <w:b/>
          <w:color w:val="000000"/>
          <w:sz w:val="30"/>
          <w:szCs w:val="30"/>
        </w:rPr>
      </w:pPr>
      <w:r>
        <w:rPr>
          <w:rFonts w:hint="eastAsia" w:ascii="宋体" w:hAnsi="宋体"/>
          <w:b/>
          <w:color w:val="000000"/>
          <w:sz w:val="30"/>
          <w:szCs w:val="30"/>
        </w:rPr>
        <w:t>评分索引表</w:t>
      </w:r>
    </w:p>
    <w:p>
      <w:pPr>
        <w:spacing w:line="440" w:lineRule="exact"/>
        <w:jc w:val="center"/>
        <w:rPr>
          <w:rFonts w:ascii="宋体" w:hAnsi="宋体"/>
          <w:b/>
          <w:color w:val="000000"/>
          <w:sz w:val="30"/>
          <w:szCs w:val="30"/>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40"/>
              <w:shd w:val="clear" w:color="auto" w:fill="FFFFFF"/>
              <w:spacing w:line="265" w:lineRule="atLeast"/>
              <w:ind w:left="420"/>
              <w:jc w:val="center"/>
              <w:rPr>
                <w:rFonts w:ascii="宋体" w:hAnsi="宋体"/>
                <w:b/>
                <w:bCs/>
                <w:color w:val="000000"/>
                <w:lang w:eastAsia="zh-CN"/>
              </w:rPr>
            </w:pPr>
            <w:r>
              <w:rPr>
                <w:rFonts w:hint="eastAsia" w:ascii="宋体" w:hAnsi="宋体"/>
                <w:b/>
                <w:color w:val="000000"/>
              </w:rPr>
              <w:t>评分项目</w:t>
            </w:r>
          </w:p>
        </w:tc>
        <w:tc>
          <w:tcPr>
            <w:tcW w:w="3570" w:type="dxa"/>
            <w:noWrap w:val="0"/>
            <w:vAlign w:val="top"/>
          </w:tcPr>
          <w:p>
            <w:pPr>
              <w:jc w:val="center"/>
              <w:rPr>
                <w:rFonts w:ascii="宋体" w:hAnsi="宋体"/>
                <w:b/>
                <w:color w:val="000000"/>
              </w:rPr>
            </w:pPr>
            <w:r>
              <w:rPr>
                <w:rFonts w:hint="eastAsia" w:ascii="宋体" w:hAnsi="宋体"/>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40"/>
              <w:shd w:val="clear" w:color="auto" w:fill="FFFFFF"/>
              <w:spacing w:line="265" w:lineRule="atLeast"/>
              <w:ind w:left="420"/>
              <w:jc w:val="both"/>
              <w:rPr>
                <w:rFonts w:ascii="宋体" w:hAnsi="宋体"/>
                <w:b/>
                <w:color w:val="000000"/>
                <w:lang w:eastAsia="zh-CN"/>
              </w:rPr>
            </w:pPr>
          </w:p>
        </w:tc>
        <w:tc>
          <w:tcPr>
            <w:tcW w:w="3570" w:type="dxa"/>
            <w:noWrap w:val="0"/>
            <w:vAlign w:val="top"/>
          </w:tcPr>
          <w:p>
            <w:pPr>
              <w:rPr>
                <w:rFonts w:ascii="宋体" w:hAnsi="宋体"/>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40"/>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40"/>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40"/>
              <w:shd w:val="clear" w:color="auto" w:fill="FFFFFF"/>
              <w:spacing w:line="265" w:lineRule="atLeast"/>
              <w:ind w:left="420"/>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40"/>
              <w:shd w:val="clear" w:color="auto" w:fill="FFFFFF"/>
              <w:spacing w:line="265" w:lineRule="atLeast"/>
              <w:ind w:left="420"/>
              <w:rPr>
                <w:rFonts w:ascii="宋体" w:hAnsi="宋体"/>
                <w:b/>
                <w:bCs/>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40"/>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40"/>
              <w:shd w:val="clear" w:color="auto" w:fill="FFFFFF"/>
              <w:spacing w:line="265" w:lineRule="atLeast"/>
              <w:ind w:left="420"/>
              <w:rPr>
                <w:rFonts w:ascii="宋体" w:hAnsi="宋体"/>
                <w:b/>
                <w:bCs/>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40"/>
              <w:shd w:val="clear" w:color="auto" w:fill="FFFFFF"/>
              <w:spacing w:line="265" w:lineRule="atLeast"/>
              <w:ind w:left="420"/>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40"/>
              <w:shd w:val="clear" w:color="auto" w:fill="FFFFFF"/>
              <w:spacing w:line="265" w:lineRule="atLeast"/>
              <w:ind w:left="0" w:firstLine="480" w:firstLineChars="200"/>
              <w:rPr>
                <w:rFonts w:ascii="宋体" w:hAnsi="宋体"/>
                <w:color w:val="000000"/>
                <w:szCs w:val="21"/>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40"/>
              <w:shd w:val="clear" w:color="auto" w:fill="FFFFFF"/>
              <w:spacing w:line="265" w:lineRule="atLeast"/>
              <w:ind w:left="0" w:firstLine="480" w:firstLineChars="200"/>
              <w:rPr>
                <w:rFonts w:ascii="宋体" w:hAnsi="宋体"/>
                <w:color w:val="000000"/>
                <w:lang w:eastAsia="zh-CN"/>
              </w:rPr>
            </w:pPr>
          </w:p>
        </w:tc>
        <w:tc>
          <w:tcPr>
            <w:tcW w:w="3570" w:type="dxa"/>
            <w:tcBorders>
              <w:bottom w:val="single" w:color="auto" w:sz="4" w:space="0"/>
            </w:tcBorders>
            <w:noWrap w:val="0"/>
            <w:vAlign w:val="top"/>
          </w:tcPr>
          <w:p>
            <w:pPr>
              <w:rPr>
                <w:rFonts w:ascii="宋体" w:hAnsi="宋体"/>
                <w:color w:val="000000"/>
              </w:rPr>
            </w:pPr>
          </w:p>
        </w:tc>
      </w:tr>
    </w:tbl>
    <w:p>
      <w:pPr>
        <w:rPr>
          <w:rFonts w:ascii="宋体" w:hAnsi="宋体"/>
          <w:color w:val="000000"/>
        </w:rPr>
      </w:pPr>
    </w:p>
    <w:p>
      <w:pPr>
        <w:widowControl/>
        <w:jc w:val="left"/>
        <w:rPr>
          <w:b/>
          <w:bCs/>
          <w:color w:val="000000" w:themeColor="text1"/>
          <w:sz w:val="28"/>
          <w:szCs w:val="28"/>
        </w:rPr>
      </w:pPr>
      <w:r>
        <w:rPr>
          <w:b/>
          <w:bCs/>
          <w:color w:val="000000" w:themeColor="text1"/>
          <w:sz w:val="28"/>
          <w:szCs w:val="28"/>
        </w:rPr>
        <w:br w:type="page"/>
      </w:r>
    </w:p>
    <w:p>
      <w:pPr>
        <w:spacing w:line="480" w:lineRule="exact"/>
        <w:jc w:val="center"/>
        <w:rPr>
          <w:b/>
          <w:bCs/>
          <w:color w:val="000000" w:themeColor="text1"/>
          <w:sz w:val="32"/>
          <w:szCs w:val="32"/>
        </w:rPr>
      </w:pPr>
      <w:r>
        <w:rPr>
          <w:b/>
          <w:bCs/>
          <w:color w:val="000000" w:themeColor="text1"/>
          <w:sz w:val="32"/>
          <w:szCs w:val="32"/>
        </w:rPr>
        <w:t>投标文件主要目录</w:t>
      </w:r>
    </w:p>
    <w:p>
      <w:pPr>
        <w:spacing w:line="360" w:lineRule="auto"/>
        <w:ind w:firstLine="480" w:firstLineChars="200"/>
        <w:rPr>
          <w:color w:val="000000" w:themeColor="text1"/>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color w:val="000000" w:themeColor="text1"/>
          <w:sz w:val="24"/>
          <w:szCs w:val="24"/>
        </w:rPr>
        <w:t>一、资信证明文件要求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color w:val="000000" w:themeColor="text1"/>
          <w:sz w:val="24"/>
          <w:szCs w:val="24"/>
        </w:rPr>
        <w:t>二、资格性审查响应对照表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color w:val="000000" w:themeColor="text1"/>
          <w:sz w:val="24"/>
          <w:szCs w:val="24"/>
        </w:rPr>
        <w:t>三、符合性检查响应对照表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color w:val="000000" w:themeColor="text1"/>
          <w:sz w:val="24"/>
          <w:szCs w:val="24"/>
        </w:rPr>
        <w:t>四、投标函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color w:val="000000" w:themeColor="text1"/>
          <w:sz w:val="24"/>
          <w:szCs w:val="24"/>
        </w:rPr>
        <w:t>五、</w:t>
      </w:r>
      <w:r>
        <w:rPr>
          <w:rFonts w:hint="eastAsia" w:ascii="宋体" w:hAnsi="宋体"/>
          <w:color w:val="000000"/>
          <w:sz w:val="24"/>
        </w:rPr>
        <w:t>开标一览表及报价明细表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color w:val="000000" w:themeColor="text1"/>
          <w:sz w:val="24"/>
          <w:szCs w:val="24"/>
        </w:rPr>
        <w:t>六、技术参数响应及偏离表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color w:val="000000" w:themeColor="text1"/>
          <w:sz w:val="24"/>
          <w:szCs w:val="24"/>
        </w:rPr>
        <w:t>七、商务条款响应及偏离表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color w:val="000000"/>
          <w:sz w:val="24"/>
          <w:lang w:eastAsia="zh-CN"/>
        </w:rPr>
      </w:pPr>
      <w:r>
        <w:rPr>
          <w:rFonts w:hint="eastAsia" w:ascii="宋体" w:hAnsi="宋体"/>
          <w:bCs/>
          <w:color w:val="000000"/>
          <w:sz w:val="24"/>
        </w:rPr>
        <w:t>八、</w:t>
      </w:r>
      <w:r>
        <w:rPr>
          <w:rFonts w:hint="eastAsia" w:ascii="宋体" w:hAnsi="宋体"/>
          <w:bCs/>
          <w:color w:val="000000"/>
          <w:sz w:val="24"/>
          <w:lang w:eastAsia="zh-CN"/>
        </w:rPr>
        <w:t>项目实施方案、服务承诺、安全攻防演练方案等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bCs/>
          <w:color w:val="000000"/>
          <w:sz w:val="24"/>
        </w:rPr>
        <w:t>九、拟投入本项目的</w:t>
      </w:r>
      <w:r>
        <w:rPr>
          <w:rFonts w:hint="eastAsia" w:ascii="宋体" w:hAnsi="宋体"/>
          <w:color w:val="000000"/>
          <w:sz w:val="24"/>
        </w:rPr>
        <w:t>主要人员一览表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r>
        <w:rPr>
          <w:rFonts w:hint="eastAsia" w:ascii="宋体" w:hAnsi="宋体"/>
          <w:color w:val="000000"/>
          <w:sz w:val="24"/>
        </w:rPr>
        <w:t>十</w:t>
      </w:r>
      <w:r>
        <w:rPr>
          <w:rFonts w:ascii="宋体" w:hAnsi="宋体"/>
          <w:color w:val="000000"/>
          <w:sz w:val="24"/>
        </w:rPr>
        <w:t>、</w:t>
      </w:r>
      <w:r>
        <w:rPr>
          <w:rFonts w:hint="eastAsia" w:ascii="宋体" w:hAnsi="宋体"/>
          <w:color w:val="000000"/>
          <w:sz w:val="24"/>
        </w:rPr>
        <w:t>盐城市政府采购事前信用承诺书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rPr>
      </w:pPr>
      <w:r>
        <w:rPr>
          <w:rFonts w:hint="eastAsia"/>
          <w:color w:val="000000" w:themeColor="text1"/>
          <w:sz w:val="24"/>
          <w:szCs w:val="24"/>
          <w:lang w:eastAsia="zh-CN"/>
        </w:rPr>
        <w:t>十一</w:t>
      </w:r>
      <w:r>
        <w:rPr>
          <w:color w:val="000000" w:themeColor="text1"/>
          <w:sz w:val="24"/>
          <w:szCs w:val="24"/>
        </w:rPr>
        <w:t>、投标文件中规定要求提供的材料或投标供应商认为需要提供的其他材料</w:t>
      </w:r>
    </w:p>
    <w:p>
      <w:pPr>
        <w:pStyle w:val="11"/>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napToGrid w:val="0"/>
        <w:spacing w:before="50" w:after="50"/>
        <w:jc w:val="center"/>
        <w:rPr>
          <w:rFonts w:eastAsia="黑体"/>
          <w:color w:val="000000" w:themeColor="text1"/>
          <w:sz w:val="32"/>
          <w:szCs w:val="32"/>
        </w:rPr>
      </w:pPr>
      <w:r>
        <w:rPr>
          <w:color w:val="000000" w:themeColor="text1"/>
          <w:sz w:val="24"/>
          <w:szCs w:val="24"/>
        </w:rPr>
        <w:br w:type="page"/>
      </w:r>
      <w:r>
        <w:rPr>
          <w:rFonts w:eastAsia="黑体"/>
          <w:color w:val="000000" w:themeColor="text1"/>
          <w:sz w:val="32"/>
          <w:szCs w:val="32"/>
        </w:rPr>
        <w:t>一、资信证明文件要求</w:t>
      </w:r>
    </w:p>
    <w:p>
      <w:pPr>
        <w:snapToGrid w:val="0"/>
        <w:spacing w:before="50" w:after="50" w:line="360" w:lineRule="auto"/>
        <w:rPr>
          <w:b/>
          <w:bCs/>
          <w:color w:val="000000" w:themeColor="text1"/>
          <w:sz w:val="24"/>
          <w:szCs w:val="24"/>
        </w:rPr>
      </w:pPr>
    </w:p>
    <w:p>
      <w:pPr>
        <w:snapToGrid w:val="0"/>
        <w:spacing w:line="440" w:lineRule="exact"/>
        <w:ind w:firstLine="482" w:firstLineChars="200"/>
        <w:rPr>
          <w:color w:val="000000" w:themeColor="text1"/>
          <w:sz w:val="24"/>
          <w:szCs w:val="24"/>
        </w:rPr>
      </w:pPr>
      <w:r>
        <w:rPr>
          <w:b/>
          <w:bCs/>
          <w:color w:val="000000" w:themeColor="text1"/>
          <w:sz w:val="24"/>
          <w:szCs w:val="24"/>
        </w:rPr>
        <w:t>1、实质性资格证明文件目录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color w:val="000000" w:themeColor="text1"/>
          <w:sz w:val="24"/>
          <w:szCs w:val="24"/>
        </w:rPr>
        <w:t>文件1  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color w:val="000000" w:themeColor="text1"/>
          <w:sz w:val="24"/>
          <w:szCs w:val="24"/>
        </w:rPr>
        <w:t>文件2  上一年度财务状况报表（复印件，成立不满一年不需提供）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color w:val="000000" w:themeColor="text1"/>
          <w:sz w:val="24"/>
          <w:szCs w:val="24"/>
        </w:rPr>
        <w:t>文件3  依法缴纳税收和社会保障资金的相关材料（复印件）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color w:val="000000" w:themeColor="text1"/>
          <w:sz w:val="24"/>
          <w:szCs w:val="24"/>
        </w:rPr>
        <w:t>文件4  具备履行合同所必需的设备和专业技术能力证明材料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color w:val="000000" w:themeColor="text1"/>
          <w:sz w:val="24"/>
          <w:szCs w:val="24"/>
        </w:rPr>
        <w:t>文件5 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color w:val="000000" w:themeColor="text1"/>
          <w:sz w:val="24"/>
          <w:szCs w:val="24"/>
        </w:rPr>
        <w:t>文件6 法人授权书</w:t>
      </w:r>
    </w:p>
    <w:p>
      <w:pPr>
        <w:keepNext w:val="0"/>
        <w:keepLines w:val="0"/>
        <w:pageBreakBefore w:val="0"/>
        <w:widowControl w:val="0"/>
        <w:kinsoku/>
        <w:wordWrap/>
        <w:overflowPunct/>
        <w:topLinePunct w:val="0"/>
        <w:autoSpaceDE/>
        <w:autoSpaceDN/>
        <w:bidi w:val="0"/>
        <w:adjustRightInd/>
        <w:snapToGrid w:val="0"/>
        <w:spacing w:before="50" w:after="145" w:afterLines="50" w:line="360" w:lineRule="auto"/>
        <w:ind w:firstLine="482" w:firstLineChars="200"/>
        <w:jc w:val="left"/>
        <w:textAlignment w:val="auto"/>
        <w:rPr>
          <w:rFonts w:hint="eastAsia" w:ascii="仿宋_GB2312" w:hAnsi="宋体" w:cs="Arial"/>
          <w:b/>
          <w:bCs/>
          <w:color w:val="000000"/>
          <w:sz w:val="24"/>
        </w:rPr>
      </w:pPr>
      <w:r>
        <w:rPr>
          <w:rFonts w:hint="eastAsia" w:ascii="仿宋_GB2312" w:hAnsi="宋体" w:eastAsia="宋体" w:cs="Arial"/>
          <w:b/>
          <w:bCs/>
          <w:color w:val="000000"/>
          <w:sz w:val="24"/>
        </w:rPr>
        <w:t xml:space="preserve">文件7 </w:t>
      </w:r>
      <w:r>
        <w:rPr>
          <w:rFonts w:hint="eastAsia" w:ascii="仿宋_GB2312" w:hAnsi="宋体" w:cs="Arial"/>
          <w:color w:val="000000"/>
          <w:sz w:val="24"/>
        </w:rPr>
        <w:t xml:space="preserve"> </w:t>
      </w:r>
      <w:r>
        <w:rPr>
          <w:rFonts w:hint="eastAsia" w:ascii="仿宋_GB2312" w:hAnsi="宋体" w:cs="Arial"/>
          <w:b/>
          <w:bCs/>
          <w:color w:val="000000"/>
          <w:sz w:val="24"/>
        </w:rPr>
        <w:t>中小企业声明函</w:t>
      </w:r>
    </w:p>
    <w:p>
      <w:pPr>
        <w:keepNext w:val="0"/>
        <w:keepLines w:val="0"/>
        <w:pageBreakBefore w:val="0"/>
        <w:widowControl w:val="0"/>
        <w:kinsoku/>
        <w:wordWrap/>
        <w:overflowPunct/>
        <w:topLinePunct w:val="0"/>
        <w:autoSpaceDE/>
        <w:autoSpaceDN/>
        <w:bidi w:val="0"/>
        <w:adjustRightInd/>
        <w:snapToGrid w:val="0"/>
        <w:spacing w:before="50" w:after="145" w:afterLines="50" w:line="360" w:lineRule="auto"/>
        <w:ind w:firstLine="480" w:firstLineChars="200"/>
        <w:jc w:val="left"/>
        <w:textAlignment w:val="auto"/>
      </w:pPr>
      <w:r>
        <w:rPr>
          <w:rFonts w:hint="eastAsia" w:ascii="仿宋_GB2312" w:hAnsi="宋体" w:cs="Arial"/>
          <w:color w:val="000000"/>
          <w:sz w:val="24"/>
        </w:rPr>
        <w:t>文件8  招标文件中规定要求提供的证明材料和投标人认为需要提供的其他材料</w:t>
      </w:r>
    </w:p>
    <w:p>
      <w:pPr>
        <w:snapToGrid w:val="0"/>
        <w:spacing w:line="440" w:lineRule="exact"/>
        <w:ind w:firstLine="480" w:firstLineChars="200"/>
        <w:rPr>
          <w:rFonts w:hint="eastAsia" w:eastAsia="宋体"/>
          <w:color w:val="000000" w:themeColor="text1"/>
          <w:sz w:val="24"/>
          <w:szCs w:val="24"/>
          <w:lang w:eastAsia="zh-CN"/>
        </w:rPr>
      </w:pPr>
      <w:r>
        <w:rPr>
          <w:rFonts w:hint="eastAsia"/>
          <w:color w:val="000000" w:themeColor="text1"/>
          <w:sz w:val="24"/>
          <w:szCs w:val="24"/>
          <w:lang w:eastAsia="zh-CN"/>
        </w:rPr>
        <w:t>注：</w:t>
      </w:r>
      <w:r>
        <w:rPr>
          <w:color w:val="000000" w:themeColor="text1"/>
          <w:sz w:val="24"/>
          <w:szCs w:val="24"/>
        </w:rPr>
        <w:t>招标文件要求提供原件的必须单独封装并与投标文件一起递交，评标结束后原件退回；未要求提供原件的提供复印件，原件自带备查</w:t>
      </w:r>
      <w:r>
        <w:rPr>
          <w:rFonts w:hint="eastAsia"/>
          <w:color w:val="000000" w:themeColor="text1"/>
          <w:sz w:val="24"/>
          <w:szCs w:val="24"/>
          <w:lang w:eastAsia="zh-CN"/>
        </w:rPr>
        <w:t>。</w:t>
      </w:r>
    </w:p>
    <w:p>
      <w:pPr>
        <w:snapToGrid w:val="0"/>
        <w:spacing w:line="440" w:lineRule="exact"/>
        <w:ind w:firstLine="480" w:firstLineChars="200"/>
        <w:rPr>
          <w:color w:val="000000" w:themeColor="text1"/>
          <w:sz w:val="24"/>
          <w:szCs w:val="24"/>
        </w:rPr>
      </w:pPr>
    </w:p>
    <w:p>
      <w:pPr>
        <w:pStyle w:val="6"/>
        <w:spacing w:line="0" w:lineRule="atLeast"/>
        <w:rPr>
          <w:color w:val="000000" w:themeColor="text1"/>
          <w:sz w:val="24"/>
          <w:szCs w:val="24"/>
        </w:rPr>
      </w:pPr>
    </w:p>
    <w:p>
      <w:pPr>
        <w:spacing w:line="480" w:lineRule="exact"/>
        <w:jc w:val="center"/>
        <w:rPr>
          <w:b/>
          <w:bCs/>
          <w:color w:val="000000" w:themeColor="text1"/>
          <w:sz w:val="32"/>
          <w:szCs w:val="32"/>
        </w:rPr>
      </w:pPr>
      <w:r>
        <w:rPr>
          <w:color w:val="000000" w:themeColor="text1"/>
          <w:sz w:val="24"/>
          <w:szCs w:val="24"/>
        </w:rPr>
        <w:br w:type="page"/>
      </w:r>
      <w:r>
        <w:rPr>
          <w:b/>
          <w:bCs/>
          <w:color w:val="000000" w:themeColor="text1"/>
          <w:sz w:val="32"/>
          <w:szCs w:val="32"/>
        </w:rPr>
        <w:t>具备履行合同所必需的设备和专业技术能力的书面声明</w:t>
      </w:r>
    </w:p>
    <w:p>
      <w:pPr>
        <w:spacing w:line="460" w:lineRule="exact"/>
        <w:ind w:firstLine="492"/>
        <w:rPr>
          <w:color w:val="000000" w:themeColor="text1"/>
          <w:sz w:val="24"/>
          <w:szCs w:val="24"/>
        </w:rPr>
      </w:pPr>
    </w:p>
    <w:p>
      <w:pPr>
        <w:spacing w:line="460" w:lineRule="exact"/>
        <w:ind w:firstLine="480" w:firstLineChars="200"/>
        <w:rPr>
          <w:color w:val="000000" w:themeColor="text1"/>
          <w:sz w:val="24"/>
          <w:szCs w:val="24"/>
        </w:rPr>
      </w:pPr>
      <w:r>
        <w:rPr>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rPr>
      </w:pPr>
      <w:r>
        <w:rPr>
          <w:color w:val="000000" w:themeColor="text1"/>
          <w:sz w:val="24"/>
          <w:szCs w:val="24"/>
        </w:rPr>
        <w:t>主要设备有：。</w:t>
      </w:r>
    </w:p>
    <w:p>
      <w:pPr>
        <w:spacing w:line="460" w:lineRule="exact"/>
        <w:ind w:firstLine="492"/>
        <w:rPr>
          <w:color w:val="000000" w:themeColor="text1"/>
          <w:sz w:val="24"/>
          <w:szCs w:val="24"/>
        </w:rPr>
      </w:pPr>
      <w:r>
        <w:rPr>
          <w:color w:val="000000" w:themeColor="text1"/>
          <w:sz w:val="24"/>
          <w:szCs w:val="24"/>
        </w:rPr>
        <w:t>主要专业技术能力有：。</w:t>
      </w: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pStyle w:val="6"/>
        <w:ind w:firstLine="0"/>
        <w:rPr>
          <w:color w:val="000000" w:themeColor="text1"/>
        </w:rPr>
      </w:pPr>
      <w:r>
        <w:rPr>
          <w:color w:val="000000" w:themeColor="text1"/>
        </w:rPr>
        <w:br w:type="page"/>
      </w:r>
    </w:p>
    <w:p>
      <w:pPr>
        <w:spacing w:line="480" w:lineRule="exact"/>
        <w:jc w:val="center"/>
        <w:rPr>
          <w:b/>
          <w:bCs/>
          <w:color w:val="000000" w:themeColor="text1"/>
          <w:sz w:val="32"/>
          <w:szCs w:val="32"/>
        </w:rPr>
      </w:pPr>
      <w:r>
        <w:rPr>
          <w:b/>
          <w:bCs/>
          <w:color w:val="000000" w:themeColor="text1"/>
          <w:sz w:val="32"/>
          <w:szCs w:val="32"/>
        </w:rPr>
        <w:t>参加政府采购活动前3年内在经营活动中没有重大违法记录的书面声明</w:t>
      </w:r>
    </w:p>
    <w:p>
      <w:pPr>
        <w:spacing w:line="460" w:lineRule="exact"/>
        <w:rPr>
          <w:b/>
          <w:bCs/>
          <w:color w:val="000000" w:themeColor="text1"/>
          <w:sz w:val="44"/>
          <w:szCs w:val="44"/>
        </w:rPr>
      </w:pPr>
    </w:p>
    <w:p>
      <w:pPr>
        <w:spacing w:line="460" w:lineRule="exact"/>
        <w:jc w:val="center"/>
        <w:rPr>
          <w:b/>
          <w:bCs/>
          <w:color w:val="000000" w:themeColor="text1"/>
          <w:sz w:val="44"/>
          <w:szCs w:val="44"/>
        </w:rPr>
      </w:pPr>
      <w:r>
        <w:rPr>
          <w:b/>
          <w:bCs/>
          <w:color w:val="000000" w:themeColor="text1"/>
          <w:sz w:val="44"/>
          <w:szCs w:val="44"/>
        </w:rPr>
        <w:t>声  明</w:t>
      </w:r>
    </w:p>
    <w:p>
      <w:pPr>
        <w:spacing w:line="460" w:lineRule="exact"/>
        <w:ind w:firstLine="480" w:firstLineChars="200"/>
        <w:rPr>
          <w:color w:val="000000" w:themeColor="text1"/>
          <w:sz w:val="24"/>
          <w:szCs w:val="24"/>
        </w:rPr>
      </w:pPr>
      <w:r>
        <w:rPr>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pStyle w:val="26"/>
      </w:pPr>
    </w:p>
    <w:p>
      <w:pPr>
        <w:pStyle w:val="26"/>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r>
        <w:rPr>
          <w:color w:val="000000" w:themeColor="text1"/>
          <w:sz w:val="24"/>
          <w:szCs w:val="24"/>
        </w:rPr>
        <w:t xml:space="preserve">                                      授权代表签字：</w:t>
      </w:r>
      <w:r>
        <w:rPr>
          <w:color w:val="000000" w:themeColor="text1"/>
          <w:sz w:val="24"/>
          <w:szCs w:val="24"/>
          <w:u w:val="single"/>
        </w:rPr>
        <w:t>_________________</w:t>
      </w: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spacing w:line="460" w:lineRule="exact"/>
        <w:rPr>
          <w:color w:val="000000" w:themeColor="text1"/>
          <w:sz w:val="24"/>
          <w:szCs w:val="24"/>
        </w:rPr>
      </w:pPr>
    </w:p>
    <w:p>
      <w:pPr>
        <w:spacing w:line="460" w:lineRule="exact"/>
        <w:rPr>
          <w:color w:val="000000" w:themeColor="text1"/>
          <w:sz w:val="24"/>
          <w:szCs w:val="24"/>
        </w:rPr>
      </w:pPr>
    </w:p>
    <w:p>
      <w:pPr>
        <w:pStyle w:val="26"/>
      </w:pPr>
      <w:r>
        <w:br w:type="page"/>
      </w:r>
    </w:p>
    <w:p>
      <w:pPr>
        <w:spacing w:line="480" w:lineRule="exact"/>
        <w:jc w:val="center"/>
        <w:rPr>
          <w:b/>
          <w:bCs/>
          <w:color w:val="000000" w:themeColor="text1"/>
          <w:sz w:val="32"/>
          <w:szCs w:val="32"/>
        </w:rPr>
      </w:pPr>
      <w:r>
        <w:rPr>
          <w:b/>
          <w:bCs/>
          <w:color w:val="000000" w:themeColor="text1"/>
          <w:sz w:val="32"/>
          <w:szCs w:val="32"/>
        </w:rPr>
        <w:t>法人授权书</w:t>
      </w:r>
    </w:p>
    <w:p>
      <w:pPr>
        <w:pStyle w:val="46"/>
        <w:spacing w:line="600" w:lineRule="auto"/>
        <w:ind w:firstLine="480"/>
        <w:rPr>
          <w:color w:val="000000" w:themeColor="text1"/>
          <w:sz w:val="24"/>
          <w:szCs w:val="24"/>
        </w:rPr>
      </w:pPr>
    </w:p>
    <w:p>
      <w:pPr>
        <w:pStyle w:val="46"/>
        <w:spacing w:line="600" w:lineRule="auto"/>
        <w:ind w:firstLine="480"/>
        <w:rPr>
          <w:color w:val="000000" w:themeColor="text1"/>
          <w:sz w:val="24"/>
          <w:szCs w:val="24"/>
        </w:rPr>
      </w:pPr>
      <w:r>
        <w:rPr>
          <w:color w:val="000000" w:themeColor="text1"/>
          <w:sz w:val="24"/>
          <w:szCs w:val="24"/>
        </w:rPr>
        <w:t>本授权书声明：____________（供应商名称）授权________________（被授权人的姓名）为我方就</w:t>
      </w:r>
      <w:r>
        <w:rPr>
          <w:rFonts w:hint="eastAsia"/>
          <w:color w:val="000000" w:themeColor="text1"/>
          <w:sz w:val="24"/>
          <w:szCs w:val="24"/>
          <w:u w:val="single"/>
          <w:lang w:eastAsia="zh-CN"/>
        </w:rPr>
        <w:t>YCYZ2022HW004</w:t>
      </w:r>
      <w:r>
        <w:rPr>
          <w:color w:val="000000" w:themeColor="text1"/>
          <w:sz w:val="24"/>
          <w:szCs w:val="24"/>
        </w:rPr>
        <w:t>号</w:t>
      </w:r>
      <w:r>
        <w:rPr>
          <w:rFonts w:hint="eastAsia"/>
          <w:color w:val="000000" w:themeColor="text1"/>
          <w:sz w:val="24"/>
          <w:szCs w:val="24"/>
          <w:u w:val="single"/>
          <w:lang w:eastAsia="zh-CN"/>
        </w:rPr>
        <w:t>盐城幼儿师范高等专科学校入侵防御系统项目</w:t>
      </w:r>
      <w:r>
        <w:rPr>
          <w:color w:val="000000" w:themeColor="text1"/>
          <w:sz w:val="24"/>
          <w:szCs w:val="24"/>
        </w:rPr>
        <w:t>采购活动的合法代理人，以本公司名义全权处理一切与该项目采购有关的事务。</w:t>
      </w:r>
    </w:p>
    <w:p>
      <w:pPr>
        <w:pStyle w:val="46"/>
        <w:spacing w:line="600" w:lineRule="auto"/>
        <w:ind w:firstLine="480"/>
        <w:rPr>
          <w:color w:val="000000" w:themeColor="text1"/>
          <w:sz w:val="24"/>
          <w:szCs w:val="24"/>
        </w:rPr>
      </w:pPr>
      <w:r>
        <w:rPr>
          <w:color w:val="000000" w:themeColor="text1"/>
          <w:sz w:val="24"/>
          <w:szCs w:val="24"/>
        </w:rPr>
        <w:t>本授权书于______年____月____日起生效，特此声明。</w:t>
      </w:r>
    </w:p>
    <w:p>
      <w:pPr>
        <w:pStyle w:val="46"/>
        <w:spacing w:line="600" w:lineRule="auto"/>
        <w:ind w:firstLine="0" w:firstLineChars="0"/>
        <w:rPr>
          <w:color w:val="000000" w:themeColor="text1"/>
          <w:sz w:val="24"/>
          <w:szCs w:val="24"/>
        </w:rPr>
      </w:pPr>
      <w:r>
        <w:rPr>
          <w:color w:val="000000" w:themeColor="text1"/>
          <w:sz w:val="24"/>
          <w:szCs w:val="24"/>
        </w:rPr>
        <w:t xml:space="preserve">          代理人（被授权人）：_______________________</w:t>
      </w:r>
    </w:p>
    <w:p>
      <w:pPr>
        <w:pStyle w:val="46"/>
        <w:spacing w:line="600" w:lineRule="auto"/>
        <w:ind w:firstLine="0" w:firstLineChars="0"/>
        <w:rPr>
          <w:color w:val="000000" w:themeColor="text1"/>
          <w:sz w:val="24"/>
          <w:szCs w:val="24"/>
        </w:rPr>
      </w:pPr>
      <w:r>
        <w:rPr>
          <w:color w:val="000000" w:themeColor="text1"/>
          <w:sz w:val="24"/>
          <w:szCs w:val="24"/>
        </w:rPr>
        <w:t xml:space="preserve">          单位名称：_____________________________________</w:t>
      </w:r>
    </w:p>
    <w:p>
      <w:pPr>
        <w:pStyle w:val="46"/>
        <w:spacing w:line="600" w:lineRule="auto"/>
        <w:ind w:firstLine="0" w:firstLineChars="0"/>
        <w:rPr>
          <w:color w:val="000000" w:themeColor="text1"/>
          <w:sz w:val="24"/>
          <w:szCs w:val="24"/>
        </w:rPr>
      </w:pPr>
      <w:r>
        <w:rPr>
          <w:color w:val="000000" w:themeColor="text1"/>
          <w:sz w:val="24"/>
          <w:szCs w:val="24"/>
        </w:rPr>
        <w:t xml:space="preserve">          授权单位盖章：_________________________________</w:t>
      </w:r>
    </w:p>
    <w:p>
      <w:pPr>
        <w:pStyle w:val="46"/>
        <w:spacing w:line="600" w:lineRule="auto"/>
        <w:ind w:firstLine="480"/>
        <w:rPr>
          <w:color w:val="000000" w:themeColor="text1"/>
          <w:sz w:val="24"/>
          <w:szCs w:val="24"/>
        </w:rPr>
      </w:pPr>
      <w:r>
        <w:rPr>
          <w:color w:val="000000" w:themeColor="text1"/>
          <w:sz w:val="24"/>
          <w:szCs w:val="24"/>
        </w:rPr>
        <w:t xml:space="preserve">      单位名称：_____________________________________</w:t>
      </w:r>
    </w:p>
    <w:p>
      <w:pPr>
        <w:pStyle w:val="46"/>
        <w:spacing w:line="600" w:lineRule="auto"/>
        <w:ind w:firstLine="480"/>
        <w:rPr>
          <w:color w:val="000000" w:themeColor="text1"/>
          <w:sz w:val="24"/>
          <w:szCs w:val="24"/>
          <w:u w:val="single"/>
        </w:rPr>
      </w:pPr>
      <w:r>
        <w:rPr>
          <w:color w:val="000000" w:themeColor="text1"/>
          <w:sz w:val="24"/>
          <w:szCs w:val="24"/>
        </w:rPr>
        <w:t xml:space="preserve">      地址：</w:t>
      </w:r>
    </w:p>
    <w:p>
      <w:pPr>
        <w:pStyle w:val="46"/>
        <w:spacing w:line="600" w:lineRule="auto"/>
        <w:ind w:firstLine="480"/>
        <w:rPr>
          <w:color w:val="000000" w:themeColor="text1"/>
          <w:sz w:val="24"/>
          <w:szCs w:val="24"/>
        </w:rPr>
      </w:pPr>
      <w:r>
        <w:rPr>
          <w:color w:val="000000" w:themeColor="text1"/>
          <w:sz w:val="24"/>
          <w:szCs w:val="24"/>
        </w:rPr>
        <w:t xml:space="preserve">      日期：                    </w:t>
      </w:r>
    </w:p>
    <w:p>
      <w:pPr>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pStyle w:val="6"/>
        <w:rPr>
          <w:color w:val="000000" w:themeColor="text1"/>
        </w:rPr>
      </w:pPr>
    </w:p>
    <w:p>
      <w:pPr>
        <w:spacing w:line="360" w:lineRule="auto"/>
        <w:jc w:val="center"/>
        <w:rPr>
          <w:rFonts w:hint="eastAsia" w:eastAsia="黑体"/>
          <w:bCs/>
          <w:color w:val="000000"/>
          <w:sz w:val="32"/>
          <w:szCs w:val="32"/>
        </w:rPr>
      </w:pPr>
    </w:p>
    <w:p>
      <w:pPr>
        <w:spacing w:line="360" w:lineRule="auto"/>
        <w:jc w:val="center"/>
        <w:rPr>
          <w:rFonts w:hint="eastAsia" w:ascii="宋体" w:hAnsi="宋体"/>
          <w:b/>
          <w:bCs/>
          <w:color w:val="000000"/>
          <w:sz w:val="28"/>
          <w:szCs w:val="28"/>
        </w:rPr>
      </w:pPr>
      <w:r>
        <w:rPr>
          <w:rFonts w:hint="eastAsia" w:eastAsia="黑体"/>
          <w:bCs/>
          <w:color w:val="000000"/>
          <w:sz w:val="32"/>
          <w:szCs w:val="32"/>
        </w:rPr>
        <w:t>中小企业声明函</w:t>
      </w:r>
    </w:p>
    <w:p>
      <w:pPr>
        <w:spacing w:line="560" w:lineRule="exact"/>
        <w:jc w:val="center"/>
        <w:rPr>
          <w:rFonts w:hint="eastAsia" w:ascii="宋体" w:hAnsi="宋体"/>
          <w:b/>
          <w:bCs/>
          <w:sz w:val="32"/>
          <w:szCs w:val="32"/>
        </w:rPr>
      </w:pP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1"/>
        </w:numPr>
        <w:spacing w:line="360" w:lineRule="auto"/>
        <w:ind w:firstLine="480" w:firstLineChars="200"/>
        <w:jc w:val="left"/>
        <w:rPr>
          <w:rFonts w:hint="eastAsia"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hint="eastAsia"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hint="eastAsia" w:ascii="宋体" w:hAnsi="宋体" w:cs="宋体"/>
          <w:sz w:val="24"/>
        </w:rPr>
      </w:pPr>
      <w:r>
        <w:rPr>
          <w:rFonts w:hint="eastAsia" w:ascii="宋体" w:hAnsi="宋体" w:cs="宋体"/>
          <w:sz w:val="24"/>
        </w:rPr>
        <w:t>日期：</w:t>
      </w:r>
    </w:p>
    <w:p>
      <w:pPr>
        <w:spacing w:line="360" w:lineRule="auto"/>
        <w:jc w:val="center"/>
        <w:rPr>
          <w:rFonts w:hint="eastAsia" w:ascii="宋体" w:hAnsi="宋体"/>
          <w:b/>
          <w:bCs/>
          <w:sz w:val="32"/>
          <w:szCs w:val="32"/>
        </w:rPr>
      </w:pPr>
      <w:r>
        <w:rPr>
          <w:rFonts w:hint="eastAsia" w:ascii="宋体" w:hAnsi="宋体"/>
          <w:b/>
          <w:bCs/>
          <w:szCs w:val="21"/>
        </w:rPr>
        <w:t>从业人员、营业收入、资产总额填报上一年度数据，无上一年度数据的新成立企业可不填报。</w:t>
      </w:r>
    </w:p>
    <w:p>
      <w:pPr>
        <w:spacing w:line="460" w:lineRule="exact"/>
        <w:rPr>
          <w:color w:val="000000" w:themeColor="text1"/>
          <w:sz w:val="24"/>
          <w:szCs w:val="24"/>
        </w:rPr>
      </w:pPr>
    </w:p>
    <w:p>
      <w:pPr>
        <w:snapToGrid w:val="0"/>
        <w:spacing w:line="360" w:lineRule="auto"/>
        <w:ind w:firstLine="482" w:firstLineChars="200"/>
        <w:jc w:val="left"/>
        <w:rPr>
          <w:rFonts w:hint="eastAsia" w:ascii="宋体" w:hAnsi="宋体"/>
          <w:b/>
          <w:bCs/>
          <w:sz w:val="24"/>
          <w:szCs w:val="24"/>
          <w:lang w:eastAsia="zh-Hans"/>
        </w:rPr>
      </w:pPr>
    </w:p>
    <w:p>
      <w:pPr>
        <w:pStyle w:val="11"/>
        <w:rPr>
          <w:rFonts w:hint="eastAsia"/>
          <w:lang w:eastAsia="zh-Hans"/>
        </w:rPr>
      </w:pPr>
    </w:p>
    <w:p>
      <w:pPr>
        <w:pStyle w:val="9"/>
        <w:rPr>
          <w:rFonts w:eastAsia="黑体"/>
          <w:color w:val="000000" w:themeColor="text1"/>
          <w:sz w:val="32"/>
          <w:szCs w:val="32"/>
        </w:rPr>
      </w:pPr>
    </w:p>
    <w:p>
      <w:pPr>
        <w:rPr>
          <w:rFonts w:eastAsia="黑体"/>
          <w:color w:val="000000" w:themeColor="text1"/>
          <w:sz w:val="32"/>
          <w:szCs w:val="32"/>
        </w:rPr>
      </w:pPr>
    </w:p>
    <w:p>
      <w:pPr>
        <w:pStyle w:val="9"/>
        <w:rPr>
          <w:rFonts w:eastAsia="黑体"/>
          <w:color w:val="000000" w:themeColor="text1"/>
          <w:sz w:val="32"/>
          <w:szCs w:val="32"/>
        </w:rPr>
      </w:pPr>
    </w:p>
    <w:p/>
    <w:p>
      <w:pPr>
        <w:snapToGrid w:val="0"/>
        <w:spacing w:before="50" w:after="50"/>
        <w:jc w:val="center"/>
        <w:rPr>
          <w:rFonts w:eastAsia="黑体"/>
          <w:color w:val="000000" w:themeColor="text1"/>
          <w:sz w:val="32"/>
          <w:szCs w:val="32"/>
        </w:rPr>
      </w:pPr>
      <w:r>
        <w:rPr>
          <w:rFonts w:eastAsia="黑体"/>
          <w:color w:val="000000" w:themeColor="text1"/>
          <w:sz w:val="32"/>
          <w:szCs w:val="32"/>
        </w:rPr>
        <w:t>二、资格性审查响应对照表（格式）</w:t>
      </w:r>
    </w:p>
    <w:p>
      <w:pPr>
        <w:spacing w:before="312" w:beforeLines="100" w:after="156" w:afterLines="50"/>
        <w:rPr>
          <w:color w:val="000000" w:themeColor="text1"/>
          <w:sz w:val="24"/>
          <w:szCs w:val="24"/>
        </w:rPr>
      </w:pPr>
      <w:r>
        <w:rPr>
          <w:color w:val="000000" w:themeColor="text1"/>
          <w:sz w:val="24"/>
          <w:szCs w:val="24"/>
        </w:rPr>
        <w:t>投标人全称（加盖公章）：</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bl>
    <w:p>
      <w:pPr>
        <w:spacing w:line="440" w:lineRule="exact"/>
        <w:ind w:firstLine="640" w:firstLineChars="200"/>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br w:type="page"/>
      </w:r>
      <w:r>
        <w:rPr>
          <w:rFonts w:eastAsia="黑体"/>
          <w:color w:val="000000" w:themeColor="text1"/>
          <w:sz w:val="32"/>
          <w:szCs w:val="32"/>
        </w:rPr>
        <w:t>三、符合性检查响应对照表（格式）</w:t>
      </w:r>
    </w:p>
    <w:p>
      <w:pPr>
        <w:spacing w:before="312" w:beforeLines="100" w:after="156" w:afterLines="50"/>
        <w:rPr>
          <w:color w:val="000000" w:themeColor="text1"/>
          <w:sz w:val="24"/>
          <w:szCs w:val="24"/>
        </w:rPr>
      </w:pPr>
      <w:r>
        <w:rPr>
          <w:color w:val="000000" w:themeColor="text1"/>
          <w:sz w:val="24"/>
          <w:szCs w:val="24"/>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rPr>
            </w:pPr>
            <w:r>
              <w:rPr>
                <w:color w:val="000000" w:themeColor="text1"/>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bl>
    <w:p>
      <w:pPr>
        <w:snapToGrid w:val="0"/>
        <w:spacing w:before="50" w:after="50"/>
        <w:ind w:firstLine="600" w:firstLineChars="250"/>
        <w:rPr>
          <w:rFonts w:eastAsia="黑体"/>
          <w:color w:val="000000" w:themeColor="text1"/>
          <w:sz w:val="32"/>
          <w:szCs w:val="32"/>
        </w:rPr>
      </w:pPr>
      <w:r>
        <w:rPr>
          <w:rFonts w:hint="eastAsia"/>
          <w:color w:val="000000" w:themeColor="text1"/>
          <w:sz w:val="24"/>
          <w:szCs w:val="24"/>
        </w:rPr>
        <w:t>注：可对照评分标准。</w:t>
      </w: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四、投标函（格式）</w:t>
      </w:r>
    </w:p>
    <w:p>
      <w:pPr>
        <w:pStyle w:val="44"/>
        <w:spacing w:before="0" w:after="0" w:line="420" w:lineRule="exact"/>
        <w:ind w:firstLine="0"/>
        <w:rPr>
          <w:rFonts w:ascii="Times New Roman" w:hAnsi="Times New Roman" w:cs="Times New Roman"/>
          <w:color w:val="000000" w:themeColor="text1"/>
          <w:kern w:val="2"/>
        </w:rPr>
      </w:pPr>
    </w:p>
    <w:p>
      <w:pPr>
        <w:pStyle w:val="44"/>
        <w:spacing w:before="0" w:after="0" w:line="440" w:lineRule="exact"/>
        <w:ind w:firstLine="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致：盐城幼儿师范高等专科学校</w:t>
      </w:r>
    </w:p>
    <w:p>
      <w:pPr>
        <w:pStyle w:val="44"/>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根据贵方的号投标文件，正式授权下述签字人_________________(姓名)代表我方______________（投标人的名称），全权处理本次项目投标的有关事宜。</w:t>
      </w:r>
    </w:p>
    <w:p>
      <w:pPr>
        <w:pStyle w:val="44"/>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据此函，__________签字人兹宣布同意如下：</w:t>
      </w:r>
    </w:p>
    <w:p>
      <w:pPr>
        <w:pStyle w:val="44"/>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1.按投标文件规定的各项要求，向买方提供所需货物与服务。</w:t>
      </w:r>
    </w:p>
    <w:p>
      <w:pPr>
        <w:pStyle w:val="44"/>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2.我们完全理解贵方不一定将合同授予最低报价的投标人。</w:t>
      </w:r>
    </w:p>
    <w:p>
      <w:pPr>
        <w:pStyle w:val="44"/>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3.我们已详细审核全部投标文件及其有效补充文件，我们知道必须放弃提出含糊不清或误解问题的权利。</w:t>
      </w:r>
    </w:p>
    <w:p>
      <w:pPr>
        <w:pStyle w:val="44"/>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4.我们同意从规定的开标日期起遵循本投标文件，并在规定的投标有效期期满之前均具有约束力。</w:t>
      </w:r>
    </w:p>
    <w:p>
      <w:pPr>
        <w:pStyle w:val="44"/>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5</w:t>
      </w:r>
      <w:r>
        <w:rPr>
          <w:rFonts w:ascii="Times New Roman" w:hAnsi="Times New Roman" w:cs="Times New Roman"/>
          <w:color w:val="000000" w:themeColor="text1"/>
          <w:kern w:val="2"/>
        </w:rPr>
        <w:t>.同意向贵方提供贵方可能另外要求的与投标有关的任何证据或资料，并保证我方已提供和将要提供的文件是真实的、准确的。</w:t>
      </w:r>
    </w:p>
    <w:p>
      <w:pPr>
        <w:pStyle w:val="44"/>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6</w:t>
      </w:r>
      <w:r>
        <w:rPr>
          <w:rFonts w:ascii="Times New Roman" w:hAnsi="Times New Roman" w:cs="Times New Roman"/>
          <w:color w:val="000000" w:themeColor="text1"/>
          <w:kern w:val="2"/>
        </w:rPr>
        <w:t>.一旦我方中标</w:t>
      </w:r>
      <w:r>
        <w:rPr>
          <w:rFonts w:hint="eastAsia" w:ascii="Times New Roman" w:hAnsi="Times New Roman" w:cs="Times New Roman"/>
          <w:color w:val="000000" w:themeColor="text1"/>
          <w:kern w:val="2"/>
        </w:rPr>
        <w:t>，</w:t>
      </w:r>
      <w:r>
        <w:rPr>
          <w:rFonts w:ascii="Times New Roman" w:hAnsi="Times New Roman" w:cs="Times New Roman"/>
          <w:color w:val="000000" w:themeColor="text1"/>
          <w:kern w:val="2"/>
        </w:rPr>
        <w:t>我方将根据招标文件的规定，严格履行合同的责任和义务,并保证在招标文件规定的时间完成项目，交付买方验收、使用。</w:t>
      </w:r>
    </w:p>
    <w:p>
      <w:pPr>
        <w:pStyle w:val="44"/>
        <w:spacing w:before="0" w:after="0" w:line="440" w:lineRule="exact"/>
        <w:ind w:left="425" w:firstLine="0"/>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7</w:t>
      </w:r>
      <w:r>
        <w:rPr>
          <w:rFonts w:ascii="Times New Roman" w:hAnsi="Times New Roman" w:cs="Times New Roman"/>
          <w:color w:val="000000" w:themeColor="text1"/>
          <w:kern w:val="2"/>
        </w:rPr>
        <w:t>.与本投标有关的正式通讯地址为：</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地          址：</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邮          编：</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电          话：</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传          真：</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投标人开户行：</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账          户： </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投标人授权代表姓名（签字）： </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投标人名称（公章）： </w:t>
      </w:r>
    </w:p>
    <w:p>
      <w:pPr>
        <w:pStyle w:val="44"/>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日           期：________年____月____日</w:t>
      </w:r>
    </w:p>
    <w:p>
      <w:pPr>
        <w:jc w:val="center"/>
        <w:rPr>
          <w:color w:val="000000" w:themeColor="text1"/>
          <w:sz w:val="32"/>
          <w:szCs w:val="32"/>
        </w:rPr>
      </w:pPr>
    </w:p>
    <w:p>
      <w:pPr>
        <w:jc w:val="left"/>
        <w:rPr>
          <w:rFonts w:eastAsia="黑体"/>
          <w:color w:val="000000" w:themeColor="text1"/>
          <w:sz w:val="32"/>
          <w:szCs w:val="32"/>
        </w:rPr>
      </w:pPr>
      <w:r>
        <w:rPr>
          <w:rFonts w:eastAsia="黑体"/>
          <w:color w:val="000000" w:themeColor="text1"/>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五、开标一览表（格式）</w:t>
      </w:r>
    </w:p>
    <w:p>
      <w:pPr>
        <w:snapToGrid w:val="0"/>
        <w:spacing w:before="50" w:after="50"/>
        <w:jc w:val="center"/>
        <w:rPr>
          <w:color w:val="000000" w:themeColor="text1"/>
          <w:sz w:val="32"/>
          <w:szCs w:val="32"/>
        </w:rPr>
      </w:pPr>
    </w:p>
    <w:tbl>
      <w:tblPr>
        <w:tblStyle w:val="22"/>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b/>
                <w:bCs/>
                <w:color w:val="000000" w:themeColor="text1"/>
                <w:sz w:val="24"/>
                <w:szCs w:val="24"/>
              </w:rPr>
            </w:pPr>
            <w:r>
              <w:rPr>
                <w:b/>
                <w:bCs/>
                <w:color w:val="000000" w:themeColor="text1"/>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b/>
                <w:bCs/>
                <w:color w:val="000000" w:themeColor="text1"/>
                <w:sz w:val="24"/>
                <w:szCs w:val="24"/>
              </w:rPr>
            </w:pPr>
            <w:r>
              <w:rPr>
                <w:rFonts w:hint="eastAsia" w:ascii="宋体" w:hAnsi="宋体" w:eastAsia="宋体"/>
                <w:color w:val="000000"/>
                <w:sz w:val="24"/>
                <w:szCs w:val="24"/>
              </w:rPr>
              <w:t>YCYZ2022HW004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b/>
                <w:bCs/>
                <w:color w:val="000000" w:themeColor="text1"/>
                <w:sz w:val="24"/>
                <w:szCs w:val="24"/>
              </w:rPr>
            </w:pPr>
            <w:r>
              <w:rPr>
                <w:b/>
                <w:bCs/>
                <w:color w:val="000000" w:themeColor="text1"/>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4"/>
                <w:szCs w:val="24"/>
              </w:rPr>
            </w:pPr>
          </w:p>
          <w:p>
            <w:r>
              <w:rPr>
                <w:rFonts w:hint="eastAsia" w:ascii="宋体"/>
                <w:b/>
                <w:bCs/>
                <w:color w:val="000000"/>
                <w:sz w:val="24"/>
                <w:szCs w:val="24"/>
              </w:rPr>
              <w:t>项目投标报价：（大写）</w:t>
            </w:r>
            <w:r>
              <w:rPr>
                <w:rFonts w:hint="eastAsia" w:ascii="宋体"/>
                <w:b/>
                <w:bCs/>
                <w:color w:val="000000"/>
                <w:sz w:val="24"/>
                <w:szCs w:val="24"/>
                <w:u w:val="single"/>
              </w:rPr>
              <w:t xml:space="preserve">                       </w:t>
            </w:r>
            <w:r>
              <w:rPr>
                <w:rFonts w:hint="eastAsia" w:ascii="宋体"/>
                <w:b/>
                <w:bCs/>
                <w:color w:val="000000"/>
                <w:sz w:val="24"/>
                <w:szCs w:val="24"/>
              </w:rPr>
              <w:t>，小写：</w:t>
            </w:r>
            <w:r>
              <w:rPr>
                <w:rFonts w:hint="eastAsia" w:ascii="宋体"/>
                <w:b/>
                <w:bCs/>
                <w:color w:val="000000"/>
                <w:sz w:val="24"/>
                <w:szCs w:val="24"/>
                <w:u w:val="single"/>
              </w:rPr>
              <w:t xml:space="preserve">                     </w:t>
            </w:r>
            <w:r>
              <w:rPr>
                <w:rFonts w:hint="eastAsia" w:ascii="宋体"/>
                <w:b/>
                <w:bCs/>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pStyle w:val="13"/>
              <w:spacing w:before="145" w:after="145" w:line="440" w:lineRule="exact"/>
              <w:ind w:left="0" w:leftChars="0"/>
              <w:rPr>
                <w:b/>
                <w:bCs/>
                <w:color w:val="000000" w:themeColor="text1"/>
                <w:sz w:val="24"/>
                <w:szCs w:val="24"/>
              </w:rPr>
            </w:pPr>
            <w:r>
              <w:rPr>
                <w:rFonts w:hint="eastAsia" w:hAnsi="Times New Roman" w:cs="Times New Roman"/>
                <w:b/>
                <w:bCs/>
                <w:color w:val="000000"/>
                <w:sz w:val="24"/>
                <w:szCs w:val="24"/>
              </w:rPr>
              <w:t>合同履行期限：</w:t>
            </w:r>
            <w:r>
              <w:rPr>
                <w:rFonts w:hint="eastAsia" w:hAnsi="宋体" w:cs="宋体"/>
                <w:sz w:val="24"/>
                <w:szCs w:val="24"/>
              </w:rPr>
              <w:t>同签订后</w:t>
            </w:r>
            <w:r>
              <w:rPr>
                <w:rFonts w:hint="eastAsia" w:hAnsi="宋体" w:cs="宋体"/>
                <w:sz w:val="24"/>
                <w:szCs w:val="24"/>
                <w:u w:val="single"/>
              </w:rPr>
              <w:t xml:space="preserve">       </w:t>
            </w:r>
            <w:r>
              <w:rPr>
                <w:rFonts w:hint="eastAsia" w:hAnsi="宋体" w:cs="宋体"/>
                <w:sz w:val="24"/>
                <w:szCs w:val="24"/>
              </w:rPr>
              <w:t>个工作</w:t>
            </w:r>
            <w:r>
              <w:rPr>
                <w:rFonts w:hAnsi="宋体" w:cs="宋体"/>
                <w:sz w:val="24"/>
                <w:szCs w:val="24"/>
              </w:rPr>
              <w:t>日</w:t>
            </w:r>
            <w:r>
              <w:rPr>
                <w:rFonts w:hint="eastAsia" w:hAnsi="宋体" w:cs="宋体"/>
                <w:sz w:val="24"/>
                <w:szCs w:val="24"/>
              </w:rPr>
              <w:t>内送至盐城幼儿师范高等专科学校指定地点，并安装、调试到位。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pStyle w:val="13"/>
              <w:spacing w:before="145" w:after="145" w:line="440" w:lineRule="exact"/>
              <w:ind w:left="0" w:leftChars="0"/>
              <w:rPr>
                <w:b/>
                <w:bCs/>
                <w:color w:val="000000" w:themeColor="text1"/>
                <w:sz w:val="24"/>
                <w:szCs w:val="24"/>
              </w:rPr>
            </w:pPr>
            <w:r>
              <w:rPr>
                <w:rFonts w:hint="eastAsia" w:hAnsi="Times New Roman" w:cs="Times New Roman"/>
                <w:b/>
                <w:bCs/>
                <w:sz w:val="24"/>
                <w:szCs w:val="24"/>
                <w:lang w:eastAsia="zh-CN"/>
              </w:rPr>
              <w:t>质保期</w:t>
            </w:r>
            <w:r>
              <w:rPr>
                <w:rFonts w:hint="eastAsia" w:hAnsi="Times New Roman" w:cs="Times New Roman"/>
                <w:b/>
                <w:bCs/>
                <w:sz w:val="24"/>
                <w:szCs w:val="24"/>
              </w:rPr>
              <w:t>：</w:t>
            </w:r>
            <w:r>
              <w:rPr>
                <w:rFonts w:hint="eastAsia" w:hAnsi="Times New Roman" w:cs="Times New Roman"/>
                <w:sz w:val="24"/>
                <w:szCs w:val="24"/>
              </w:rPr>
              <w:t>免费售后服务时间为自验收通过起</w:t>
            </w:r>
            <w:r>
              <w:rPr>
                <w:rFonts w:hint="eastAsia" w:hAnsi="Times New Roman" w:cs="Times New Roman"/>
                <w:sz w:val="24"/>
                <w:szCs w:val="24"/>
                <w:u w:val="single"/>
              </w:rPr>
              <w:t xml:space="preserve">     </w:t>
            </w:r>
            <w:r>
              <w:rPr>
                <w:rFonts w:hint="eastAsia" w:hAnsi="Times New Roman" w:cs="Times New Roman"/>
                <w:sz w:val="24"/>
                <w:szCs w:val="24"/>
              </w:rPr>
              <w:t>年。</w:t>
            </w:r>
          </w:p>
        </w:tc>
      </w:tr>
    </w:tbl>
    <w:p>
      <w:pPr>
        <w:spacing w:line="240" w:lineRule="atLeast"/>
        <w:rPr>
          <w:color w:val="000000" w:themeColor="text1"/>
        </w:rPr>
      </w:pPr>
      <w:r>
        <w:rPr>
          <w:color w:val="000000" w:themeColor="text1"/>
        </w:rPr>
        <w:t>填写说明：</w:t>
      </w:r>
    </w:p>
    <w:p>
      <w:pPr>
        <w:spacing w:line="240" w:lineRule="atLeast"/>
        <w:rPr>
          <w:color w:val="FF0000"/>
          <w:sz w:val="24"/>
          <w:szCs w:val="24"/>
        </w:rPr>
      </w:pPr>
      <w:r>
        <w:rPr>
          <w:rFonts w:hint="eastAsia"/>
          <w:color w:val="000000" w:themeColor="text1"/>
          <w:sz w:val="24"/>
          <w:szCs w:val="24"/>
        </w:rPr>
        <w:t xml:space="preserve">1. </w:t>
      </w:r>
      <w:r>
        <w:rPr>
          <w:color w:val="FF0000"/>
          <w:sz w:val="24"/>
          <w:szCs w:val="24"/>
        </w:rPr>
        <w:t>开标一览表不得填报选择性报价，否则将作为无效投标；</w:t>
      </w:r>
    </w:p>
    <w:p>
      <w:pPr>
        <w:spacing w:line="240" w:lineRule="atLeast"/>
        <w:rPr>
          <w:color w:val="000000" w:themeColor="text1"/>
          <w:sz w:val="24"/>
          <w:szCs w:val="24"/>
        </w:rPr>
      </w:pPr>
      <w:r>
        <w:rPr>
          <w:rFonts w:hint="eastAsia"/>
          <w:color w:val="000000" w:themeColor="text1"/>
          <w:sz w:val="24"/>
          <w:szCs w:val="24"/>
        </w:rPr>
        <w:t xml:space="preserve">2. </w:t>
      </w:r>
      <w:r>
        <w:rPr>
          <w:color w:val="000000" w:themeColor="text1"/>
          <w:sz w:val="24"/>
          <w:szCs w:val="24"/>
        </w:rPr>
        <w:t>开标一览表中报价与投标分项明细报价表中不符时时，以开标一览表为准；</w:t>
      </w:r>
    </w:p>
    <w:p>
      <w:pPr>
        <w:ind w:firstLine="2640"/>
        <w:rPr>
          <w:color w:val="000000" w:themeColor="text1"/>
          <w:sz w:val="44"/>
          <w:szCs w:val="44"/>
        </w:rPr>
      </w:pPr>
    </w:p>
    <w:p>
      <w:pPr>
        <w:ind w:firstLine="2640"/>
        <w:rPr>
          <w:color w:val="000000" w:themeColor="text1"/>
          <w:sz w:val="24"/>
          <w:szCs w:val="24"/>
        </w:rPr>
      </w:pPr>
    </w:p>
    <w:p>
      <w:pPr>
        <w:spacing w:line="348" w:lineRule="auto"/>
        <w:ind w:firstLine="2850"/>
        <w:jc w:val="center"/>
        <w:rPr>
          <w:color w:val="000000" w:themeColor="text1"/>
          <w:sz w:val="24"/>
          <w:szCs w:val="24"/>
        </w:rPr>
      </w:pPr>
      <w:r>
        <w:rPr>
          <w:color w:val="000000" w:themeColor="text1"/>
          <w:sz w:val="24"/>
          <w:szCs w:val="24"/>
        </w:rPr>
        <w:t>投标供应商（单位公章）：</w:t>
      </w:r>
    </w:p>
    <w:p>
      <w:pPr>
        <w:spacing w:line="348" w:lineRule="auto"/>
        <w:ind w:firstLine="2850"/>
        <w:jc w:val="center"/>
        <w:rPr>
          <w:color w:val="000000" w:themeColor="text1"/>
          <w:sz w:val="24"/>
          <w:szCs w:val="24"/>
        </w:rPr>
      </w:pPr>
      <w:r>
        <w:rPr>
          <w:color w:val="000000" w:themeColor="text1"/>
          <w:sz w:val="24"/>
          <w:szCs w:val="24"/>
        </w:rPr>
        <w:t>法定代表人或授权代表（签字或盖章）：</w:t>
      </w:r>
    </w:p>
    <w:p>
      <w:pPr>
        <w:spacing w:line="348" w:lineRule="auto"/>
        <w:ind w:firstLine="2850"/>
        <w:jc w:val="center"/>
        <w:rPr>
          <w:color w:val="000000" w:themeColor="text1"/>
          <w:sz w:val="24"/>
          <w:szCs w:val="24"/>
        </w:rPr>
      </w:pPr>
      <w:r>
        <w:rPr>
          <w:color w:val="000000" w:themeColor="text1"/>
          <w:sz w:val="24"/>
          <w:szCs w:val="24"/>
        </w:rPr>
        <w:t>日期：年月日</w:t>
      </w:r>
    </w:p>
    <w:p>
      <w:pPr>
        <w:jc w:val="center"/>
        <w:rPr>
          <w:b/>
          <w:bCs/>
          <w:color w:val="000000" w:themeColor="text1"/>
          <w:sz w:val="32"/>
          <w:szCs w:val="32"/>
        </w:rPr>
      </w:pPr>
    </w:p>
    <w:p>
      <w:pPr>
        <w:jc w:val="center"/>
        <w:rPr>
          <w:b/>
          <w:bCs/>
          <w:color w:val="000000" w:themeColor="text1"/>
          <w:sz w:val="32"/>
          <w:szCs w:val="32"/>
        </w:rPr>
      </w:pPr>
    </w:p>
    <w:p>
      <w:pPr>
        <w:jc w:val="center"/>
        <w:rPr>
          <w:rFonts w:ascii="黑体" w:hAnsi="黑体" w:eastAsia="黑体" w:cs="宋体"/>
          <w:bCs/>
          <w:sz w:val="36"/>
          <w:szCs w:val="28"/>
        </w:rPr>
      </w:pPr>
      <w:r>
        <w:rPr>
          <w:color w:val="000000" w:themeColor="text1"/>
          <w:sz w:val="32"/>
          <w:szCs w:val="32"/>
        </w:rPr>
        <w:br w:type="page"/>
      </w:r>
      <w:r>
        <w:rPr>
          <w:rFonts w:hint="eastAsia" w:ascii="黑体" w:hAnsi="黑体" w:eastAsia="黑体" w:cs="宋体"/>
          <w:bCs/>
          <w:sz w:val="36"/>
          <w:szCs w:val="28"/>
        </w:rPr>
        <w:t>报价明细表</w:t>
      </w:r>
    </w:p>
    <w:p>
      <w:pPr>
        <w:autoSpaceDE w:val="0"/>
        <w:autoSpaceDN w:val="0"/>
        <w:adjustRightInd w:val="0"/>
        <w:spacing w:line="360" w:lineRule="auto"/>
        <w:jc w:val="left"/>
        <w:rPr>
          <w:rFonts w:hint="eastAsia" w:ascii="宋体" w:hAnsi="宋体" w:cs="方正仿宋_GBK"/>
          <w:color w:val="000000"/>
          <w:sz w:val="24"/>
          <w:szCs w:val="24"/>
        </w:rPr>
      </w:pPr>
    </w:p>
    <w:p>
      <w:pPr>
        <w:autoSpaceDE w:val="0"/>
        <w:autoSpaceDN w:val="0"/>
        <w:adjustRightInd w:val="0"/>
        <w:spacing w:line="360" w:lineRule="auto"/>
        <w:jc w:val="left"/>
        <w:rPr>
          <w:rFonts w:ascii="宋体" w:hAnsi="宋体"/>
          <w:bCs/>
          <w:color w:val="000000"/>
          <w:sz w:val="24"/>
          <w:szCs w:val="24"/>
        </w:rPr>
      </w:pPr>
      <w:r>
        <w:rPr>
          <w:rFonts w:hint="eastAsia" w:ascii="宋体" w:hAnsi="宋体" w:cs="方正仿宋_GBK"/>
          <w:color w:val="000000"/>
          <w:sz w:val="24"/>
          <w:szCs w:val="24"/>
        </w:rPr>
        <w:t>标段名称：                      标段编号：</w:t>
      </w:r>
    </w:p>
    <w:p>
      <w:pPr>
        <w:spacing w:line="360" w:lineRule="auto"/>
        <w:jc w:val="right"/>
        <w:rPr>
          <w:rFonts w:ascii="宋体" w:hAnsi="宋体"/>
          <w:color w:val="000000"/>
          <w:szCs w:val="24"/>
        </w:rPr>
      </w:pPr>
      <w:r>
        <w:rPr>
          <w:rFonts w:hint="eastAsia" w:ascii="宋体" w:hAnsi="宋体"/>
          <w:color w:val="000000"/>
          <w:szCs w:val="24"/>
        </w:rPr>
        <w:t>单位：元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34"/>
        <w:gridCol w:w="709"/>
        <w:gridCol w:w="1134"/>
        <w:gridCol w:w="1055"/>
        <w:gridCol w:w="1031"/>
        <w:gridCol w:w="1095"/>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26" w:type="dxa"/>
            <w:noWrap/>
            <w:vAlign w:val="center"/>
          </w:tcPr>
          <w:p>
            <w:pPr>
              <w:widowControl/>
              <w:spacing w:line="360" w:lineRule="auto"/>
              <w:jc w:val="center"/>
              <w:rPr>
                <w:bCs/>
                <w:color w:val="000000"/>
                <w:kern w:val="0"/>
                <w:szCs w:val="24"/>
              </w:rPr>
            </w:pPr>
            <w:r>
              <w:rPr>
                <w:bCs/>
                <w:color w:val="000000"/>
                <w:kern w:val="0"/>
                <w:szCs w:val="24"/>
              </w:rPr>
              <w:t>项号</w:t>
            </w:r>
          </w:p>
        </w:tc>
        <w:tc>
          <w:tcPr>
            <w:tcW w:w="1134" w:type="dxa"/>
            <w:noWrap w:val="0"/>
            <w:vAlign w:val="center"/>
          </w:tcPr>
          <w:p>
            <w:pPr>
              <w:widowControl/>
              <w:spacing w:line="360" w:lineRule="auto"/>
              <w:jc w:val="center"/>
              <w:rPr>
                <w:bCs/>
                <w:color w:val="000000"/>
                <w:kern w:val="0"/>
                <w:szCs w:val="24"/>
              </w:rPr>
            </w:pPr>
            <w:r>
              <w:rPr>
                <w:bCs/>
                <w:color w:val="000000"/>
                <w:kern w:val="0"/>
                <w:szCs w:val="24"/>
              </w:rPr>
              <w:t>货物名称</w:t>
            </w:r>
          </w:p>
        </w:tc>
        <w:tc>
          <w:tcPr>
            <w:tcW w:w="709" w:type="dxa"/>
            <w:noWrap w:val="0"/>
            <w:vAlign w:val="center"/>
          </w:tcPr>
          <w:p>
            <w:pPr>
              <w:widowControl/>
              <w:spacing w:line="360" w:lineRule="auto"/>
              <w:jc w:val="center"/>
              <w:rPr>
                <w:bCs/>
                <w:color w:val="000000"/>
                <w:kern w:val="0"/>
                <w:szCs w:val="24"/>
              </w:rPr>
            </w:pPr>
            <w:r>
              <w:rPr>
                <w:bCs/>
                <w:color w:val="000000"/>
                <w:kern w:val="0"/>
                <w:szCs w:val="24"/>
              </w:rPr>
              <w:t>采购数量</w:t>
            </w:r>
          </w:p>
        </w:tc>
        <w:tc>
          <w:tcPr>
            <w:tcW w:w="1134" w:type="dxa"/>
            <w:noWrap w:val="0"/>
            <w:vAlign w:val="center"/>
          </w:tcPr>
          <w:p>
            <w:pPr>
              <w:widowControl/>
              <w:spacing w:line="360" w:lineRule="auto"/>
              <w:jc w:val="center"/>
              <w:rPr>
                <w:bCs/>
                <w:color w:val="000000"/>
                <w:kern w:val="0"/>
                <w:szCs w:val="24"/>
              </w:rPr>
            </w:pPr>
            <w:r>
              <w:rPr>
                <w:bCs/>
                <w:color w:val="000000"/>
                <w:kern w:val="0"/>
                <w:szCs w:val="24"/>
              </w:rPr>
              <w:t>计量单位</w:t>
            </w:r>
          </w:p>
        </w:tc>
        <w:tc>
          <w:tcPr>
            <w:tcW w:w="1055" w:type="dxa"/>
            <w:noWrap w:val="0"/>
            <w:vAlign w:val="center"/>
          </w:tcPr>
          <w:p>
            <w:pPr>
              <w:widowControl/>
              <w:spacing w:line="360" w:lineRule="auto"/>
              <w:jc w:val="center"/>
              <w:rPr>
                <w:bCs/>
                <w:color w:val="000000"/>
                <w:kern w:val="0"/>
                <w:szCs w:val="24"/>
              </w:rPr>
            </w:pPr>
            <w:r>
              <w:rPr>
                <w:bCs/>
                <w:color w:val="000000"/>
                <w:kern w:val="0"/>
                <w:szCs w:val="24"/>
              </w:rPr>
              <w:t>制造商</w:t>
            </w:r>
          </w:p>
        </w:tc>
        <w:tc>
          <w:tcPr>
            <w:tcW w:w="1031" w:type="dxa"/>
            <w:noWrap w:val="0"/>
            <w:vAlign w:val="center"/>
          </w:tcPr>
          <w:p>
            <w:pPr>
              <w:widowControl/>
              <w:spacing w:line="360" w:lineRule="auto"/>
              <w:jc w:val="center"/>
              <w:rPr>
                <w:bCs/>
                <w:color w:val="000000"/>
                <w:kern w:val="0"/>
                <w:szCs w:val="24"/>
              </w:rPr>
            </w:pPr>
            <w:r>
              <w:rPr>
                <w:bCs/>
                <w:color w:val="000000"/>
                <w:kern w:val="0"/>
                <w:szCs w:val="24"/>
              </w:rPr>
              <w:t>规格</w:t>
            </w:r>
          </w:p>
          <w:p>
            <w:pPr>
              <w:widowControl/>
              <w:spacing w:line="360" w:lineRule="auto"/>
              <w:jc w:val="center"/>
              <w:rPr>
                <w:bCs/>
                <w:color w:val="000000"/>
                <w:kern w:val="0"/>
                <w:szCs w:val="24"/>
              </w:rPr>
            </w:pPr>
            <w:r>
              <w:rPr>
                <w:bCs/>
                <w:color w:val="000000"/>
                <w:kern w:val="0"/>
                <w:szCs w:val="24"/>
              </w:rPr>
              <w:t>型号</w:t>
            </w:r>
          </w:p>
        </w:tc>
        <w:tc>
          <w:tcPr>
            <w:tcW w:w="1095" w:type="dxa"/>
            <w:noWrap w:val="0"/>
            <w:vAlign w:val="center"/>
          </w:tcPr>
          <w:p>
            <w:pPr>
              <w:widowControl/>
              <w:spacing w:line="360" w:lineRule="auto"/>
              <w:jc w:val="center"/>
              <w:rPr>
                <w:bCs/>
                <w:color w:val="000000"/>
                <w:kern w:val="0"/>
                <w:szCs w:val="24"/>
              </w:rPr>
            </w:pPr>
            <w:r>
              <w:rPr>
                <w:bCs/>
                <w:color w:val="000000"/>
                <w:kern w:val="0"/>
                <w:szCs w:val="24"/>
              </w:rPr>
              <w:t>单价</w:t>
            </w:r>
          </w:p>
        </w:tc>
        <w:tc>
          <w:tcPr>
            <w:tcW w:w="1212" w:type="dxa"/>
            <w:noWrap w:val="0"/>
            <w:vAlign w:val="center"/>
          </w:tcPr>
          <w:p>
            <w:pPr>
              <w:widowControl/>
              <w:spacing w:line="360" w:lineRule="auto"/>
              <w:ind w:firstLine="210" w:firstLineChars="100"/>
              <w:rPr>
                <w:bCs/>
                <w:color w:val="000000"/>
                <w:kern w:val="0"/>
                <w:szCs w:val="24"/>
              </w:rPr>
            </w:pPr>
            <w:r>
              <w:rPr>
                <w:bCs/>
                <w:color w:val="000000"/>
                <w:kern w:val="0"/>
                <w:szCs w:val="24"/>
              </w:rPr>
              <w:t>总价</w:t>
            </w:r>
          </w:p>
        </w:tc>
        <w:tc>
          <w:tcPr>
            <w:tcW w:w="1212" w:type="dxa"/>
            <w:noWrap w:val="0"/>
            <w:vAlign w:val="center"/>
          </w:tcPr>
          <w:p>
            <w:pPr>
              <w:widowControl/>
              <w:spacing w:line="360" w:lineRule="auto"/>
              <w:jc w:val="center"/>
              <w:rPr>
                <w:bCs/>
                <w:color w:val="000000"/>
                <w:kern w:val="0"/>
                <w:szCs w:val="24"/>
              </w:rPr>
            </w:pPr>
            <w:r>
              <w:rPr>
                <w:rFonts w:hint="eastAsia"/>
                <w:bCs/>
                <w:color w:val="000000"/>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6" w:type="dxa"/>
            <w:noWrap/>
            <w:vAlign w:val="center"/>
          </w:tcPr>
          <w:p>
            <w:pPr>
              <w:jc w:val="center"/>
              <w:rPr>
                <w:rFonts w:hint="eastAsia" w:ascii="宋体" w:hAnsi="宋体"/>
                <w:color w:val="000000"/>
                <w:position w:val="6"/>
              </w:rPr>
            </w:pPr>
            <w:r>
              <w:rPr>
                <w:rFonts w:hint="eastAsia" w:ascii="宋体" w:hAnsi="宋体"/>
                <w:color w:val="000000"/>
                <w:position w:val="6"/>
              </w:rPr>
              <w:t>1</w:t>
            </w:r>
          </w:p>
        </w:tc>
        <w:tc>
          <w:tcPr>
            <w:tcW w:w="1134" w:type="dxa"/>
            <w:noWrap/>
            <w:vAlign w:val="center"/>
          </w:tcPr>
          <w:p>
            <w:pPr>
              <w:jc w:val="center"/>
              <w:rPr>
                <w:rFonts w:ascii="宋体" w:hAnsi="宋体"/>
                <w:color w:val="000000"/>
                <w:position w:val="6"/>
              </w:rPr>
            </w:pPr>
            <w:r>
              <w:rPr>
                <w:sz w:val="24"/>
              </w:rPr>
              <w:t>IPS</w:t>
            </w:r>
            <w:r>
              <w:rPr>
                <w:rFonts w:hint="eastAsia"/>
                <w:sz w:val="24"/>
              </w:rPr>
              <w:t>设备</w:t>
            </w:r>
          </w:p>
        </w:tc>
        <w:tc>
          <w:tcPr>
            <w:tcW w:w="709" w:type="dxa"/>
            <w:noWrap/>
            <w:vAlign w:val="center"/>
          </w:tcPr>
          <w:p>
            <w:pPr>
              <w:jc w:val="center"/>
              <w:rPr>
                <w:rFonts w:hint="eastAsia" w:ascii="宋体" w:hAnsi="宋体"/>
                <w:color w:val="000000"/>
                <w:position w:val="6"/>
              </w:rPr>
            </w:pPr>
            <w:r>
              <w:rPr>
                <w:rFonts w:hint="eastAsia" w:ascii="宋体" w:hAnsi="宋体"/>
                <w:color w:val="000000"/>
                <w:position w:val="6"/>
              </w:rPr>
              <w:t>1</w:t>
            </w:r>
          </w:p>
        </w:tc>
        <w:tc>
          <w:tcPr>
            <w:tcW w:w="1134" w:type="dxa"/>
            <w:noWrap/>
            <w:vAlign w:val="center"/>
          </w:tcPr>
          <w:p>
            <w:pPr>
              <w:jc w:val="center"/>
              <w:rPr>
                <w:rFonts w:ascii="宋体" w:hAnsi="宋体"/>
                <w:color w:val="000000"/>
                <w:position w:val="6"/>
              </w:rPr>
            </w:pPr>
          </w:p>
        </w:tc>
        <w:tc>
          <w:tcPr>
            <w:tcW w:w="1055" w:type="dxa"/>
            <w:noWrap/>
            <w:vAlign w:val="center"/>
          </w:tcPr>
          <w:p>
            <w:pPr>
              <w:widowControl/>
              <w:spacing w:line="360" w:lineRule="auto"/>
              <w:rPr>
                <w:color w:val="000000"/>
                <w:kern w:val="0"/>
                <w:szCs w:val="24"/>
              </w:rPr>
            </w:pPr>
          </w:p>
        </w:tc>
        <w:tc>
          <w:tcPr>
            <w:tcW w:w="1031" w:type="dxa"/>
            <w:noWrap w:val="0"/>
            <w:vAlign w:val="center"/>
          </w:tcPr>
          <w:p>
            <w:pPr>
              <w:widowControl/>
              <w:spacing w:line="360" w:lineRule="auto"/>
              <w:rPr>
                <w:color w:val="000000"/>
                <w:kern w:val="0"/>
                <w:szCs w:val="24"/>
              </w:rPr>
            </w:pPr>
          </w:p>
        </w:tc>
        <w:tc>
          <w:tcPr>
            <w:tcW w:w="1095" w:type="dxa"/>
            <w:noWrap/>
            <w:vAlign w:val="center"/>
          </w:tcPr>
          <w:p>
            <w:pPr>
              <w:widowControl/>
              <w:spacing w:line="360" w:lineRule="auto"/>
              <w:rPr>
                <w:color w:val="000000"/>
                <w:kern w:val="0"/>
                <w:szCs w:val="24"/>
              </w:rPr>
            </w:pPr>
          </w:p>
        </w:tc>
        <w:tc>
          <w:tcPr>
            <w:tcW w:w="1212" w:type="dxa"/>
            <w:noWrap w:val="0"/>
            <w:vAlign w:val="top"/>
          </w:tcPr>
          <w:p>
            <w:pPr>
              <w:widowControl/>
              <w:spacing w:line="360" w:lineRule="auto"/>
              <w:rPr>
                <w:color w:val="000000"/>
                <w:kern w:val="0"/>
                <w:szCs w:val="24"/>
              </w:rPr>
            </w:pPr>
          </w:p>
        </w:tc>
        <w:tc>
          <w:tcPr>
            <w:tcW w:w="1212" w:type="dxa"/>
            <w:noWrap/>
            <w:vAlign w:val="center"/>
          </w:tcPr>
          <w:p>
            <w:pPr>
              <w:widowControl/>
              <w:rPr>
                <w:color w:val="000000"/>
                <w:kern w:val="0"/>
                <w:szCs w:val="24"/>
              </w:rPr>
            </w:pPr>
            <w:r>
              <w:rPr>
                <w:rFonts w:hint="eastAsia" w:ascii="宋体" w:hAnsi="宋体"/>
                <w:color w:val="000000"/>
                <w:position w:val="6"/>
              </w:rPr>
              <w:t>基本要求同产品需求清单</w:t>
            </w:r>
          </w:p>
        </w:tc>
      </w:tr>
    </w:tbl>
    <w:p>
      <w:pPr>
        <w:spacing w:line="360" w:lineRule="auto"/>
        <w:ind w:firstLine="420" w:firstLineChars="200"/>
        <w:rPr>
          <w:color w:val="000000"/>
          <w:szCs w:val="24"/>
        </w:rPr>
      </w:pPr>
    </w:p>
    <w:p>
      <w:pPr>
        <w:spacing w:line="360" w:lineRule="auto"/>
        <w:ind w:firstLine="420" w:firstLineChars="200"/>
        <w:rPr>
          <w:color w:val="000000"/>
          <w:szCs w:val="24"/>
        </w:rPr>
      </w:pPr>
      <w:r>
        <w:rPr>
          <w:rFonts w:hint="eastAsia"/>
          <w:color w:val="000000"/>
          <w:szCs w:val="24"/>
        </w:rPr>
        <w:t>投标人（盖章）：</w:t>
      </w:r>
    </w:p>
    <w:p>
      <w:pPr>
        <w:spacing w:line="360" w:lineRule="auto"/>
        <w:ind w:firstLine="420" w:firstLineChars="200"/>
        <w:rPr>
          <w:color w:val="000000"/>
          <w:szCs w:val="24"/>
        </w:rPr>
      </w:pPr>
      <w:r>
        <w:rPr>
          <w:rFonts w:hint="eastAsia"/>
          <w:color w:val="000000"/>
          <w:szCs w:val="24"/>
        </w:rPr>
        <w:t>法定代表人或委托代理人（签字或盖章）：</w:t>
      </w:r>
    </w:p>
    <w:p>
      <w:pPr>
        <w:spacing w:line="360" w:lineRule="auto"/>
        <w:ind w:firstLine="420" w:firstLineChars="200"/>
        <w:rPr>
          <w:rFonts w:ascii="宋体" w:hAnsi="宋体"/>
          <w:color w:val="000000"/>
          <w:szCs w:val="24"/>
        </w:rPr>
      </w:pPr>
      <w:r>
        <w:rPr>
          <w:rFonts w:hint="eastAsia"/>
          <w:color w:val="000000"/>
          <w:szCs w:val="24"/>
        </w:rPr>
        <w:t>日期：    年     月     日</w:t>
      </w:r>
    </w:p>
    <w:p>
      <w:pPr>
        <w:spacing w:line="360" w:lineRule="auto"/>
        <w:rPr>
          <w:rFonts w:ascii="宋体" w:hAnsi="宋体"/>
          <w:color w:val="000000"/>
          <w:szCs w:val="20"/>
        </w:rPr>
      </w:pPr>
    </w:p>
    <w:p>
      <w:pPr>
        <w:pStyle w:val="11"/>
        <w:tabs>
          <w:tab w:val="left" w:pos="9000"/>
        </w:tabs>
        <w:ind w:left="1470" w:right="1470"/>
      </w:pPr>
    </w:p>
    <w:p>
      <w:pPr>
        <w:rPr>
          <w:rFonts w:ascii="宋体" w:hAnsi="宋体"/>
          <w:b/>
          <w:color w:val="000000"/>
          <w:sz w:val="32"/>
          <w:szCs w:val="32"/>
        </w:rPr>
      </w:pPr>
    </w:p>
    <w:p>
      <w:pPr>
        <w:snapToGrid w:val="0"/>
        <w:spacing w:before="50" w:after="50"/>
        <w:jc w:val="center"/>
        <w:rPr>
          <w:rFonts w:eastAsia="黑体"/>
          <w:color w:val="000000" w:themeColor="text1"/>
          <w:sz w:val="32"/>
          <w:szCs w:val="32"/>
        </w:rPr>
      </w:pPr>
      <w:r>
        <w:rPr>
          <w:rFonts w:hint="eastAsia" w:ascii="黑体" w:eastAsia="黑体"/>
          <w:color w:val="000000"/>
          <w:sz w:val="32"/>
          <w:szCs w:val="32"/>
        </w:rPr>
        <w:br w:type="page"/>
      </w:r>
      <w:r>
        <w:rPr>
          <w:rFonts w:hint="eastAsia" w:eastAsia="黑体"/>
          <w:color w:val="000000" w:themeColor="text1"/>
          <w:sz w:val="32"/>
          <w:szCs w:val="32"/>
        </w:rPr>
        <w:t>六</w:t>
      </w:r>
      <w:r>
        <w:rPr>
          <w:rFonts w:eastAsia="黑体"/>
          <w:color w:val="000000" w:themeColor="text1"/>
          <w:sz w:val="32"/>
          <w:szCs w:val="32"/>
        </w:rPr>
        <w:t>、技术参数响应及偏离表</w:t>
      </w:r>
    </w:p>
    <w:p>
      <w:pPr>
        <w:spacing w:before="156" w:beforeLines="50" w:after="156" w:afterLines="50" w:line="360" w:lineRule="auto"/>
        <w:rPr>
          <w:b/>
          <w:bCs/>
          <w:color w:val="000000" w:themeColor="text1"/>
          <w:sz w:val="24"/>
          <w:szCs w:val="24"/>
        </w:rPr>
      </w:pPr>
      <w:r>
        <w:rPr>
          <w:b/>
          <w:bCs/>
          <w:color w:val="000000" w:themeColor="text1"/>
          <w:sz w:val="24"/>
          <w:szCs w:val="24"/>
        </w:rPr>
        <w:t>参加投标供应商全称（加盖公章）：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4" w:type="dxa"/>
            <w:noWrap w:val="0"/>
            <w:vAlign w:val="center"/>
          </w:tcPr>
          <w:p>
            <w:pPr>
              <w:jc w:val="center"/>
              <w:rPr>
                <w:rFonts w:hint="eastAsia" w:ascii="宋体" w:hAnsi="宋体"/>
                <w:sz w:val="24"/>
                <w:szCs w:val="24"/>
              </w:rPr>
            </w:pPr>
            <w:r>
              <w:rPr>
                <w:rFonts w:hint="eastAsia" w:ascii="宋体" w:hAnsi="宋体"/>
                <w:sz w:val="24"/>
                <w:szCs w:val="24"/>
              </w:rPr>
              <w:t>序号</w:t>
            </w:r>
          </w:p>
        </w:tc>
        <w:tc>
          <w:tcPr>
            <w:tcW w:w="2852" w:type="dxa"/>
            <w:noWrap w:val="0"/>
            <w:vAlign w:val="center"/>
          </w:tcPr>
          <w:p>
            <w:pPr>
              <w:rPr>
                <w:rFonts w:hint="eastAsia" w:ascii="宋体" w:hAnsi="宋体"/>
                <w:sz w:val="24"/>
                <w:szCs w:val="24"/>
              </w:rPr>
            </w:pPr>
            <w:r>
              <w:rPr>
                <w:rFonts w:hint="eastAsia" w:ascii="宋体" w:hAnsi="宋体"/>
                <w:sz w:val="24"/>
                <w:szCs w:val="24"/>
              </w:rPr>
              <w:t>招标要求</w:t>
            </w:r>
          </w:p>
        </w:tc>
        <w:tc>
          <w:tcPr>
            <w:tcW w:w="2852" w:type="dxa"/>
            <w:noWrap w:val="0"/>
            <w:vAlign w:val="center"/>
          </w:tcPr>
          <w:p>
            <w:pPr>
              <w:rPr>
                <w:rFonts w:hint="eastAsia" w:ascii="宋体" w:hAnsi="宋体"/>
                <w:sz w:val="24"/>
                <w:szCs w:val="24"/>
              </w:rPr>
            </w:pPr>
            <w:r>
              <w:rPr>
                <w:rFonts w:hint="eastAsia" w:ascii="宋体" w:hAnsi="宋体"/>
                <w:sz w:val="24"/>
                <w:szCs w:val="24"/>
              </w:rPr>
              <w:t>投标响应</w:t>
            </w:r>
          </w:p>
        </w:tc>
        <w:tc>
          <w:tcPr>
            <w:tcW w:w="1308" w:type="dxa"/>
            <w:noWrap w:val="0"/>
            <w:vAlign w:val="center"/>
          </w:tcPr>
          <w:p>
            <w:pPr>
              <w:rPr>
                <w:rFonts w:hint="eastAsia" w:ascii="宋体" w:hAnsi="宋体"/>
                <w:sz w:val="24"/>
                <w:szCs w:val="24"/>
              </w:rPr>
            </w:pPr>
            <w:r>
              <w:rPr>
                <w:rFonts w:hint="eastAsia" w:ascii="宋体" w:hAnsi="宋体"/>
                <w:sz w:val="24"/>
                <w:szCs w:val="24"/>
              </w:rPr>
              <w:t>超出、符合或偏离</w:t>
            </w:r>
          </w:p>
        </w:tc>
        <w:tc>
          <w:tcPr>
            <w:tcW w:w="1173" w:type="dxa"/>
            <w:noWrap w:val="0"/>
            <w:vAlign w:val="center"/>
          </w:tcPr>
          <w:p>
            <w:pPr>
              <w:jc w:val="center"/>
              <w:rPr>
                <w:rFonts w:hint="eastAsia"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bl>
    <w:p>
      <w:pPr>
        <w:pStyle w:val="9"/>
      </w:pPr>
    </w:p>
    <w:p>
      <w:pPr>
        <w:spacing w:line="360" w:lineRule="auto"/>
        <w:rPr>
          <w:color w:val="000000" w:themeColor="text1"/>
          <w:sz w:val="24"/>
          <w:szCs w:val="24"/>
        </w:rPr>
      </w:pPr>
      <w:r>
        <w:rPr>
          <w:color w:val="000000" w:themeColor="text1"/>
          <w:sz w:val="24"/>
          <w:szCs w:val="24"/>
        </w:rPr>
        <w:t>法定代表人或授权代表（签字或盖章）</w:t>
      </w:r>
    </w:p>
    <w:p>
      <w:pPr>
        <w:spacing w:line="360" w:lineRule="auto"/>
        <w:rPr>
          <w:color w:val="000000" w:themeColor="text1"/>
          <w:sz w:val="24"/>
          <w:szCs w:val="24"/>
        </w:rPr>
      </w:pPr>
      <w:r>
        <w:rPr>
          <w:color w:val="000000" w:themeColor="text1"/>
          <w:sz w:val="24"/>
          <w:szCs w:val="24"/>
        </w:rPr>
        <w:t xml:space="preserve">                                            日期：     年    月     日</w:t>
      </w:r>
    </w:p>
    <w:p>
      <w:pPr>
        <w:spacing w:line="360" w:lineRule="auto"/>
        <w:rPr>
          <w:b/>
          <w:bCs/>
          <w:color w:val="000000" w:themeColor="text1"/>
          <w:sz w:val="24"/>
          <w:szCs w:val="24"/>
        </w:rPr>
      </w:pPr>
    </w:p>
    <w:p>
      <w:pPr>
        <w:spacing w:line="360" w:lineRule="auto"/>
        <w:rPr>
          <w:color w:val="000000" w:themeColor="text1"/>
          <w:sz w:val="24"/>
          <w:szCs w:val="24"/>
        </w:rPr>
      </w:pPr>
      <w:r>
        <w:rPr>
          <w:b/>
          <w:bCs/>
          <w:color w:val="000000" w:themeColor="text1"/>
          <w:sz w:val="24"/>
          <w:szCs w:val="24"/>
        </w:rPr>
        <w:t>注：</w:t>
      </w:r>
      <w:r>
        <w:rPr>
          <w:color w:val="000000" w:themeColor="text1"/>
          <w:sz w:val="24"/>
          <w:szCs w:val="24"/>
        </w:rPr>
        <w:t>1、按照基本技术要求详细填列；</w:t>
      </w:r>
    </w:p>
    <w:p>
      <w:pPr>
        <w:spacing w:line="360" w:lineRule="auto"/>
        <w:ind w:firstLine="480"/>
        <w:rPr>
          <w:color w:val="000000" w:themeColor="text1"/>
          <w:sz w:val="24"/>
          <w:szCs w:val="24"/>
        </w:rPr>
      </w:pPr>
      <w:r>
        <w:rPr>
          <w:color w:val="000000" w:themeColor="text1"/>
          <w:sz w:val="24"/>
          <w:szCs w:val="24"/>
        </w:rPr>
        <w:t>2、行数不够，可自行添加。</w:t>
      </w:r>
    </w:p>
    <w:p>
      <w:pPr>
        <w:spacing w:line="360" w:lineRule="auto"/>
        <w:ind w:firstLine="480"/>
        <w:rPr>
          <w:color w:val="000000" w:themeColor="text1"/>
          <w:sz w:val="24"/>
          <w:szCs w:val="24"/>
        </w:rPr>
      </w:pPr>
      <w:r>
        <w:rPr>
          <w:color w:val="000000" w:themeColor="text1"/>
          <w:sz w:val="24"/>
          <w:szCs w:val="24"/>
        </w:rPr>
        <w:t>3、技术偏离表应针对项目需求逐条应答。</w:t>
      </w:r>
    </w:p>
    <w:p>
      <w:pPr>
        <w:jc w:val="center"/>
        <w:rPr>
          <w:color w:val="000000" w:themeColor="text1"/>
          <w:sz w:val="24"/>
          <w:szCs w:val="24"/>
        </w:rPr>
      </w:pPr>
    </w:p>
    <w:p>
      <w:pPr>
        <w:jc w:val="center"/>
        <w:rPr>
          <w:color w:val="000000" w:themeColor="text1"/>
          <w:sz w:val="24"/>
          <w:szCs w:val="24"/>
        </w:rPr>
      </w:pPr>
    </w:p>
    <w:p>
      <w:pPr>
        <w:rPr>
          <w:color w:val="000000" w:themeColor="text1"/>
          <w:sz w:val="24"/>
          <w:szCs w:val="24"/>
        </w:rPr>
      </w:pPr>
    </w:p>
    <w:p>
      <w:pPr>
        <w:spacing w:line="360" w:lineRule="auto"/>
        <w:jc w:val="center"/>
        <w:rPr>
          <w:b/>
          <w:bCs/>
          <w:color w:val="000000" w:themeColor="text1"/>
          <w:sz w:val="32"/>
          <w:szCs w:val="32"/>
        </w:rPr>
      </w:pPr>
    </w:p>
    <w:p>
      <w:pPr>
        <w:widowControl/>
        <w:jc w:val="left"/>
        <w:rPr>
          <w:rFonts w:eastAsia="黑体"/>
          <w:color w:val="000000" w:themeColor="text1"/>
          <w:sz w:val="32"/>
          <w:szCs w:val="32"/>
        </w:rPr>
      </w:pP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rPr>
        <w:t>七</w:t>
      </w:r>
      <w:r>
        <w:rPr>
          <w:rFonts w:eastAsia="黑体"/>
          <w:color w:val="000000" w:themeColor="text1"/>
          <w:sz w:val="32"/>
          <w:szCs w:val="32"/>
        </w:rPr>
        <w:t>、商务条款响应及偏离表</w:t>
      </w:r>
    </w:p>
    <w:p>
      <w:pPr>
        <w:spacing w:before="156" w:beforeLines="50" w:after="156" w:afterLines="50"/>
        <w:rPr>
          <w:color w:val="000000" w:themeColor="text1"/>
          <w:sz w:val="24"/>
          <w:szCs w:val="24"/>
        </w:rPr>
      </w:pPr>
      <w:r>
        <w:rPr>
          <w:color w:val="000000" w:themeColor="text1"/>
          <w:sz w:val="24"/>
          <w:szCs w:val="24"/>
        </w:rPr>
        <w:t>参加投标供应商全称（加盖公章）：        项目名称：</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rPr>
                <w:color w:val="000000" w:themeColor="text1"/>
                <w:sz w:val="24"/>
                <w:szCs w:val="24"/>
              </w:rPr>
            </w:pPr>
            <w:r>
              <w:rPr>
                <w:rFonts w:hint="eastAsia" w:ascii="仿宋_GB2312"/>
                <w:color w:val="000000"/>
                <w:sz w:val="24"/>
              </w:rPr>
              <w:t>交货时间</w:t>
            </w:r>
          </w:p>
        </w:tc>
        <w:tc>
          <w:tcPr>
            <w:tcW w:w="2700" w:type="dxa"/>
            <w:tcBorders>
              <w:top w:val="single" w:color="auto" w:sz="4" w:space="0"/>
              <w:left w:val="nil"/>
              <w:bottom w:val="single" w:color="auto" w:sz="4" w:space="0"/>
              <w:right w:val="single" w:color="auto" w:sz="4" w:space="0"/>
            </w:tcBorders>
            <w:vAlign w:val="top"/>
          </w:tcPr>
          <w:p>
            <w:pPr>
              <w:snapToGrid w:val="0"/>
              <w:spacing w:before="145" w:beforeLines="50"/>
              <w:rPr>
                <w:color w:val="000000" w:themeColor="text1"/>
                <w:sz w:val="24"/>
                <w:szCs w:val="24"/>
              </w:rPr>
            </w:pPr>
            <w:r>
              <w:rPr>
                <w:rFonts w:hint="eastAsia" w:ascii="仿宋_GB2312" w:hAnsi="宋体"/>
                <w:color w:val="000000"/>
                <w:sz w:val="24"/>
              </w:rPr>
              <w:t>合同签订后</w:t>
            </w:r>
            <w:r>
              <w:rPr>
                <w:rFonts w:hint="eastAsia" w:ascii="仿宋_GB2312" w:hAnsi="宋体"/>
                <w:color w:val="000000"/>
                <w:sz w:val="24"/>
                <w:u w:val="single"/>
              </w:rPr>
              <w:t xml:space="preserve">     </w:t>
            </w:r>
            <w:r>
              <w:rPr>
                <w:rFonts w:ascii="仿宋_GB2312" w:hAnsi="宋体"/>
                <w:color w:val="000000"/>
                <w:sz w:val="24"/>
              </w:rPr>
              <w:t>天内</w:t>
            </w: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ind w:left="43"/>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ind w:left="43"/>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bl>
    <w:p>
      <w:pPr>
        <w:spacing w:before="156" w:beforeLines="50"/>
        <w:rPr>
          <w:color w:val="000000" w:themeColor="text1"/>
          <w:sz w:val="24"/>
          <w:szCs w:val="24"/>
        </w:rPr>
      </w:pPr>
      <w:r>
        <w:rPr>
          <w:color w:val="000000" w:themeColor="text1"/>
          <w:sz w:val="24"/>
          <w:szCs w:val="24"/>
        </w:rPr>
        <w:t xml:space="preserve">法定代表人或授权代表签字： </w:t>
      </w:r>
    </w:p>
    <w:p>
      <w:pPr>
        <w:snapToGrid w:val="0"/>
        <w:spacing w:line="560" w:lineRule="exact"/>
        <w:jc w:val="center"/>
        <w:rPr>
          <w:color w:val="000000" w:themeColor="text1"/>
          <w:sz w:val="32"/>
          <w:szCs w:val="32"/>
        </w:rPr>
      </w:pPr>
      <w:r>
        <w:rPr>
          <w:color w:val="000000" w:themeColor="text1"/>
          <w:sz w:val="32"/>
          <w:szCs w:val="32"/>
        </w:rPr>
        <w:br w:type="page"/>
      </w:r>
    </w:p>
    <w:p>
      <w:pPr>
        <w:snapToGrid w:val="0"/>
        <w:spacing w:before="50" w:after="50"/>
        <w:jc w:val="center"/>
        <w:rPr>
          <w:rFonts w:hint="eastAsia" w:ascii="黑体" w:eastAsia="黑体"/>
          <w:color w:val="000000"/>
          <w:sz w:val="32"/>
          <w:szCs w:val="32"/>
          <w:lang w:eastAsia="zh-CN"/>
        </w:rPr>
      </w:pPr>
      <w:r>
        <w:rPr>
          <w:rFonts w:ascii="黑体" w:eastAsia="黑体"/>
          <w:color w:val="000000"/>
          <w:sz w:val="32"/>
          <w:szCs w:val="32"/>
        </w:rPr>
        <w:t>八</w:t>
      </w:r>
      <w:r>
        <w:rPr>
          <w:rFonts w:hint="eastAsia" w:ascii="黑体" w:eastAsia="黑体"/>
          <w:color w:val="000000"/>
          <w:sz w:val="32"/>
          <w:szCs w:val="32"/>
        </w:rPr>
        <w:t>、</w:t>
      </w:r>
      <w:r>
        <w:rPr>
          <w:rFonts w:hint="eastAsia" w:ascii="黑体" w:eastAsia="黑体"/>
          <w:color w:val="000000"/>
          <w:sz w:val="32"/>
          <w:szCs w:val="32"/>
          <w:lang w:eastAsia="zh-CN"/>
        </w:rPr>
        <w:t>项目实施方案、服务承诺、安全攻防演练方案等</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28"/>
          <w:szCs w:val="32"/>
        </w:rPr>
      </w:pPr>
      <w:r>
        <w:rPr>
          <w:rFonts w:ascii="黑体" w:eastAsia="黑体"/>
          <w:color w:val="000000"/>
          <w:sz w:val="28"/>
          <w:szCs w:val="32"/>
        </w:rPr>
        <w:t>格式自拟</w:t>
      </w:r>
    </w:p>
    <w:p>
      <w:pPr>
        <w:pStyle w:val="11"/>
        <w:tabs>
          <w:tab w:val="left" w:pos="9000"/>
        </w:tabs>
        <w:ind w:left="0" w:leftChars="0" w:right="1470"/>
        <w:rPr>
          <w:rFonts w:hint="eastAsia" w:ascii="宋体" w:hAnsi="宋体" w:cs="宋体"/>
          <w:color w:val="000000"/>
          <w:sz w:val="28"/>
          <w:szCs w:val="32"/>
        </w:rPr>
      </w:pPr>
    </w:p>
    <w:p>
      <w:pPr>
        <w:pStyle w:val="11"/>
        <w:tabs>
          <w:tab w:val="left" w:pos="9000"/>
        </w:tabs>
        <w:ind w:left="0" w:leftChars="0" w:right="1470" w:firstLine="720" w:firstLineChars="300"/>
        <w:rPr>
          <w:rFonts w:hint="eastAsia" w:ascii="Times New Roman" w:hAnsi="Times New Roman" w:eastAsia="宋体" w:cs="Times New Roman"/>
          <w:color w:val="000000" w:themeColor="text1"/>
          <w:kern w:val="2"/>
          <w:sz w:val="24"/>
          <w:szCs w:val="24"/>
          <w:lang w:val="en-US" w:eastAsia="zh-CN" w:bidi="ar-SA"/>
        </w:rPr>
      </w:pPr>
      <w:r>
        <w:rPr>
          <w:rFonts w:hint="eastAsia" w:ascii="Times New Roman" w:hAnsi="Times New Roman" w:eastAsia="宋体" w:cs="Times New Roman"/>
          <w:color w:val="000000" w:themeColor="text1"/>
          <w:kern w:val="2"/>
          <w:sz w:val="24"/>
          <w:szCs w:val="24"/>
          <w:lang w:val="en-US" w:eastAsia="zh-CN" w:bidi="ar-SA"/>
        </w:rPr>
        <w:t>投标人根据评标办法中相关评审点编制。</w:t>
      </w:r>
    </w:p>
    <w:p>
      <w:pPr>
        <w:snapToGrid w:val="0"/>
        <w:spacing w:before="50" w:after="50"/>
        <w:jc w:val="cente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lang w:eastAsia="zh-CN"/>
        </w:rPr>
      </w:pPr>
    </w:p>
    <w:p>
      <w:pPr>
        <w:snapToGrid w:val="0"/>
        <w:spacing w:before="50" w:after="50"/>
        <w:jc w:val="center"/>
        <w:rPr>
          <w:rFonts w:hint="eastAsia" w:eastAsia="黑体"/>
          <w:color w:val="000000" w:themeColor="text1"/>
          <w:sz w:val="32"/>
          <w:szCs w:val="32"/>
          <w:lang w:eastAsia="zh-CN"/>
        </w:rPr>
      </w:pPr>
    </w:p>
    <w:p>
      <w:pPr>
        <w:snapToGrid w:val="0"/>
        <w:spacing w:before="50" w:after="50"/>
        <w:jc w:val="center"/>
        <w:rPr>
          <w:rFonts w:hint="eastAsia" w:eastAsia="黑体"/>
          <w:color w:val="000000" w:themeColor="text1"/>
          <w:sz w:val="32"/>
          <w:szCs w:val="32"/>
          <w:lang w:eastAsia="zh-CN"/>
        </w:rPr>
      </w:pPr>
    </w:p>
    <w:p>
      <w:pPr>
        <w:widowControl/>
        <w:spacing w:line="500" w:lineRule="exact"/>
        <w:ind w:firstLine="2400" w:firstLineChars="750"/>
        <w:rPr>
          <w:rFonts w:hint="eastAsia" w:ascii="黑体" w:eastAsia="黑体"/>
          <w:color w:val="000000"/>
          <w:sz w:val="32"/>
          <w:szCs w:val="32"/>
        </w:rPr>
      </w:pPr>
      <w:r>
        <w:rPr>
          <w:rFonts w:hint="eastAsia" w:ascii="黑体" w:eastAsia="黑体"/>
          <w:color w:val="000000"/>
          <w:sz w:val="32"/>
          <w:szCs w:val="32"/>
        </w:rPr>
        <w:t>九、拟投入本项目的主要人员一览表</w:t>
      </w:r>
    </w:p>
    <w:p>
      <w:pPr>
        <w:snapToGrid w:val="0"/>
        <w:spacing w:before="50" w:after="50"/>
        <w:jc w:val="center"/>
        <w:rPr>
          <w:rFonts w:hint="eastAsia" w:ascii="黑体" w:eastAsia="黑体"/>
          <w:color w:val="000000"/>
          <w:sz w:val="28"/>
          <w:szCs w:val="32"/>
        </w:rPr>
      </w:pPr>
    </w:p>
    <w:p>
      <w:pPr>
        <w:snapToGrid w:val="0"/>
        <w:spacing w:before="50" w:after="50"/>
        <w:jc w:val="center"/>
        <w:rPr>
          <w:rFonts w:ascii="黑体" w:eastAsia="黑体"/>
          <w:color w:val="000000"/>
          <w:sz w:val="28"/>
          <w:szCs w:val="32"/>
        </w:rPr>
      </w:pPr>
      <w:r>
        <w:rPr>
          <w:rFonts w:ascii="黑体" w:eastAsia="黑体"/>
          <w:color w:val="000000"/>
          <w:sz w:val="28"/>
          <w:szCs w:val="32"/>
        </w:rPr>
        <w:t>格式自拟</w:t>
      </w:r>
    </w:p>
    <w:p>
      <w:pPr>
        <w:snapToGrid w:val="0"/>
        <w:spacing w:before="50" w:after="50"/>
        <w:jc w:val="center"/>
        <w:rPr>
          <w:rFonts w:hint="eastAsia" w:eastAsia="黑体"/>
          <w:color w:val="000000" w:themeColor="text1"/>
          <w:sz w:val="32"/>
          <w:szCs w:val="32"/>
          <w:lang w:eastAsia="zh-CN"/>
        </w:rPr>
      </w:pPr>
    </w:p>
    <w:p>
      <w:pPr>
        <w:snapToGrid w:val="0"/>
        <w:spacing w:before="50" w:after="50"/>
        <w:jc w:val="center"/>
        <w:rPr>
          <w:rFonts w:hint="eastAsia" w:eastAsia="黑体"/>
          <w:color w:val="000000" w:themeColor="text1"/>
          <w:sz w:val="32"/>
          <w:szCs w:val="32"/>
          <w:lang w:eastAsia="zh-CN"/>
        </w:rPr>
      </w:pPr>
    </w:p>
    <w:p>
      <w:pPr>
        <w:snapToGrid w:val="0"/>
        <w:spacing w:before="50" w:after="50"/>
        <w:jc w:val="cente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rPr>
          <w:rFonts w:hint="eastAsia" w:eastAsia="黑体"/>
          <w:color w:val="000000" w:themeColor="text1"/>
          <w:sz w:val="32"/>
          <w:szCs w:val="32"/>
          <w:lang w:eastAsia="zh-CN"/>
        </w:rPr>
      </w:pPr>
    </w:p>
    <w:p>
      <w:pPr>
        <w:pStyle w:val="9"/>
        <w:rPr>
          <w:rFonts w:hint="eastAsia" w:eastAsia="黑体"/>
          <w:color w:val="000000" w:themeColor="text1"/>
          <w:sz w:val="32"/>
          <w:szCs w:val="32"/>
          <w:lang w:eastAsia="zh-CN"/>
        </w:rPr>
      </w:pPr>
    </w:p>
    <w:p>
      <w:pPr>
        <w:snapToGrid w:val="0"/>
        <w:spacing w:before="50" w:after="50"/>
        <w:jc w:val="center"/>
        <w:rPr>
          <w:rFonts w:eastAsia="黑体"/>
          <w:color w:val="000000" w:themeColor="text1"/>
          <w:sz w:val="32"/>
          <w:szCs w:val="32"/>
        </w:rPr>
      </w:pPr>
      <w:r>
        <w:rPr>
          <w:rFonts w:hint="eastAsia" w:eastAsia="黑体"/>
          <w:color w:val="000000" w:themeColor="text1"/>
          <w:sz w:val="32"/>
          <w:szCs w:val="32"/>
          <w:lang w:eastAsia="zh-CN"/>
        </w:rPr>
        <w:t>十</w:t>
      </w:r>
      <w:r>
        <w:rPr>
          <w:rFonts w:eastAsia="黑体"/>
          <w:color w:val="000000" w:themeColor="text1"/>
          <w:sz w:val="32"/>
          <w:szCs w:val="32"/>
        </w:rPr>
        <w:t>、盐城市政府采购事前信用承诺书</w:t>
      </w:r>
    </w:p>
    <w:p>
      <w:pPr>
        <w:spacing w:line="500" w:lineRule="exact"/>
        <w:ind w:firstLine="640" w:firstLineChars="200"/>
        <w:jc w:val="left"/>
        <w:rPr>
          <w:rFonts w:eastAsia="方正仿宋_GBK"/>
          <w:color w:val="000000" w:themeColor="text1"/>
          <w:kern w:val="0"/>
          <w:sz w:val="32"/>
          <w:szCs w:val="32"/>
        </w:rPr>
      </w:pPr>
    </w:p>
    <w:p>
      <w:pPr>
        <w:spacing w:line="440" w:lineRule="exact"/>
        <w:ind w:firstLine="480" w:firstLineChars="200"/>
        <w:rPr>
          <w:color w:val="000000" w:themeColor="text1"/>
          <w:sz w:val="24"/>
        </w:rPr>
      </w:pPr>
      <w:r>
        <w:rPr>
          <w:color w:val="000000" w:themeColor="text1"/>
          <w:sz w:val="24"/>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rPr>
      </w:pPr>
      <w:r>
        <w:rPr>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rPr>
      </w:pPr>
      <w:r>
        <w:rPr>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rPr>
      </w:pPr>
      <w:r>
        <w:rPr>
          <w:color w:val="000000" w:themeColor="text1"/>
          <w:sz w:val="24"/>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rPr>
      </w:pPr>
      <w:r>
        <w:rPr>
          <w:color w:val="000000" w:themeColor="text1"/>
          <w:sz w:val="24"/>
        </w:rPr>
        <w:t>（四）严格遵守即时信息公示规定，及时维护和更新维护和更新盐城市政府采购网中与本单位相关的信息；</w:t>
      </w:r>
    </w:p>
    <w:p>
      <w:pPr>
        <w:spacing w:line="440" w:lineRule="exact"/>
        <w:ind w:firstLine="480" w:firstLineChars="200"/>
        <w:rPr>
          <w:color w:val="000000" w:themeColor="text1"/>
          <w:sz w:val="24"/>
        </w:rPr>
      </w:pPr>
      <w:r>
        <w:rPr>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rPr>
      </w:pPr>
      <w:r>
        <w:rPr>
          <w:color w:val="000000" w:themeColor="text1"/>
          <w:sz w:val="24"/>
        </w:rPr>
        <w:t>（六）自觉接受政府、行业组织、社会公众、新闻舆论的监督；</w:t>
      </w:r>
    </w:p>
    <w:p>
      <w:pPr>
        <w:spacing w:line="440" w:lineRule="exact"/>
        <w:ind w:firstLine="480" w:firstLineChars="200"/>
        <w:rPr>
          <w:color w:val="000000" w:themeColor="text1"/>
          <w:sz w:val="24"/>
        </w:rPr>
      </w:pPr>
      <w:r>
        <w:rPr>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rPr>
      </w:pPr>
      <w:r>
        <w:rPr>
          <w:color w:val="000000" w:themeColor="text1"/>
          <w:sz w:val="24"/>
        </w:rPr>
        <w:t>（八）本人已认真阅读了上述承诺，并向本单位员工作了宣传教育。</w:t>
      </w:r>
    </w:p>
    <w:p>
      <w:pPr>
        <w:spacing w:line="500" w:lineRule="exact"/>
        <w:jc w:val="left"/>
        <w:rPr>
          <w:color w:val="000000" w:themeColor="text1"/>
          <w:sz w:val="24"/>
        </w:rPr>
      </w:pPr>
    </w:p>
    <w:p>
      <w:pPr>
        <w:pStyle w:val="26"/>
      </w:pPr>
    </w:p>
    <w:p>
      <w:pPr>
        <w:spacing w:line="500" w:lineRule="exact"/>
        <w:jc w:val="center"/>
        <w:rPr>
          <w:color w:val="000000" w:themeColor="text1"/>
          <w:sz w:val="24"/>
        </w:rPr>
      </w:pPr>
      <w:r>
        <w:rPr>
          <w:color w:val="000000" w:themeColor="text1"/>
          <w:sz w:val="24"/>
        </w:rPr>
        <w:t xml:space="preserve">                 法定代表人签名：</w:t>
      </w:r>
    </w:p>
    <w:p>
      <w:pPr>
        <w:spacing w:line="500" w:lineRule="exact"/>
        <w:jc w:val="center"/>
        <w:rPr>
          <w:color w:val="000000" w:themeColor="text1"/>
          <w:sz w:val="24"/>
        </w:rPr>
      </w:pPr>
      <w:r>
        <w:rPr>
          <w:color w:val="000000" w:themeColor="text1"/>
          <w:sz w:val="24"/>
        </w:rPr>
        <w:t xml:space="preserve">                   单位名称（盖章）：</w:t>
      </w:r>
    </w:p>
    <w:p>
      <w:pPr>
        <w:spacing w:line="500" w:lineRule="exact"/>
        <w:jc w:val="center"/>
        <w:rPr>
          <w:color w:val="000000" w:themeColor="text1"/>
          <w:sz w:val="24"/>
        </w:rPr>
      </w:pPr>
      <w:r>
        <w:rPr>
          <w:color w:val="000000" w:themeColor="text1"/>
          <w:sz w:val="24"/>
        </w:rPr>
        <w:t xml:space="preserve">                      年    月    日</w:t>
      </w:r>
    </w:p>
    <w:p>
      <w:pPr>
        <w:snapToGrid w:val="0"/>
        <w:spacing w:line="560" w:lineRule="exact"/>
        <w:jc w:val="center"/>
        <w:rPr>
          <w:rFonts w:eastAsia="黑体"/>
          <w:color w:val="000000" w:themeColor="text1"/>
          <w:sz w:val="32"/>
          <w:szCs w:val="32"/>
        </w:rPr>
      </w:pPr>
      <w:r>
        <w:rPr>
          <w:rFonts w:hint="eastAsia" w:eastAsia="黑体"/>
          <w:color w:val="000000" w:themeColor="text1"/>
          <w:sz w:val="32"/>
          <w:szCs w:val="32"/>
          <w:lang w:eastAsia="zh-CN"/>
        </w:rPr>
        <w:t>十一</w:t>
      </w:r>
      <w:r>
        <w:rPr>
          <w:rFonts w:eastAsia="黑体"/>
          <w:color w:val="000000" w:themeColor="text1"/>
          <w:sz w:val="32"/>
          <w:szCs w:val="32"/>
        </w:rPr>
        <w:t>、</w:t>
      </w:r>
      <w:r>
        <w:rPr>
          <w:rFonts w:hint="eastAsia" w:eastAsia="黑体"/>
          <w:color w:val="000000" w:themeColor="text1"/>
          <w:sz w:val="32"/>
          <w:szCs w:val="32"/>
        </w:rPr>
        <w:t>招</w:t>
      </w:r>
      <w:r>
        <w:rPr>
          <w:rFonts w:eastAsia="黑体"/>
          <w:color w:val="000000" w:themeColor="text1"/>
          <w:sz w:val="32"/>
          <w:szCs w:val="32"/>
        </w:rPr>
        <w:t>标文件中规定要求提供的材料或投标供应商认为需要提供的其他材料</w:t>
      </w:r>
    </w:p>
    <w:p>
      <w:pPr>
        <w:snapToGrid w:val="0"/>
        <w:spacing w:before="50" w:after="50"/>
        <w:jc w:val="center"/>
        <w:rPr>
          <w:color w:val="000000" w:themeColor="text1"/>
          <w:sz w:val="32"/>
          <w:szCs w:val="32"/>
        </w:rPr>
      </w:pPr>
    </w:p>
    <w:p>
      <w:pPr>
        <w:pStyle w:val="26"/>
        <w:rPr>
          <w:rFonts w:hint="eastAsia"/>
          <w:color w:val="C0504D" w:themeColor="accent2"/>
        </w:rPr>
      </w:pPr>
    </w:p>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大标宋_GBK">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6"/>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lang w:eastAsia="zh-CN"/>
      </w:rPr>
      <w:t>YCYZ2022HW004</w:t>
    </w:r>
    <w:r>
      <w:rPr>
        <w:rFonts w:hint="eastAsia" w:ascii="宋体" w:hAnsi="宋体" w:cs="宋体"/>
        <w:color w:val="000000"/>
        <w:spacing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B9532"/>
    <w:multiLevelType w:val="singleLevel"/>
    <w:tmpl w:val="5A2B9532"/>
    <w:lvl w:ilvl="0" w:tentative="0">
      <w:start w:val="2"/>
      <w:numFmt w:val="decimal"/>
      <w:suff w:val="space"/>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0OTZhOWFhZmU0MjAyMTk2YzE4M2RhNWVlZjBmMzQifQ=="/>
  </w:docVars>
  <w:rsids>
    <w:rsidRoot w:val="00826A0F"/>
    <w:rsid w:val="00013403"/>
    <w:rsid w:val="0001548F"/>
    <w:rsid w:val="00023FFB"/>
    <w:rsid w:val="000420C1"/>
    <w:rsid w:val="00052268"/>
    <w:rsid w:val="00056C0F"/>
    <w:rsid w:val="00061E7F"/>
    <w:rsid w:val="00083525"/>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932AA"/>
    <w:rsid w:val="003A7778"/>
    <w:rsid w:val="003C1D02"/>
    <w:rsid w:val="003C538F"/>
    <w:rsid w:val="003D4915"/>
    <w:rsid w:val="003D6622"/>
    <w:rsid w:val="003E72A0"/>
    <w:rsid w:val="00405801"/>
    <w:rsid w:val="00407A63"/>
    <w:rsid w:val="00411BE1"/>
    <w:rsid w:val="00422E24"/>
    <w:rsid w:val="00454A6D"/>
    <w:rsid w:val="00471736"/>
    <w:rsid w:val="00482F33"/>
    <w:rsid w:val="004A11F1"/>
    <w:rsid w:val="004C3598"/>
    <w:rsid w:val="004C4678"/>
    <w:rsid w:val="004D4131"/>
    <w:rsid w:val="0052606B"/>
    <w:rsid w:val="00530FD2"/>
    <w:rsid w:val="005539E3"/>
    <w:rsid w:val="00566D40"/>
    <w:rsid w:val="005C790E"/>
    <w:rsid w:val="005D7154"/>
    <w:rsid w:val="005D7C85"/>
    <w:rsid w:val="00625B2F"/>
    <w:rsid w:val="00632559"/>
    <w:rsid w:val="00665091"/>
    <w:rsid w:val="00670C31"/>
    <w:rsid w:val="00681F12"/>
    <w:rsid w:val="006B1528"/>
    <w:rsid w:val="006E3BF2"/>
    <w:rsid w:val="006E496F"/>
    <w:rsid w:val="00703839"/>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F7FE6"/>
    <w:rsid w:val="00E24136"/>
    <w:rsid w:val="00E248AE"/>
    <w:rsid w:val="00E429C3"/>
    <w:rsid w:val="00E51AAB"/>
    <w:rsid w:val="00E903BD"/>
    <w:rsid w:val="00E90DDA"/>
    <w:rsid w:val="00E9692F"/>
    <w:rsid w:val="00EC4AF5"/>
    <w:rsid w:val="00EE1BA9"/>
    <w:rsid w:val="00EE26B2"/>
    <w:rsid w:val="00EF00B5"/>
    <w:rsid w:val="00EF1C39"/>
    <w:rsid w:val="00F10987"/>
    <w:rsid w:val="00F22B45"/>
    <w:rsid w:val="00F24020"/>
    <w:rsid w:val="00F905B3"/>
    <w:rsid w:val="00F92AEC"/>
    <w:rsid w:val="00FD4F19"/>
    <w:rsid w:val="05BE2706"/>
    <w:rsid w:val="06A030C2"/>
    <w:rsid w:val="07862691"/>
    <w:rsid w:val="08312BA3"/>
    <w:rsid w:val="08684CE0"/>
    <w:rsid w:val="096B7D90"/>
    <w:rsid w:val="098175B4"/>
    <w:rsid w:val="0C7B653C"/>
    <w:rsid w:val="106672C9"/>
    <w:rsid w:val="118606E8"/>
    <w:rsid w:val="12BF57F1"/>
    <w:rsid w:val="13F57F2B"/>
    <w:rsid w:val="16CE01F2"/>
    <w:rsid w:val="17237F9A"/>
    <w:rsid w:val="177922F0"/>
    <w:rsid w:val="17E95B0E"/>
    <w:rsid w:val="1A057D8D"/>
    <w:rsid w:val="1AF13CB5"/>
    <w:rsid w:val="1D7A76D0"/>
    <w:rsid w:val="1DFF5CE1"/>
    <w:rsid w:val="1F250958"/>
    <w:rsid w:val="1FF02946"/>
    <w:rsid w:val="23C640E9"/>
    <w:rsid w:val="23EA427B"/>
    <w:rsid w:val="2446522A"/>
    <w:rsid w:val="2624038B"/>
    <w:rsid w:val="27214E72"/>
    <w:rsid w:val="27F27997"/>
    <w:rsid w:val="280671AA"/>
    <w:rsid w:val="2C42056A"/>
    <w:rsid w:val="2D7A4AA5"/>
    <w:rsid w:val="318A2BFA"/>
    <w:rsid w:val="31C418C9"/>
    <w:rsid w:val="3255799F"/>
    <w:rsid w:val="32C739DA"/>
    <w:rsid w:val="33071282"/>
    <w:rsid w:val="33D4357B"/>
    <w:rsid w:val="34BB6BEB"/>
    <w:rsid w:val="37677539"/>
    <w:rsid w:val="387B504A"/>
    <w:rsid w:val="39620EA9"/>
    <w:rsid w:val="39E80D0A"/>
    <w:rsid w:val="3A093679"/>
    <w:rsid w:val="3AC3441A"/>
    <w:rsid w:val="3B685CB1"/>
    <w:rsid w:val="3C522917"/>
    <w:rsid w:val="3D976A30"/>
    <w:rsid w:val="3F133019"/>
    <w:rsid w:val="40C53DFF"/>
    <w:rsid w:val="41002C1C"/>
    <w:rsid w:val="45F6521E"/>
    <w:rsid w:val="4663083F"/>
    <w:rsid w:val="46E3784F"/>
    <w:rsid w:val="46EE37D3"/>
    <w:rsid w:val="488F68F0"/>
    <w:rsid w:val="48E07049"/>
    <w:rsid w:val="4A9B77CE"/>
    <w:rsid w:val="4B913C9C"/>
    <w:rsid w:val="4C6D35CE"/>
    <w:rsid w:val="4E4E5ADE"/>
    <w:rsid w:val="4EC30CA9"/>
    <w:rsid w:val="51085492"/>
    <w:rsid w:val="523A10F8"/>
    <w:rsid w:val="5391103D"/>
    <w:rsid w:val="547F6C75"/>
    <w:rsid w:val="554F3053"/>
    <w:rsid w:val="55577837"/>
    <w:rsid w:val="55AD239B"/>
    <w:rsid w:val="5DA20BF8"/>
    <w:rsid w:val="5F913938"/>
    <w:rsid w:val="60007659"/>
    <w:rsid w:val="610D0E7E"/>
    <w:rsid w:val="611A0FF5"/>
    <w:rsid w:val="63907F40"/>
    <w:rsid w:val="665705F5"/>
    <w:rsid w:val="67ED04A1"/>
    <w:rsid w:val="6A3E260C"/>
    <w:rsid w:val="6C9873B6"/>
    <w:rsid w:val="6D42279F"/>
    <w:rsid w:val="6E1E5287"/>
    <w:rsid w:val="6F14385A"/>
    <w:rsid w:val="70512160"/>
    <w:rsid w:val="715D700F"/>
    <w:rsid w:val="726E1536"/>
    <w:rsid w:val="73441562"/>
    <w:rsid w:val="75D927B7"/>
    <w:rsid w:val="769D255B"/>
    <w:rsid w:val="76BD6E08"/>
    <w:rsid w:val="7B683332"/>
    <w:rsid w:val="7B8B3249"/>
    <w:rsid w:val="7CB61568"/>
    <w:rsid w:val="7D066E76"/>
    <w:rsid w:val="7E0B4749"/>
    <w:rsid w:val="7F0E0C8D"/>
    <w:rsid w:val="7F8D01A2"/>
    <w:rsid w:val="7F9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qFormat/>
    <w:uiPriority w:val="99"/>
    <w:pPr>
      <w:keepNext/>
      <w:jc w:val="center"/>
      <w:outlineLvl w:val="0"/>
    </w:pPr>
    <w:rPr>
      <w:rFonts w:ascii="楷体_GB2312" w:hAnsi="楷体_GB2312" w:cs="宋体"/>
      <w:sz w:val="28"/>
      <w:szCs w:val="28"/>
    </w:rPr>
  </w:style>
  <w:style w:type="paragraph" w:styleId="4">
    <w:name w:val="heading 2"/>
    <w:basedOn w:val="1"/>
    <w:next w:val="1"/>
    <w:link w:val="28"/>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5">
    <w:name w:val="heading 3"/>
    <w:basedOn w:val="1"/>
    <w:next w:val="6"/>
    <w:link w:val="29"/>
    <w:qFormat/>
    <w:uiPriority w:val="99"/>
    <w:pPr>
      <w:keepNext/>
      <w:keepLines/>
      <w:spacing w:before="260" w:after="260" w:line="415" w:lineRule="auto"/>
      <w:outlineLvl w:val="2"/>
    </w:pPr>
    <w:rPr>
      <w:b/>
      <w:bCs/>
      <w:sz w:val="32"/>
      <w:szCs w:val="32"/>
    </w:rPr>
  </w:style>
  <w:style w:type="paragraph" w:styleId="7">
    <w:name w:val="heading 4"/>
    <w:basedOn w:val="1"/>
    <w:next w:val="6"/>
    <w:link w:val="53"/>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30"/>
    <w:qFormat/>
    <w:uiPriority w:val="99"/>
    <w:pPr>
      <w:keepNext/>
      <w:keepLines/>
      <w:spacing w:before="240" w:after="64" w:line="319" w:lineRule="auto"/>
      <w:outlineLvl w:val="5"/>
    </w:pPr>
    <w:rPr>
      <w:rFonts w:ascii="Arial" w:hAnsi="Arial" w:eastAsia="黑体" w:cs="Arial"/>
      <w:b/>
      <w:bCs/>
      <w:sz w:val="24"/>
      <w:szCs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unhideWhenUsed/>
    <w:qFormat/>
    <w:uiPriority w:val="99"/>
    <w:pPr>
      <w:ind w:firstLine="420" w:firstLineChars="100"/>
    </w:pPr>
  </w:style>
  <w:style w:type="paragraph" w:styleId="6">
    <w:name w:val="Normal Indent"/>
    <w:basedOn w:val="1"/>
    <w:unhideWhenUsed/>
    <w:qFormat/>
    <w:uiPriority w:val="99"/>
    <w:pPr>
      <w:ind w:firstLine="420"/>
    </w:pPr>
  </w:style>
  <w:style w:type="paragraph" w:styleId="9">
    <w:name w:val="Body Text"/>
    <w:basedOn w:val="1"/>
    <w:next w:val="1"/>
    <w:unhideWhenUsed/>
    <w:qFormat/>
    <w:uiPriority w:val="99"/>
    <w:pPr>
      <w:spacing w:after="120"/>
    </w:pPr>
  </w:style>
  <w:style w:type="paragraph" w:styleId="10">
    <w:name w:val="Body Text Indent"/>
    <w:basedOn w:val="1"/>
    <w:link w:val="36"/>
    <w:unhideWhenUsed/>
    <w:qFormat/>
    <w:uiPriority w:val="99"/>
    <w:pPr>
      <w:ind w:firstLine="645"/>
    </w:pPr>
    <w:rPr>
      <w:rFonts w:ascii="楷体_GB2312" w:hAnsi="楷体_GB2312" w:cs="宋体"/>
      <w:sz w:val="32"/>
      <w:szCs w:val="32"/>
    </w:rPr>
  </w:style>
  <w:style w:type="paragraph" w:styleId="11">
    <w:name w:val="Block Text"/>
    <w:basedOn w:val="1"/>
    <w:qFormat/>
    <w:uiPriority w:val="99"/>
    <w:pPr>
      <w:ind w:left="560" w:right="-512" w:rightChars="-244"/>
    </w:pPr>
    <w:rPr>
      <w:rFonts w:ascii="幼圆" w:eastAsia="幼圆" w:cs="Garamond"/>
      <w:sz w:val="24"/>
    </w:rPr>
  </w:style>
  <w:style w:type="paragraph" w:styleId="12">
    <w:name w:val="toc 5"/>
    <w:basedOn w:val="1"/>
    <w:next w:val="1"/>
    <w:semiHidden/>
    <w:qFormat/>
    <w:uiPriority w:val="0"/>
    <w:pPr>
      <w:ind w:left="840"/>
      <w:jc w:val="left"/>
    </w:pPr>
  </w:style>
  <w:style w:type="paragraph" w:styleId="13">
    <w:name w:val="Plain Text"/>
    <w:basedOn w:val="1"/>
    <w:link w:val="33"/>
    <w:unhideWhenUsed/>
    <w:qFormat/>
    <w:uiPriority w:val="99"/>
    <w:rPr>
      <w:rFonts w:ascii="宋体" w:hAnsi="Courier New" w:cs="宋体"/>
    </w:rPr>
  </w:style>
  <w:style w:type="paragraph" w:styleId="14">
    <w:name w:val="Date"/>
    <w:basedOn w:val="1"/>
    <w:next w:val="1"/>
    <w:link w:val="32"/>
    <w:unhideWhenUsed/>
    <w:qFormat/>
    <w:uiPriority w:val="99"/>
    <w:rPr>
      <w:sz w:val="24"/>
      <w:szCs w:val="24"/>
    </w:rPr>
  </w:style>
  <w:style w:type="paragraph" w:styleId="15">
    <w:name w:val="Balloon Text"/>
    <w:basedOn w:val="1"/>
    <w:link w:val="47"/>
    <w:semiHidden/>
    <w:unhideWhenUsed/>
    <w:qFormat/>
    <w:uiPriority w:val="99"/>
    <w:rPr>
      <w:sz w:val="18"/>
      <w:szCs w:val="18"/>
    </w:rPr>
  </w:style>
  <w:style w:type="paragraph" w:styleId="16">
    <w:name w:val="footer"/>
    <w:basedOn w:val="1"/>
    <w:link w:val="34"/>
    <w:unhideWhenUsed/>
    <w:qFormat/>
    <w:uiPriority w:val="99"/>
    <w:pPr>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10"/>
    <w:link w:val="37"/>
    <w:unhideWhenUsed/>
    <w:qFormat/>
    <w:uiPriority w:val="99"/>
    <w:pPr>
      <w:spacing w:line="360" w:lineRule="auto"/>
      <w:ind w:firstLine="420" w:firstLineChars="200"/>
    </w:pPr>
    <w:rPr>
      <w:rFonts w:ascii="宋体" w:hAnsi="宋体"/>
      <w:szCs w:val="21"/>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unhideWhenUsed/>
    <w:qFormat/>
    <w:uiPriority w:val="99"/>
    <w:rPr>
      <w:color w:val="555555"/>
      <w:u w:val="none"/>
    </w:rPr>
  </w:style>
  <w:style w:type="paragraph" w:customStyle="1" w:styleId="26">
    <w:name w:val="Default"/>
    <w:basedOn w:val="1"/>
    <w:qFormat/>
    <w:uiPriority w:val="0"/>
    <w:pPr>
      <w:autoSpaceDE w:val="0"/>
      <w:autoSpaceDN w:val="0"/>
      <w:adjustRightInd w:val="0"/>
      <w:jc w:val="left"/>
    </w:pPr>
    <w:rPr>
      <w:color w:val="000000"/>
      <w:kern w:val="0"/>
      <w:sz w:val="24"/>
      <w:szCs w:val="24"/>
    </w:rPr>
  </w:style>
  <w:style w:type="character" w:customStyle="1" w:styleId="27">
    <w:name w:val="标题 1 Char"/>
    <w:basedOn w:val="24"/>
    <w:link w:val="3"/>
    <w:qFormat/>
    <w:uiPriority w:val="99"/>
    <w:rPr>
      <w:rFonts w:ascii="楷体_GB2312" w:hAnsi="楷体_GB2312" w:eastAsia="宋体" w:cs="宋体"/>
      <w:sz w:val="28"/>
      <w:szCs w:val="28"/>
    </w:rPr>
  </w:style>
  <w:style w:type="character" w:customStyle="1" w:styleId="28">
    <w:name w:val="标题 2 Char"/>
    <w:basedOn w:val="24"/>
    <w:link w:val="4"/>
    <w:qFormat/>
    <w:uiPriority w:val="99"/>
    <w:rPr>
      <w:rFonts w:ascii="Arial" w:hAnsi="Arial" w:eastAsia="幼圆" w:cs="Arial"/>
      <w:b/>
      <w:bCs/>
      <w:sz w:val="44"/>
      <w:szCs w:val="44"/>
    </w:rPr>
  </w:style>
  <w:style w:type="character" w:customStyle="1" w:styleId="29">
    <w:name w:val="标题 3 Char"/>
    <w:basedOn w:val="24"/>
    <w:link w:val="5"/>
    <w:qFormat/>
    <w:uiPriority w:val="99"/>
    <w:rPr>
      <w:rFonts w:ascii="Times New Roman" w:hAnsi="Times New Roman" w:eastAsia="宋体" w:cs="Times New Roman"/>
      <w:b/>
      <w:bCs/>
      <w:sz w:val="32"/>
      <w:szCs w:val="32"/>
    </w:rPr>
  </w:style>
  <w:style w:type="character" w:customStyle="1" w:styleId="30">
    <w:name w:val="标题 6 Char"/>
    <w:basedOn w:val="24"/>
    <w:link w:val="8"/>
    <w:qFormat/>
    <w:uiPriority w:val="99"/>
    <w:rPr>
      <w:rFonts w:ascii="Arial" w:hAnsi="Arial" w:eastAsia="黑体" w:cs="Arial"/>
      <w:b/>
      <w:bCs/>
      <w:sz w:val="24"/>
      <w:szCs w:val="24"/>
    </w:rPr>
  </w:style>
  <w:style w:type="character" w:customStyle="1" w:styleId="31">
    <w:name w:val="页眉 Char"/>
    <w:link w:val="17"/>
    <w:qFormat/>
    <w:uiPriority w:val="99"/>
    <w:rPr>
      <w:rFonts w:ascii="Times New Roman" w:hAnsi="Times New Roman" w:eastAsia="宋体" w:cs="Times New Roman"/>
      <w:sz w:val="18"/>
      <w:szCs w:val="18"/>
    </w:rPr>
  </w:style>
  <w:style w:type="character" w:customStyle="1" w:styleId="32">
    <w:name w:val="日期 Char"/>
    <w:link w:val="14"/>
    <w:qFormat/>
    <w:uiPriority w:val="99"/>
    <w:rPr>
      <w:rFonts w:ascii="Times New Roman" w:hAnsi="Times New Roman" w:eastAsia="宋体" w:cs="Times New Roman"/>
      <w:sz w:val="24"/>
      <w:szCs w:val="24"/>
    </w:rPr>
  </w:style>
  <w:style w:type="character" w:customStyle="1" w:styleId="33">
    <w:name w:val="纯文本 Char"/>
    <w:link w:val="13"/>
    <w:qFormat/>
    <w:uiPriority w:val="99"/>
    <w:rPr>
      <w:rFonts w:ascii="宋体" w:hAnsi="Courier New" w:eastAsia="宋体" w:cs="宋体"/>
      <w:szCs w:val="21"/>
    </w:rPr>
  </w:style>
  <w:style w:type="character" w:customStyle="1" w:styleId="34">
    <w:name w:val="页脚 Char"/>
    <w:link w:val="16"/>
    <w:qFormat/>
    <w:uiPriority w:val="99"/>
    <w:rPr>
      <w:rFonts w:ascii="Times New Roman" w:hAnsi="Times New Roman" w:eastAsia="宋体" w:cs="Times New Roman"/>
      <w:sz w:val="18"/>
      <w:szCs w:val="18"/>
    </w:rPr>
  </w:style>
  <w:style w:type="character" w:customStyle="1" w:styleId="35">
    <w:name w:val="已访问的超链接1"/>
    <w:unhideWhenUsed/>
    <w:qFormat/>
    <w:uiPriority w:val="99"/>
    <w:rPr>
      <w:color w:val="555555"/>
      <w:u w:val="none"/>
    </w:rPr>
  </w:style>
  <w:style w:type="character" w:customStyle="1" w:styleId="36">
    <w:name w:val="正文文本缩进 Char"/>
    <w:link w:val="10"/>
    <w:qFormat/>
    <w:uiPriority w:val="99"/>
    <w:rPr>
      <w:rFonts w:ascii="楷体_GB2312" w:hAnsi="楷体_GB2312" w:eastAsia="宋体" w:cs="宋体"/>
      <w:sz w:val="32"/>
      <w:szCs w:val="32"/>
    </w:rPr>
  </w:style>
  <w:style w:type="character" w:customStyle="1" w:styleId="37">
    <w:name w:val="正文首行缩进 2 Char"/>
    <w:link w:val="21"/>
    <w:qFormat/>
    <w:uiPriority w:val="99"/>
    <w:rPr>
      <w:rFonts w:ascii="宋体" w:hAnsi="宋体" w:eastAsia="宋体" w:cs="宋体"/>
      <w:sz w:val="32"/>
      <w:szCs w:val="21"/>
    </w:rPr>
  </w:style>
  <w:style w:type="character" w:customStyle="1" w:styleId="38">
    <w:name w:val="纯文本 Char1"/>
    <w:basedOn w:val="24"/>
    <w:semiHidden/>
    <w:qFormat/>
    <w:uiPriority w:val="99"/>
    <w:rPr>
      <w:rFonts w:ascii="宋体" w:hAnsi="Courier New" w:eastAsia="宋体" w:cs="Courier New"/>
      <w:szCs w:val="21"/>
    </w:rPr>
  </w:style>
  <w:style w:type="character" w:customStyle="1" w:styleId="39">
    <w:name w:val="正文文本缩进 Char1"/>
    <w:basedOn w:val="24"/>
    <w:semiHidden/>
    <w:qFormat/>
    <w:uiPriority w:val="99"/>
    <w:rPr>
      <w:rFonts w:ascii="Times New Roman" w:hAnsi="Times New Roman" w:eastAsia="宋体" w:cs="Times New Roman"/>
      <w:szCs w:val="21"/>
    </w:rPr>
  </w:style>
  <w:style w:type="paragraph" w:customStyle="1" w:styleId="40">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1">
    <w:name w:val="日期 Char1"/>
    <w:basedOn w:val="24"/>
    <w:semiHidden/>
    <w:qFormat/>
    <w:uiPriority w:val="99"/>
    <w:rPr>
      <w:rFonts w:ascii="Times New Roman" w:hAnsi="Times New Roman" w:eastAsia="宋体" w:cs="Times New Roman"/>
      <w:szCs w:val="21"/>
    </w:rPr>
  </w:style>
  <w:style w:type="character" w:customStyle="1" w:styleId="42">
    <w:name w:val="正文首行缩进 2 Char1"/>
    <w:basedOn w:val="39"/>
    <w:semiHidden/>
    <w:qFormat/>
    <w:uiPriority w:val="99"/>
    <w:rPr>
      <w:rFonts w:ascii="Times New Roman" w:hAnsi="Times New Roman" w:eastAsia="宋体" w:cs="Times New Roman"/>
      <w:szCs w:val="21"/>
    </w:rPr>
  </w:style>
  <w:style w:type="character" w:customStyle="1" w:styleId="43">
    <w:name w:val="页脚 Char1"/>
    <w:basedOn w:val="24"/>
    <w:semiHidden/>
    <w:qFormat/>
    <w:uiPriority w:val="99"/>
    <w:rPr>
      <w:rFonts w:ascii="Times New Roman" w:hAnsi="Times New Roman" w:eastAsia="宋体" w:cs="Times New Roman"/>
      <w:sz w:val="18"/>
      <w:szCs w:val="18"/>
    </w:rPr>
  </w:style>
  <w:style w:type="paragraph" w:customStyle="1" w:styleId="44">
    <w:name w:val="普通正文"/>
    <w:basedOn w:val="1"/>
    <w:link w:val="5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5">
    <w:name w:val="页眉 Char1"/>
    <w:basedOn w:val="24"/>
    <w:semiHidden/>
    <w:qFormat/>
    <w:uiPriority w:val="99"/>
    <w:rPr>
      <w:rFonts w:ascii="Times New Roman" w:hAnsi="Times New Roman" w:eastAsia="宋体" w:cs="Times New Roman"/>
      <w:sz w:val="18"/>
      <w:szCs w:val="18"/>
    </w:rPr>
  </w:style>
  <w:style w:type="paragraph" w:customStyle="1" w:styleId="46">
    <w:name w:val="Char2"/>
    <w:basedOn w:val="1"/>
    <w:qFormat/>
    <w:uiPriority w:val="0"/>
    <w:pPr>
      <w:ind w:firstLine="200" w:firstLineChars="200"/>
    </w:pPr>
    <w:rPr>
      <w:sz w:val="28"/>
      <w:szCs w:val="28"/>
    </w:rPr>
  </w:style>
  <w:style w:type="character" w:customStyle="1" w:styleId="47">
    <w:name w:val="批注框文本 Char"/>
    <w:basedOn w:val="24"/>
    <w:link w:val="15"/>
    <w:semiHidden/>
    <w:qFormat/>
    <w:uiPriority w:val="99"/>
    <w:rPr>
      <w:rFonts w:ascii="Times New Roman" w:hAnsi="Times New Roman" w:eastAsia="宋体" w:cs="Times New Roman"/>
      <w:sz w:val="18"/>
      <w:szCs w:val="18"/>
    </w:rPr>
  </w:style>
  <w:style w:type="paragraph" w:customStyle="1" w:styleId="48">
    <w:name w:val="Table Paragraph"/>
    <w:basedOn w:val="1"/>
    <w:qFormat/>
    <w:uiPriority w:val="1"/>
    <w:rPr>
      <w:rFonts w:ascii="宋体" w:hAnsi="宋体" w:cs="宋体"/>
      <w:lang w:val="zh-CN" w:bidi="zh-CN"/>
    </w:rPr>
  </w:style>
  <w:style w:type="character" w:customStyle="1" w:styleId="49">
    <w:name w:val="font31"/>
    <w:basedOn w:val="24"/>
    <w:qFormat/>
    <w:uiPriority w:val="0"/>
    <w:rPr>
      <w:rFonts w:hint="eastAsia" w:ascii="宋体" w:hAnsi="宋体" w:eastAsia="宋体" w:cs="宋体"/>
      <w:color w:val="000000"/>
      <w:sz w:val="22"/>
      <w:szCs w:val="22"/>
      <w:u w:val="none"/>
    </w:rPr>
  </w:style>
  <w:style w:type="character" w:customStyle="1" w:styleId="50">
    <w:name w:val="NormalCharacter"/>
    <w:semiHidden/>
    <w:qFormat/>
    <w:uiPriority w:val="0"/>
  </w:style>
  <w:style w:type="character" w:customStyle="1" w:styleId="51">
    <w:name w:val="普通正文 Char"/>
    <w:link w:val="44"/>
    <w:qFormat/>
    <w:uiPriority w:val="0"/>
    <w:rPr>
      <w:rFonts w:ascii="Arial" w:hAnsi="Arial" w:cs="Arial"/>
      <w:sz w:val="24"/>
      <w:szCs w:val="24"/>
    </w:rPr>
  </w:style>
  <w:style w:type="paragraph" w:customStyle="1" w:styleId="52">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3">
    <w:name w:val="标题 4 Char"/>
    <w:basedOn w:val="24"/>
    <w:link w:val="7"/>
    <w:qFormat/>
    <w:uiPriority w:val="0"/>
    <w:rPr>
      <w:rFonts w:ascii="Arial" w:hAnsi="Arial" w:eastAsia="黑体" w:cs="Arial"/>
      <w:b/>
      <w:bCs/>
      <w:kern w:val="2"/>
      <w:sz w:val="28"/>
      <w:szCs w:val="28"/>
    </w:rPr>
  </w:style>
  <w:style w:type="paragraph" w:customStyle="1" w:styleId="54">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F20E-B8A8-4FA1-BFF4-466D2AF29120}">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50</Pages>
  <Words>20791</Words>
  <Characters>22594</Characters>
  <Lines>177</Lines>
  <Paragraphs>49</Paragraphs>
  <TotalTime>0</TotalTime>
  <ScaleCrop>false</ScaleCrop>
  <LinksUpToDate>false</LinksUpToDate>
  <CharactersWithSpaces>23570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2021-04-17T10:00:00Z</dcterms:created>
  <dc:creator>盐城幼儿师范高等专科学校(填报)</dc:creator>
  <cp:lastModifiedBy>蔡海云</cp:lastModifiedBy>
  <cp:lastPrinted>2022-09-30T07:30:00Z</cp:lastPrinted>
  <dcterms:modified xsi:type="dcterms:W3CDTF">2022-10-28T10:15:58Z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971FE8DADDC94EC09F033733E9DB15C7</vt:lpwstr>
  </property>
</Properties>
</file>