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lang w:val="zh-CN"/>
        </w:rPr>
      </w:pPr>
      <w:r>
        <w:drawing>
          <wp:anchor distT="0" distB="0" distL="114300" distR="114300" simplePos="0" relativeHeight="251754496" behindDoc="0" locked="0" layoutInCell="1" allowOverlap="1">
            <wp:simplePos x="0" y="0"/>
            <wp:positionH relativeFrom="column">
              <wp:posOffset>-641985</wp:posOffset>
            </wp:positionH>
            <wp:positionV relativeFrom="paragraph">
              <wp:posOffset>-567055</wp:posOffset>
            </wp:positionV>
            <wp:extent cx="1285875" cy="1285875"/>
            <wp:effectExtent l="0" t="0" r="9525" b="9525"/>
            <wp:wrapNone/>
            <wp:docPr id="448" name="图片 448" descr="C:\Users\Administrator\Desktop\姚萌萌 newjincin工作文件\待办\12.15\盐城幼儿\盐城幼儿师范高等专科学校2017年就业质量年度报告撰写素材（缺举措及部分趋势）-17.11.14给程立男\LOGO\QQ图片201711131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C:\Users\Administrator\Desktop\姚萌萌 newjincin工作文件\待办\12.15\盐城幼儿\盐城幼儿师范高等专科学校2017年就业质量年度报告撰写素材（缺举措及部分趋势）-17.11.14给程立男\LOGO\QQ图片20171113110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85875" cy="1285875"/>
                    </a:xfrm>
                    <a:prstGeom prst="rect">
                      <a:avLst/>
                    </a:prstGeom>
                    <a:noFill/>
                    <a:ln>
                      <a:noFill/>
                    </a:ln>
                  </pic:spPr>
                </pic:pic>
              </a:graphicData>
            </a:graphic>
          </wp:anchor>
        </w:drawing>
      </w:r>
      <w:r>
        <w:drawing>
          <wp:anchor distT="0" distB="0" distL="114300" distR="114300" simplePos="0" relativeHeight="251719680" behindDoc="1" locked="0" layoutInCell="1" allowOverlap="1">
            <wp:simplePos x="0" y="0"/>
            <wp:positionH relativeFrom="column">
              <wp:posOffset>-1217930</wp:posOffset>
            </wp:positionH>
            <wp:positionV relativeFrom="paragraph">
              <wp:posOffset>-953135</wp:posOffset>
            </wp:positionV>
            <wp:extent cx="7785735" cy="10430510"/>
            <wp:effectExtent l="0" t="0" r="635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794330" cy="10442107"/>
                    </a:xfrm>
                    <a:prstGeom prst="rect">
                      <a:avLst/>
                    </a:prstGeom>
                  </pic:spPr>
                </pic:pic>
              </a:graphicData>
            </a:graphic>
          </wp:anchor>
        </w:drawing>
      </w:r>
    </w:p>
    <w:p>
      <w:pPr>
        <w:ind w:firstLine="482"/>
        <w:rPr>
          <w:lang w:val="zh-CN"/>
        </w:rPr>
      </w:pPr>
      <w:r>
        <w:rPr>
          <w:rFonts w:ascii="Times New Roman" w:hAnsi="Times New Roman"/>
          <w:b/>
          <w:bCs/>
          <w:szCs w:val="24"/>
        </w:rPr>
        <mc:AlternateContent>
          <mc:Choice Requires="wps">
            <w:drawing>
              <wp:anchor distT="45720" distB="45720" distL="114300" distR="114300" simplePos="0" relativeHeight="251721728" behindDoc="0" locked="0" layoutInCell="1" allowOverlap="1">
                <wp:simplePos x="0" y="0"/>
                <wp:positionH relativeFrom="page">
                  <wp:posOffset>-76200</wp:posOffset>
                </wp:positionH>
                <wp:positionV relativeFrom="paragraph">
                  <wp:posOffset>3170555</wp:posOffset>
                </wp:positionV>
                <wp:extent cx="12066905" cy="1285875"/>
                <wp:effectExtent l="0" t="0" r="0" b="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66905" cy="1285875"/>
                        </a:xfrm>
                        <a:prstGeom prst="rect">
                          <a:avLst/>
                        </a:prstGeom>
                        <a:noFill/>
                        <a:ln w="9525">
                          <a:noFill/>
                          <a:miter lim="800000"/>
                        </a:ln>
                      </wps:spPr>
                      <wps:txbx>
                        <w:txbxContent>
                          <w:p>
                            <w:pPr>
                              <w:ind w:firstLine="0" w:firstLineChars="0"/>
                              <w:rPr>
                                <w:rFonts w:ascii="黑体" w:hAnsi="黑体" w:eastAsia="黑体"/>
                                <w:b/>
                                <w:color w:val="C8E3FB" w:themeColor="accent1" w:themeTint="33"/>
                                <w:spacing w:val="140"/>
                                <w:sz w:val="130"/>
                                <w:szCs w:val="130"/>
                                <w14:textFill>
                                  <w14:solidFill>
                                    <w14:schemeClr w14:val="accent1">
                                      <w14:lumMod w14:val="20000"/>
                                      <w14:lumOff w14:val="80000"/>
                                    </w14:schemeClr>
                                  </w14:solidFill>
                                </w14:textFill>
                              </w:rPr>
                            </w:pPr>
                            <w:r>
                              <w:rPr>
                                <w:rFonts w:ascii="黑体" w:hAnsi="黑体" w:eastAsia="黑体"/>
                                <w:b/>
                                <w:color w:val="C8E3FB" w:themeColor="accent1" w:themeTint="33"/>
                                <w:spacing w:val="140"/>
                                <w:sz w:val="130"/>
                                <w:szCs w:val="130"/>
                                <w14:textFill>
                                  <w14:solidFill>
                                    <w14:schemeClr w14:val="accent1">
                                      <w14:lumMod w14:val="20000"/>
                                      <w14:lumOff w14:val="80000"/>
                                    </w14:schemeClr>
                                  </w14:solidFill>
                                </w14:textFill>
                              </w:rPr>
                              <w:t>RESEARCH REPORT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pt;margin-top:249.65pt;height:101.25pt;width:950.15pt;mso-position-horizontal-relative:page;z-index:251721728;mso-width-relative:page;mso-height-relative:page;" filled="f" stroked="f" coordsize="21600,21600" o:gfxdata="UEsDBAoAAAAAAIdO4kAAAAAAAAAAAAAAAAAEAAAAZHJzL1BLAwQUAAAACACHTuJAei4p39kAAAAM&#10;AQAADwAAAGRycy9kb3ducmV2LnhtbE2PzU7DMBCE70i8g7VI3Fo7pYATsukBxBVE+ZG4ufE2iYjX&#10;Uew24e1xT/Q2qxnNflNuZteLI42h84yQLRUI4trbjhuEj/fnhQYRomFres+E8EsBNtXlRWkK6yd+&#10;o+M2NiKVcCgMQhvjUEgZ6pacCUs/ECdv70dnYjrHRtrRTKnc9XKl1J10puP0oTUDPbZU/2wPDuHz&#10;Zf/9tVavzZO7HSY/K8kul4jXV5l6ABFpjv9hOOEndKgS084f2AbRIyyyVdoSEdZ5fgPilNBaJ7VD&#10;uFeZBlmV8nxE9QdQSwMEFAAAAAgAh07iQNpHHLgKAgAA3gMAAA4AAABkcnMvZTJvRG9jLnhtbK1T&#10;zY7TMBC+I/EOlu80adT0J2q6Wna1CGn5kRYewHWcxiL2GNttUh4A3mBPXLjzXH0Oxk62VHBD5GB5&#10;MvY3833zeX3Vq5YchHUSdEmnk5QSoTlUUu9K+vHD3YslJc4zXbEWtCjpUTh6tXn+bN2ZQmTQQFsJ&#10;SxBEu6IzJW28N0WSON4IxdwEjNCYrMEq5jG0u6SyrEN01SZZms6TDmxlLHDhHP69HZJ0E/HrWnD/&#10;rq6d8KQtKfbm42rjug1rslmzYmeZaSQf22D/0IViUmPRM9Qt84zsrfwLSkluwUHtJxxUAnUtuYgc&#10;kM00/YPNQ8OMiFxQHGfOMrn/B8vfHt5bIquSZgtKNFM4o9Pjt9P3n6cfX0kW9OmMK/DYg8GDvn8J&#10;Pc45cnXmHvgnRzTcNEzvxLW10DWCVdjfNNxMLq4OOC6AbLs3UGEdtvcQgfraqiAeykEQHed0PM9G&#10;9J7wUDJL5/NVmlPCMTnNlvlykccirHi6b6zzrwQoEjYltTj9iM8O986HfljxdCSU03An2zY6oNWk&#10;K+kqz/J44SKjpEeDtlKVdJmGb6zZ6pFfoDSQ8/22H/XaQnVEphYGw+EDwU0D9gslHZqtpO7znllB&#10;Sftao1qr6WwW3BmDWb7IMLCXme1lhmmOUCX1lAzbGx8dPXC6RlVrGekG+YdOxl7RRFGF0fDBpZdx&#10;PPX7WW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ouKd/ZAAAADAEAAA8AAAAAAAAAAQAgAAAA&#10;IgAAAGRycy9kb3ducmV2LnhtbFBLAQIUABQAAAAIAIdO4kDaRxy4CgIAAN4DAAAOAAAAAAAAAAEA&#10;IAAAACgBAABkcnMvZTJvRG9jLnhtbFBLBQYAAAAABgAGAFkBAACkBQAAAAA=&#10;">
                <v:fill on="f" focussize="0,0"/>
                <v:stroke on="f" miterlimit="8" joinstyle="miter"/>
                <v:imagedata o:title=""/>
                <o:lock v:ext="edit" aspectratio="f"/>
                <v:textbox>
                  <w:txbxContent>
                    <w:p>
                      <w:pPr>
                        <w:ind w:firstLine="0" w:firstLineChars="0"/>
                        <w:rPr>
                          <w:rFonts w:ascii="黑体" w:hAnsi="黑体" w:eastAsia="黑体"/>
                          <w:b/>
                          <w:color w:val="C8E3FB" w:themeColor="accent1" w:themeTint="33"/>
                          <w:spacing w:val="140"/>
                          <w:sz w:val="130"/>
                          <w:szCs w:val="130"/>
                          <w14:textFill>
                            <w14:solidFill>
                              <w14:schemeClr w14:val="accent1">
                                <w14:lumMod w14:val="20000"/>
                                <w14:lumOff w14:val="80000"/>
                              </w14:schemeClr>
                            </w14:solidFill>
                          </w14:textFill>
                        </w:rPr>
                      </w:pPr>
                      <w:r>
                        <w:rPr>
                          <w:rFonts w:ascii="黑体" w:hAnsi="黑体" w:eastAsia="黑体"/>
                          <w:b/>
                          <w:color w:val="C8E3FB" w:themeColor="accent1" w:themeTint="33"/>
                          <w:spacing w:val="140"/>
                          <w:sz w:val="130"/>
                          <w:szCs w:val="130"/>
                          <w14:textFill>
                            <w14:solidFill>
                              <w14:schemeClr w14:val="accent1">
                                <w14:lumMod w14:val="20000"/>
                                <w14:lumOff w14:val="80000"/>
                              </w14:schemeClr>
                            </w14:solidFill>
                          </w14:textFill>
                        </w:rPr>
                        <w:t>RESEARCH REPORT</w:t>
                      </w:r>
                    </w:p>
                  </w:txbxContent>
                </v:textbox>
              </v:shape>
            </w:pict>
          </mc:Fallback>
        </mc:AlternateContent>
      </w:r>
      <w:r>
        <mc:AlternateContent>
          <mc:Choice Requires="wps">
            <w:drawing>
              <wp:anchor distT="45720" distB="45720" distL="114300" distR="114300" simplePos="0" relativeHeight="251714560" behindDoc="0" locked="0" layoutInCell="1" allowOverlap="1">
                <wp:simplePos x="0" y="0"/>
                <wp:positionH relativeFrom="column">
                  <wp:posOffset>862965</wp:posOffset>
                </wp:positionH>
                <wp:positionV relativeFrom="paragraph">
                  <wp:posOffset>7632700</wp:posOffset>
                </wp:positionV>
                <wp:extent cx="360997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609975" cy="1404620"/>
                        </a:xfrm>
                        <a:prstGeom prst="rect">
                          <a:avLst/>
                        </a:prstGeom>
                        <a:noFill/>
                        <a:ln w="9525">
                          <a:noFill/>
                          <a:miter lim="800000"/>
                        </a:ln>
                      </wps:spPr>
                      <wps:txbx>
                        <w:txbxContent>
                          <w:p>
                            <w:pPr>
                              <w:ind w:firstLine="0" w:firstLineChars="0"/>
                              <w:jc w:val="center"/>
                              <w:rPr>
                                <w:rFonts w:ascii="微软雅黑" w:hAnsi="微软雅黑" w:eastAsia="微软雅黑"/>
                                <w:szCs w:val="24"/>
                              </w:rPr>
                            </w:pPr>
                            <w:r>
                              <w:rPr>
                                <w:rFonts w:hint="eastAsia" w:ascii="微软雅黑" w:hAnsi="微软雅黑" w:eastAsia="微软雅黑"/>
                                <w:szCs w:val="24"/>
                              </w:rPr>
                              <w:t>盐城幼儿</w:t>
                            </w:r>
                            <w:r>
                              <w:rPr>
                                <w:rFonts w:ascii="微软雅黑" w:hAnsi="微软雅黑" w:eastAsia="微软雅黑"/>
                                <w:szCs w:val="24"/>
                              </w:rPr>
                              <w:t>师范高等专科学校</w:t>
                            </w:r>
                            <w:r>
                              <w:rPr>
                                <w:rFonts w:hint="eastAsia" w:ascii="微软雅黑" w:hAnsi="微软雅黑" w:eastAsia="微软雅黑"/>
                                <w:szCs w:val="24"/>
                              </w:rPr>
                              <w:t>招生</w:t>
                            </w:r>
                            <w:r>
                              <w:rPr>
                                <w:rFonts w:ascii="微软雅黑" w:hAnsi="微软雅黑" w:eastAsia="微软雅黑"/>
                                <w:szCs w:val="24"/>
                              </w:rPr>
                              <w:t>就业处</w:t>
                            </w:r>
                            <w:r>
                              <w:rPr>
                                <w:rFonts w:hint="eastAsia" w:ascii="微软雅黑" w:hAnsi="微软雅黑" w:eastAsia="微软雅黑"/>
                                <w:szCs w:val="24"/>
                              </w:rPr>
                              <w:t xml:space="preserve"> 编</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7.95pt;margin-top:601pt;height:110.6pt;width:284.25pt;mso-wrap-distance-bottom:3.6pt;mso-wrap-distance-left:9pt;mso-wrap-distance-right:9pt;mso-wrap-distance-top:3.6pt;z-index:251714560;mso-width-relative:page;mso-height-relative:margin;mso-height-percent:200;" filled="f" stroked="f" coordsize="21600,21600" o:gfxdata="UEsDBAoAAAAAAIdO4kAAAAAAAAAAAAAAAAAEAAAAZHJzL1BLAwQUAAAACACHTuJAmQIx4tkAAAAN&#10;AQAADwAAAGRycy9kb3ducmV2LnhtbE2PzU7DMBCE70i8g7VI3KhdN1AIcSqE2nIslIizGy9JRPwj&#10;203L27Oc4LazO5r9plqd7cgmjGnwTsF8JoCha70ZXKeged/c3ANLWTujR+9QwTcmWNWXF5UujT+5&#10;N5z2uWMU4lKpFfQ5h5Lz1PZodZr5gI5unz5anUnGjpuoTxRuRy6FuONWD44+9Drgc4/t1/5oFYQc&#10;tsuXuHt9Wm8m0XxsGzl0a6Wur+biEVjGc/4zwy8+oUNNTAd/dCaxkfTi9oGsNEghqRVZlqIogB1o&#10;VciFBF5X/H+L+gdQSwMEFAAAAAgAh07iQF/qlJMNAgAA3gMAAA4AAABkcnMvZTJvRG9jLnhtbK1T&#10;S44TMRDdI3EHy3vSH/KZtNIZDTMKQho+0sABHLc7bdF2GdtJdzgA3IAVG/acK+eg7O4JEewQvbDs&#10;rqrneq+eV9e9aslBWCdBlzSbpJQIzaGSelfSD+83z64ocZ7pirWgRUmPwtHr9dMnq84UIocG2kpY&#10;giDaFZ0paeO9KZLE8UYo5iZghMZgDVYxj0e7SyrLOkRXbZKn6TzpwFbGAhfO4d+7IUjXEb+uBfdv&#10;69oJT9qSYm8+rjau27Am6xUrdpaZRvKxDfYPXSgmNV56hrpjnpG9lX9BKcktOKj9hINKoK4lF5ED&#10;ssnSP9g8NMyIyAXFceYsk/t/sPzN4Z0lsippni0o0UzhkE7fvp6+/zz9+ELyIFBnXIF5DwYzff8C&#10;ehx0JOvMPfCPjmi4bZjeiRtroWsEq7DBLFQmF6UDjgsg2+41VHgP23uIQH1tVVAP9SCIjoM6nocj&#10;ek84/nw+T5fLxYwSjrFsmk7neRxfworHcmOdfylAkbApqcXpR3h2uHc+tMOKx5Rwm4aNbNvogFaT&#10;rqTLWT6LBRcRJT0atJWqpFdp+CIvVrR6pBcYDdx8v+1HubZQHZGohcFw+EBw04D9TEmHZiup+7Rn&#10;VlDSvtIo1jKbToM742E6WyAzYi8j28sI0xyhSuopGba3Pjo6cHLmBkXdyEg3qD90MvaKJooqjIYP&#10;Lr08x6zfz3L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kCMeLZAAAADQEAAA8AAAAAAAAAAQAg&#10;AAAAIgAAAGRycy9kb3ducmV2LnhtbFBLAQIUABQAAAAIAIdO4kBf6pSTDQIAAN4DAAAOAAAAAAAA&#10;AAEAIAAAACgBAABkcnMvZTJvRG9jLnhtbFBLBQYAAAAABgAGAFkBAACnBQAAAAA=&#10;">
                <v:fill on="f" focussize="0,0"/>
                <v:stroke on="f" miterlimit="8" joinstyle="miter"/>
                <v:imagedata o:title=""/>
                <o:lock v:ext="edit" aspectratio="f"/>
                <v:textbox style="mso-fit-shape-to-text:t;">
                  <w:txbxContent>
                    <w:p>
                      <w:pPr>
                        <w:ind w:firstLine="0" w:firstLineChars="0"/>
                        <w:jc w:val="center"/>
                        <w:rPr>
                          <w:rFonts w:ascii="微软雅黑" w:hAnsi="微软雅黑" w:eastAsia="微软雅黑"/>
                          <w:szCs w:val="24"/>
                        </w:rPr>
                      </w:pPr>
                      <w:r>
                        <w:rPr>
                          <w:rFonts w:hint="eastAsia" w:ascii="微软雅黑" w:hAnsi="微软雅黑" w:eastAsia="微软雅黑"/>
                          <w:szCs w:val="24"/>
                        </w:rPr>
                        <w:t>盐城幼儿</w:t>
                      </w:r>
                      <w:r>
                        <w:rPr>
                          <w:rFonts w:ascii="微软雅黑" w:hAnsi="微软雅黑" w:eastAsia="微软雅黑"/>
                          <w:szCs w:val="24"/>
                        </w:rPr>
                        <w:t>师范高等专科学校</w:t>
                      </w:r>
                      <w:r>
                        <w:rPr>
                          <w:rFonts w:hint="eastAsia" w:ascii="微软雅黑" w:hAnsi="微软雅黑" w:eastAsia="微软雅黑"/>
                          <w:szCs w:val="24"/>
                        </w:rPr>
                        <w:t>招生</w:t>
                      </w:r>
                      <w:r>
                        <w:rPr>
                          <w:rFonts w:ascii="微软雅黑" w:hAnsi="微软雅黑" w:eastAsia="微软雅黑"/>
                          <w:szCs w:val="24"/>
                        </w:rPr>
                        <w:t>就业处</w:t>
                      </w:r>
                      <w:r>
                        <w:rPr>
                          <w:rFonts w:hint="eastAsia" w:ascii="微软雅黑" w:hAnsi="微软雅黑" w:eastAsia="微软雅黑"/>
                          <w:szCs w:val="24"/>
                        </w:rPr>
                        <w:t xml:space="preserve"> 编</w:t>
                      </w:r>
                    </w:p>
                  </w:txbxContent>
                </v:textbox>
                <w10:wrap type="square"/>
              </v:shape>
            </w:pict>
          </mc:Fallback>
        </mc:AlternateContent>
      </w:r>
      <w:r>
        <mc:AlternateContent>
          <mc:Choice Requires="wps">
            <w:drawing>
              <wp:anchor distT="0" distB="0" distL="114300" distR="114300" simplePos="0" relativeHeight="251712512" behindDoc="0" locked="0" layoutInCell="1" allowOverlap="1">
                <wp:simplePos x="0" y="0"/>
                <wp:positionH relativeFrom="margin">
                  <wp:posOffset>-1129030</wp:posOffset>
                </wp:positionH>
                <wp:positionV relativeFrom="paragraph">
                  <wp:posOffset>1891030</wp:posOffset>
                </wp:positionV>
                <wp:extent cx="7562850" cy="1981200"/>
                <wp:effectExtent l="0" t="0" r="0" b="0"/>
                <wp:wrapNone/>
                <wp:docPr id="35" name="文本框 35"/>
                <wp:cNvGraphicFramePr/>
                <a:graphic xmlns:a="http://schemas.openxmlformats.org/drawingml/2006/main">
                  <a:graphicData uri="http://schemas.microsoft.com/office/word/2010/wordprocessingShape">
                    <wps:wsp>
                      <wps:cNvSpPr txBox="1"/>
                      <wps:spPr bwMode="auto">
                        <a:xfrm>
                          <a:off x="0" y="0"/>
                          <a:ext cx="7562850" cy="1981200"/>
                        </a:xfrm>
                        <a:prstGeom prst="rect">
                          <a:avLst/>
                        </a:prstGeom>
                        <a:noFill/>
                        <a:ln w="6350">
                          <a:noFill/>
                        </a:ln>
                      </wps:spPr>
                      <wps:txbx>
                        <w:txbxContent>
                          <w:p>
                            <w:pPr>
                              <w:ind w:firstLine="180" w:firstLineChars="25"/>
                              <w:jc w:val="center"/>
                              <w:rPr>
                                <w:rFonts w:ascii="微软雅黑" w:hAnsi="微软雅黑" w:eastAsia="微软雅黑"/>
                                <w:b/>
                                <w:color w:val="FFFFFF" w:themeColor="background1"/>
                                <w:sz w:val="72"/>
                                <w:szCs w:val="72"/>
                                <w14:textFill>
                                  <w14:solidFill>
                                    <w14:schemeClr w14:val="bg1"/>
                                  </w14:solidFill>
                                </w14:textFill>
                              </w:rPr>
                            </w:pPr>
                            <w:r>
                              <w:rPr>
                                <w:rFonts w:hint="eastAsia" w:ascii="微软雅黑" w:hAnsi="微软雅黑" w:eastAsia="微软雅黑"/>
                                <w:b/>
                                <w:color w:val="FFFFFF" w:themeColor="background1"/>
                                <w:sz w:val="72"/>
                                <w:szCs w:val="72"/>
                                <w14:textFill>
                                  <w14:solidFill>
                                    <w14:schemeClr w14:val="bg1"/>
                                  </w14:solidFill>
                                </w14:textFill>
                              </w:rPr>
                              <w:t>盐城幼儿</w:t>
                            </w:r>
                            <w:r>
                              <w:rPr>
                                <w:rFonts w:ascii="微软雅黑" w:hAnsi="微软雅黑" w:eastAsia="微软雅黑"/>
                                <w:b/>
                                <w:color w:val="FFFFFF" w:themeColor="background1"/>
                                <w:sz w:val="72"/>
                                <w:szCs w:val="72"/>
                                <w14:textFill>
                                  <w14:solidFill>
                                    <w14:schemeClr w14:val="bg1"/>
                                  </w14:solidFill>
                                </w14:textFill>
                              </w:rPr>
                              <w:t>师范高等专科学校</w:t>
                            </w:r>
                          </w:p>
                          <w:p>
                            <w:pPr>
                              <w:ind w:firstLine="0" w:firstLineChars="0"/>
                              <w:jc w:val="center"/>
                              <w:rPr>
                                <w:rFonts w:ascii="微软雅黑" w:hAnsi="微软雅黑" w:eastAsia="微软雅黑"/>
                                <w:b/>
                                <w:color w:val="FFFFFF" w:themeColor="background1"/>
                                <w:sz w:val="48"/>
                                <w:szCs w:val="48"/>
                                <w14:textFill>
                                  <w14:solidFill>
                                    <w14:schemeClr w14:val="bg1"/>
                                  </w14:solidFill>
                                </w14:textFill>
                              </w:rPr>
                            </w:pPr>
                            <w:r>
                              <w:rPr>
                                <w:rFonts w:hint="eastAsia" w:ascii="Times New Roman" w:hAnsi="Times New Roman" w:eastAsia="微软雅黑"/>
                                <w:b/>
                                <w:color w:val="FFFFFF" w:themeColor="background1"/>
                                <w:sz w:val="48"/>
                                <w:szCs w:val="48"/>
                                <w14:textFill>
                                  <w14:solidFill>
                                    <w14:schemeClr w14:val="bg1"/>
                                  </w14:solidFill>
                                </w14:textFill>
                              </w:rPr>
                              <w:t>201</w:t>
                            </w:r>
                            <w:r>
                              <w:rPr>
                                <w:rFonts w:ascii="Times New Roman" w:hAnsi="Times New Roman" w:eastAsia="微软雅黑"/>
                                <w:b/>
                                <w:color w:val="FFFFFF" w:themeColor="background1"/>
                                <w:sz w:val="48"/>
                                <w:szCs w:val="48"/>
                                <w14:textFill>
                                  <w14:solidFill>
                                    <w14:schemeClr w14:val="bg1"/>
                                  </w14:solidFill>
                                </w14:textFill>
                              </w:rPr>
                              <w:t>7</w:t>
                            </w:r>
                            <w:r>
                              <w:rPr>
                                <w:rFonts w:hint="eastAsia" w:ascii="微软雅黑" w:hAnsi="微软雅黑" w:eastAsia="微软雅黑"/>
                                <w:b/>
                                <w:color w:val="FFFFFF" w:themeColor="background1"/>
                                <w:sz w:val="48"/>
                                <w:szCs w:val="48"/>
                                <w14:textFill>
                                  <w14:solidFill>
                                    <w14:schemeClr w14:val="bg1"/>
                                  </w14:solidFill>
                                </w14:textFill>
                              </w:rPr>
                              <w:t>届</w:t>
                            </w:r>
                            <w:r>
                              <w:rPr>
                                <w:rFonts w:ascii="微软雅黑" w:hAnsi="微软雅黑" w:eastAsia="微软雅黑"/>
                                <w:b/>
                                <w:color w:val="FFFFFF" w:themeColor="background1"/>
                                <w:sz w:val="48"/>
                                <w:szCs w:val="48"/>
                                <w14:textFill>
                                  <w14:solidFill>
                                    <w14:schemeClr w14:val="bg1"/>
                                  </w14:solidFill>
                                </w14:textFill>
                              </w:rPr>
                              <w:t>毕业生就业质量年度报告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9pt;margin-top:148.9pt;height:156pt;width:595.5pt;mso-position-horizontal-relative:margin;z-index:251712512;mso-width-relative:page;mso-height-relative:page;" filled="f" stroked="f" coordsize="21600,21600" o:gfxdata="UEsDBAoAAAAAAIdO4kAAAAAAAAAAAAAAAAAEAAAAZHJzL1BLAwQUAAAACACHTuJAXZXrad0AAAAN&#10;AQAADwAAAGRycy9kb3ducmV2LnhtbE2PS0/DMBCE70j8B2uRuLV2gmjTEKdCkSokBIeWXrht4m0S&#10;4UeI3Qf8epxTue1oRzPfFOuL0exEo++dlZDMBTCyjVO9bSXsPzazDJgPaBVqZ0nCD3lYl7c3BebK&#10;ne2WTrvQshhifY4SuhCGnHPfdGTQz91ANv4ObjQYohxbrkY8x3CjeSrEghvsbWzocKCqo+ZrdzQS&#10;XqvNO27r1GS/unp5OzwP3/vPRynv7xLxBCzQJVzNMOFHdCgjU+2OVnmmJcyS5TKyBwnpajomi0ge&#10;UmC1hIVYZcDLgv9fUf4BUEsDBBQAAAAIAIdO4kAVZGPJKgIAACkEAAAOAAAAZHJzL2Uyb0RvYy54&#10;bWytU82O0zAQviPxDpbvNE237XajpquyqyKkwq5UEGfXsZtIjsfYbpPyAOwbcOLCnefqczB22lJ+&#10;ToiLNX/+ZuabmeltWyuyE9ZVoHOa9vqUCM2hqPQmp+/fLV5MKHGe6YIp0CKne+Ho7ez5s2ljMjGA&#10;ElQhLEEQ7bLG5LT03mRJ4ngpauZ6YIRGpwRbM4+q3SSFZQ2i1yoZ9PvjpAFbGAtcOIfW+85JZxFf&#10;SsH9g5ROeKJyirX5+Nr4rsObzKYs21hmyoofy2D/UEXNKo1Jz1D3zDOytdUfUHXFLTiQvsehTkDK&#10;iovYA3aT9n/rZlUyI2IvSI4zZ5rc/4Plb3ePllRFTq9GlGhW44wOX54OX78fvn0maEOCGuMyjFsZ&#10;jPTtS2hx0Ce7C8Z18wYK/Mi2HiILrbR1YAP7IxiNxO/PZIvWE47G69F4MBmhi6MvvZmkOM6AmrDs&#10;9N1Y518JqEkQcmpxmhGe7ZbOd6GnkJBNw6JSKk5UadLkdHyF+L94EFxpzBFaCqV3zfl23R77XEOx&#10;x44sdJviDF9UmHzJnH9kFlcDC8Z19w/4SAWYBI4SJSXYT3+zh3icGHopaXDVcuo+bpkVlKjXGmd5&#10;kw6HYTejMhxdD1Cxl571pUdv6zvAbU7xsAyPYoj36iRKC/UHvIp5yIoupjnmzqk/iXe+OwC8Ki7m&#10;8xiE22iYX+qV4QG6I22O85RVZDoQ1nFzZA/3Mc7qeDth4S/1GPXzwm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2V62ndAAAADQEAAA8AAAAAAAAAAQAgAAAAIgAAAGRycy9kb3ducmV2LnhtbFBL&#10;AQIUABQAAAAIAIdO4kAVZGPJKgIAACkEAAAOAAAAAAAAAAEAIAAAACwBAABkcnMvZTJvRG9jLnht&#10;bFBLBQYAAAAABgAGAFkBAADIBQAAAAA=&#10;">
                <v:fill on="f" focussize="0,0"/>
                <v:stroke on="f" weight="0.5pt"/>
                <v:imagedata o:title=""/>
                <o:lock v:ext="edit" aspectratio="f"/>
                <v:textbox>
                  <w:txbxContent>
                    <w:p>
                      <w:pPr>
                        <w:ind w:firstLine="180" w:firstLineChars="25"/>
                        <w:jc w:val="center"/>
                        <w:rPr>
                          <w:rFonts w:ascii="微软雅黑" w:hAnsi="微软雅黑" w:eastAsia="微软雅黑"/>
                          <w:b/>
                          <w:color w:val="FFFFFF" w:themeColor="background1"/>
                          <w:sz w:val="72"/>
                          <w:szCs w:val="72"/>
                          <w14:textFill>
                            <w14:solidFill>
                              <w14:schemeClr w14:val="bg1"/>
                            </w14:solidFill>
                          </w14:textFill>
                        </w:rPr>
                      </w:pPr>
                      <w:r>
                        <w:rPr>
                          <w:rFonts w:hint="eastAsia" w:ascii="微软雅黑" w:hAnsi="微软雅黑" w:eastAsia="微软雅黑"/>
                          <w:b/>
                          <w:color w:val="FFFFFF" w:themeColor="background1"/>
                          <w:sz w:val="72"/>
                          <w:szCs w:val="72"/>
                          <w14:textFill>
                            <w14:solidFill>
                              <w14:schemeClr w14:val="bg1"/>
                            </w14:solidFill>
                          </w14:textFill>
                        </w:rPr>
                        <w:t>盐城幼儿</w:t>
                      </w:r>
                      <w:r>
                        <w:rPr>
                          <w:rFonts w:ascii="微软雅黑" w:hAnsi="微软雅黑" w:eastAsia="微软雅黑"/>
                          <w:b/>
                          <w:color w:val="FFFFFF" w:themeColor="background1"/>
                          <w:sz w:val="72"/>
                          <w:szCs w:val="72"/>
                          <w14:textFill>
                            <w14:solidFill>
                              <w14:schemeClr w14:val="bg1"/>
                            </w14:solidFill>
                          </w14:textFill>
                        </w:rPr>
                        <w:t>师范高等专科学校</w:t>
                      </w:r>
                    </w:p>
                    <w:p>
                      <w:pPr>
                        <w:ind w:firstLine="0" w:firstLineChars="0"/>
                        <w:jc w:val="center"/>
                        <w:rPr>
                          <w:rFonts w:ascii="微软雅黑" w:hAnsi="微软雅黑" w:eastAsia="微软雅黑"/>
                          <w:b/>
                          <w:color w:val="FFFFFF" w:themeColor="background1"/>
                          <w:sz w:val="48"/>
                          <w:szCs w:val="48"/>
                          <w14:textFill>
                            <w14:solidFill>
                              <w14:schemeClr w14:val="bg1"/>
                            </w14:solidFill>
                          </w14:textFill>
                        </w:rPr>
                      </w:pPr>
                      <w:r>
                        <w:rPr>
                          <w:rFonts w:hint="eastAsia" w:ascii="Times New Roman" w:hAnsi="Times New Roman" w:eastAsia="微软雅黑"/>
                          <w:b/>
                          <w:color w:val="FFFFFF" w:themeColor="background1"/>
                          <w:sz w:val="48"/>
                          <w:szCs w:val="48"/>
                          <w14:textFill>
                            <w14:solidFill>
                              <w14:schemeClr w14:val="bg1"/>
                            </w14:solidFill>
                          </w14:textFill>
                        </w:rPr>
                        <w:t>201</w:t>
                      </w:r>
                      <w:r>
                        <w:rPr>
                          <w:rFonts w:ascii="Times New Roman" w:hAnsi="Times New Roman" w:eastAsia="微软雅黑"/>
                          <w:b/>
                          <w:color w:val="FFFFFF" w:themeColor="background1"/>
                          <w:sz w:val="48"/>
                          <w:szCs w:val="48"/>
                          <w14:textFill>
                            <w14:solidFill>
                              <w14:schemeClr w14:val="bg1"/>
                            </w14:solidFill>
                          </w14:textFill>
                        </w:rPr>
                        <w:t>7</w:t>
                      </w:r>
                      <w:r>
                        <w:rPr>
                          <w:rFonts w:hint="eastAsia" w:ascii="微软雅黑" w:hAnsi="微软雅黑" w:eastAsia="微软雅黑"/>
                          <w:b/>
                          <w:color w:val="FFFFFF" w:themeColor="background1"/>
                          <w:sz w:val="48"/>
                          <w:szCs w:val="48"/>
                          <w14:textFill>
                            <w14:solidFill>
                              <w14:schemeClr w14:val="bg1"/>
                            </w14:solidFill>
                          </w14:textFill>
                        </w:rPr>
                        <w:t>届</w:t>
                      </w:r>
                      <w:r>
                        <w:rPr>
                          <w:rFonts w:ascii="微软雅黑" w:hAnsi="微软雅黑" w:eastAsia="微软雅黑"/>
                          <w:b/>
                          <w:color w:val="FFFFFF" w:themeColor="background1"/>
                          <w:sz w:val="48"/>
                          <w:szCs w:val="48"/>
                          <w14:textFill>
                            <w14:solidFill>
                              <w14:schemeClr w14:val="bg1"/>
                            </w14:solidFill>
                          </w14:textFill>
                        </w:rPr>
                        <w:t>毕业生就业质量年度报告</w:t>
                      </w:r>
                    </w:p>
                  </w:txbxContent>
                </v:textbox>
              </v:shape>
            </w:pict>
          </mc:Fallback>
        </mc:AlternateContent>
      </w:r>
    </w:p>
    <w:p>
      <w:pPr>
        <w:ind w:firstLine="199" w:firstLineChars="83"/>
        <w:rPr>
          <w:lang w:val="zh-CN"/>
        </w:rPr>
        <w:sectPr>
          <w:headerReference r:id="rId6" w:type="first"/>
          <w:footerReference r:id="rId9" w:type="first"/>
          <w:headerReference r:id="rId4" w:type="default"/>
          <w:footerReference r:id="rId7" w:type="default"/>
          <w:headerReference r:id="rId5" w:type="even"/>
          <w:footerReference r:id="rId8" w:type="even"/>
          <w:pgSz w:w="11907" w:h="16160"/>
          <w:pgMar w:top="1418" w:right="1418" w:bottom="1418" w:left="1701" w:header="851" w:footer="992" w:gutter="0"/>
          <w:pgNumType w:fmt="upperRoman" w:start="1"/>
          <w:cols w:space="425" w:num="1"/>
          <w:docGrid w:type="linesAndChars" w:linePitch="326" w:charSpace="0"/>
        </w:sectPr>
      </w:pPr>
    </w:p>
    <w:p>
      <w:pPr>
        <w:pStyle w:val="153"/>
        <w:spacing w:after="326"/>
      </w:pPr>
      <w:bookmarkStart w:id="0" w:name="_Toc444521079"/>
      <w:bookmarkStart w:id="1" w:name="_Toc443997299"/>
      <w:r>
        <w:rPr>
          <w:rFonts w:hint="eastAsia"/>
        </w:rPr>
        <w:t>目 录</w:t>
      </w:r>
      <w:bookmarkEnd w:id="0"/>
    </w:p>
    <w:p>
      <w:pPr>
        <w:pStyle w:val="22"/>
        <w:rPr>
          <w:rFonts w:asciiTheme="minorHAnsi" w:hAnsiTheme="minorHAnsi"/>
          <w:b w:val="0"/>
          <w:bCs w:val="0"/>
          <w:caps w:val="0"/>
          <w:color w:val="auto"/>
          <w:kern w:val="2"/>
          <w:sz w:val="21"/>
        </w:rPr>
      </w:pPr>
      <w:r>
        <w:rPr>
          <w:rFonts w:cs="Times New Roman"/>
          <w:b w:val="0"/>
          <w:bCs w:val="0"/>
          <w:caps w:val="0"/>
          <w:color w:val="10CF9B" w:themeColor="accent4"/>
          <w14:textFill>
            <w14:solidFill>
              <w14:schemeClr w14:val="accent4"/>
            </w14:solidFill>
          </w14:textFill>
        </w:rPr>
        <w:fldChar w:fldCharType="begin"/>
      </w:r>
      <w:r>
        <w:rPr>
          <w:rFonts w:cs="Times New Roman"/>
          <w:b w:val="0"/>
          <w:bCs w:val="0"/>
          <w:caps w:val="0"/>
          <w:color w:val="10CF9B" w:themeColor="accent4"/>
          <w14:textFill>
            <w14:solidFill>
              <w14:schemeClr w14:val="accent4"/>
            </w14:solidFill>
          </w14:textFill>
        </w:rPr>
        <w:instrText xml:space="preserve"> TOC \o "1-3" \h \z \u </w:instrText>
      </w:r>
      <w:r>
        <w:rPr>
          <w:rFonts w:cs="Times New Roman"/>
          <w:b w:val="0"/>
          <w:bCs w:val="0"/>
          <w:caps w:val="0"/>
          <w:color w:val="10CF9B" w:themeColor="accent4"/>
          <w14:textFill>
            <w14:solidFill>
              <w14:schemeClr w14:val="accent4"/>
            </w14:solidFill>
          </w14:textFill>
        </w:rPr>
        <w:fldChar w:fldCharType="separate"/>
      </w:r>
      <w:r>
        <w:fldChar w:fldCharType="begin"/>
      </w:r>
      <w:r>
        <w:instrText xml:space="preserve"> HYPERLINK \l "_Toc521402006" </w:instrText>
      </w:r>
      <w:r>
        <w:fldChar w:fldCharType="separate"/>
      </w:r>
      <w:r>
        <w:rPr>
          <w:rStyle w:val="38"/>
        </w:rPr>
        <w:t>学校概况</w:t>
      </w:r>
      <w:r>
        <w:tab/>
      </w:r>
      <w:r>
        <w:fldChar w:fldCharType="begin"/>
      </w:r>
      <w:r>
        <w:instrText xml:space="preserve"> PAGEREF _Toc521402006 \h </w:instrText>
      </w:r>
      <w:r>
        <w:fldChar w:fldCharType="separate"/>
      </w:r>
      <w:r>
        <w:t>I</w:t>
      </w:r>
      <w:r>
        <w:fldChar w:fldCharType="end"/>
      </w:r>
      <w:r>
        <w:fldChar w:fldCharType="end"/>
      </w:r>
    </w:p>
    <w:p>
      <w:pPr>
        <w:pStyle w:val="22"/>
        <w:rPr>
          <w:rFonts w:asciiTheme="minorHAnsi" w:hAnsiTheme="minorHAnsi"/>
          <w:b w:val="0"/>
          <w:bCs w:val="0"/>
          <w:caps w:val="0"/>
          <w:color w:val="auto"/>
          <w:kern w:val="2"/>
          <w:sz w:val="21"/>
        </w:rPr>
      </w:pPr>
      <w:r>
        <w:fldChar w:fldCharType="begin"/>
      </w:r>
      <w:r>
        <w:instrText xml:space="preserve"> HYPERLINK \l "_Toc521402007" </w:instrText>
      </w:r>
      <w:r>
        <w:fldChar w:fldCharType="separate"/>
      </w:r>
      <w:r>
        <w:rPr>
          <w:rStyle w:val="38"/>
        </w:rPr>
        <w:t>报告说明</w:t>
      </w:r>
      <w:r>
        <w:tab/>
      </w:r>
      <w:r>
        <w:fldChar w:fldCharType="begin"/>
      </w:r>
      <w:r>
        <w:instrText xml:space="preserve"> PAGEREF _Toc521402007 \h </w:instrText>
      </w:r>
      <w:r>
        <w:fldChar w:fldCharType="separate"/>
      </w:r>
      <w:r>
        <w:t>III</w:t>
      </w:r>
      <w:r>
        <w:fldChar w:fldCharType="end"/>
      </w:r>
      <w:r>
        <w:fldChar w:fldCharType="end"/>
      </w:r>
    </w:p>
    <w:p>
      <w:pPr>
        <w:pStyle w:val="22"/>
        <w:rPr>
          <w:rFonts w:asciiTheme="minorHAnsi" w:hAnsiTheme="minorHAnsi"/>
          <w:b w:val="0"/>
          <w:bCs w:val="0"/>
          <w:caps w:val="0"/>
          <w:color w:val="auto"/>
          <w:kern w:val="2"/>
          <w:sz w:val="21"/>
        </w:rPr>
      </w:pPr>
      <w:r>
        <w:fldChar w:fldCharType="begin"/>
      </w:r>
      <w:r>
        <w:instrText xml:space="preserve"> HYPERLINK \l "_Toc521402008" </w:instrText>
      </w:r>
      <w:r>
        <w:fldChar w:fldCharType="separate"/>
      </w:r>
      <w:r>
        <w:rPr>
          <w:rStyle w:val="38"/>
        </w:rPr>
        <w:t>第一篇：毕业生就业基本情况</w:t>
      </w:r>
      <w:r>
        <w:tab/>
      </w:r>
      <w:r>
        <w:fldChar w:fldCharType="begin"/>
      </w:r>
      <w:r>
        <w:instrText xml:space="preserve"> PAGEREF _Toc521402008 \h </w:instrText>
      </w:r>
      <w:r>
        <w:fldChar w:fldCharType="separate"/>
      </w:r>
      <w:r>
        <w:t>1</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"_Toc521402009" </w:instrText>
      </w:r>
      <w:r>
        <w:fldChar w:fldCharType="separate"/>
      </w:r>
      <w:r>
        <w:rPr>
          <w:rStyle w:val="38"/>
        </w:rPr>
        <w:t>一、毕业生的规模和结构</w:t>
      </w:r>
      <w:r>
        <w:tab/>
      </w:r>
      <w:r>
        <w:fldChar w:fldCharType="begin"/>
      </w:r>
      <w:r>
        <w:instrText xml:space="preserve"> PAGEREF _Toc521402009 \h </w:instrText>
      </w:r>
      <w:r>
        <w:fldChar w:fldCharType="separate"/>
      </w:r>
      <w:r>
        <w:t>1</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"_Toc521402010" </w:instrText>
      </w:r>
      <w:r>
        <w:fldChar w:fldCharType="separate"/>
      </w:r>
      <w:r>
        <w:rPr>
          <w:rStyle w:val="38"/>
        </w:rPr>
        <w:t>（一）总体规模</w:t>
      </w:r>
      <w:r>
        <w:tab/>
      </w:r>
      <w:r>
        <w:fldChar w:fldCharType="begin"/>
      </w:r>
      <w:r>
        <w:instrText xml:space="preserve"> PAGEREF _Toc521402010 \h </w:instrText>
      </w:r>
      <w:r>
        <w:fldChar w:fldCharType="separate"/>
      </w:r>
      <w:r>
        <w:t>1</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"_Toc521402011" </w:instrText>
      </w:r>
      <w:r>
        <w:fldChar w:fldCharType="separate"/>
      </w:r>
      <w:r>
        <w:rPr>
          <w:rStyle w:val="38"/>
        </w:rPr>
        <w:t>（二）各分院/专业毕业生的分布</w:t>
      </w:r>
      <w:r>
        <w:tab/>
      </w:r>
      <w:r>
        <w:fldChar w:fldCharType="begin"/>
      </w:r>
      <w:r>
        <w:instrText xml:space="preserve"> PAGEREF _Toc521402011 \h </w:instrText>
      </w:r>
      <w:r>
        <w:fldChar w:fldCharType="separate"/>
      </w:r>
      <w:r>
        <w:t>1</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"_Toc521402012" </w:instrText>
      </w:r>
      <w:r>
        <w:fldChar w:fldCharType="separate"/>
      </w:r>
      <w:r>
        <w:rPr>
          <w:rStyle w:val="38"/>
        </w:rPr>
        <w:t>二、就业率及毕业去向</w:t>
      </w:r>
      <w:r>
        <w:tab/>
      </w:r>
      <w:r>
        <w:fldChar w:fldCharType="begin"/>
      </w:r>
      <w:r>
        <w:instrText xml:space="preserve"> PAGEREF _Toc521402012 \h </w:instrText>
      </w:r>
      <w:r>
        <w:fldChar w:fldCharType="separate"/>
      </w:r>
      <w:r>
        <w:t>2</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"_Toc521402013" </w:instrText>
      </w:r>
      <w:r>
        <w:fldChar w:fldCharType="separate"/>
      </w:r>
      <w:r>
        <w:rPr>
          <w:rStyle w:val="38"/>
        </w:rPr>
        <w:t>（一）总体就业率及毕业去向</w:t>
      </w:r>
      <w:r>
        <w:tab/>
      </w:r>
      <w:r>
        <w:fldChar w:fldCharType="begin"/>
      </w:r>
      <w:r>
        <w:instrText xml:space="preserve"> PAGEREF _Toc521402013 \h </w:instrText>
      </w:r>
      <w:r>
        <w:fldChar w:fldCharType="separate"/>
      </w:r>
      <w:r>
        <w:t>2</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"_Toc521402014" </w:instrText>
      </w:r>
      <w:r>
        <w:fldChar w:fldCharType="separate"/>
      </w:r>
      <w:r>
        <w:rPr>
          <w:rStyle w:val="38"/>
        </w:rPr>
        <w:t>（二）各分院/专业就业率</w:t>
      </w:r>
      <w:r>
        <w:tab/>
      </w:r>
      <w:r>
        <w:fldChar w:fldCharType="begin"/>
      </w:r>
      <w:r>
        <w:instrText xml:space="preserve"> PAGEREF _Toc521402014 \h </w:instrText>
      </w:r>
      <w:r>
        <w:fldChar w:fldCharType="separate"/>
      </w:r>
      <w:r>
        <w:t>3</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"_Toc521402015" </w:instrText>
      </w:r>
      <w:r>
        <w:fldChar w:fldCharType="separate"/>
      </w:r>
      <w:r>
        <w:rPr>
          <w:rStyle w:val="38"/>
        </w:rPr>
        <w:t>（三）未就业情况分析</w:t>
      </w:r>
      <w:r>
        <w:tab/>
      </w:r>
      <w:r>
        <w:fldChar w:fldCharType="begin"/>
      </w:r>
      <w:r>
        <w:instrText xml:space="preserve"> PAGEREF _Toc521402015 \h </w:instrText>
      </w:r>
      <w:r>
        <w:fldChar w:fldCharType="separate"/>
      </w:r>
      <w:r>
        <w:t>4</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"_Toc521402016" </w:instrText>
      </w:r>
      <w:r>
        <w:fldChar w:fldCharType="separate"/>
      </w:r>
      <w:r>
        <w:rPr>
          <w:rStyle w:val="38"/>
        </w:rPr>
        <w:t>三、就业流向</w:t>
      </w:r>
      <w:r>
        <w:tab/>
      </w:r>
      <w:r>
        <w:fldChar w:fldCharType="begin"/>
      </w:r>
      <w:r>
        <w:instrText xml:space="preserve"> PAGEREF _Toc521402016 \h </w:instrText>
      </w:r>
      <w:r>
        <w:fldChar w:fldCharType="separate"/>
      </w:r>
      <w:r>
        <w:t>5</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"_Toc521402017" </w:instrText>
      </w:r>
      <w:r>
        <w:fldChar w:fldCharType="separate"/>
      </w:r>
      <w:r>
        <w:rPr>
          <w:rStyle w:val="38"/>
        </w:rPr>
        <w:t>（一）就业地区分布</w:t>
      </w:r>
      <w:r>
        <w:tab/>
      </w:r>
      <w:r>
        <w:fldChar w:fldCharType="begin"/>
      </w:r>
      <w:r>
        <w:instrText xml:space="preserve"> PAGEREF _Toc521402017 \h </w:instrText>
      </w:r>
      <w:r>
        <w:fldChar w:fldCharType="separate"/>
      </w:r>
      <w:r>
        <w:t>5</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"_Toc521402018" </w:instrText>
      </w:r>
      <w:r>
        <w:fldChar w:fldCharType="separate"/>
      </w:r>
      <w:r>
        <w:rPr>
          <w:rStyle w:val="38"/>
        </w:rPr>
        <w:t>（二）就业单位分布</w:t>
      </w:r>
      <w:r>
        <w:tab/>
      </w:r>
      <w:r>
        <w:fldChar w:fldCharType="begin"/>
      </w:r>
      <w:r>
        <w:instrText xml:space="preserve"> PAGEREF _Toc521402018 \h </w:instrText>
      </w:r>
      <w:r>
        <w:fldChar w:fldCharType="separate"/>
      </w:r>
      <w:r>
        <w:t>5</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"_Toc521402019" </w:instrText>
      </w:r>
      <w:r>
        <w:fldChar w:fldCharType="separate"/>
      </w:r>
      <w:r>
        <w:rPr>
          <w:rStyle w:val="38"/>
        </w:rPr>
        <w:t>（三）就业行业分布</w:t>
      </w:r>
      <w:r>
        <w:tab/>
      </w:r>
      <w:r>
        <w:fldChar w:fldCharType="begin"/>
      </w:r>
      <w:r>
        <w:instrText xml:space="preserve"> PAGEREF _Toc521402019 \h </w:instrText>
      </w:r>
      <w:r>
        <w:fldChar w:fldCharType="separate"/>
      </w:r>
      <w:r>
        <w:t>6</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"_Toc521402020" </w:instrText>
      </w:r>
      <w:r>
        <w:fldChar w:fldCharType="separate"/>
      </w:r>
      <w:r>
        <w:rPr>
          <w:rStyle w:val="38"/>
        </w:rPr>
        <w:t>（四）就业职业分布</w:t>
      </w:r>
      <w:r>
        <w:tab/>
      </w:r>
      <w:r>
        <w:fldChar w:fldCharType="begin"/>
      </w:r>
      <w:r>
        <w:instrText xml:space="preserve"> PAGEREF _Toc521402020 \h </w:instrText>
      </w:r>
      <w:r>
        <w:fldChar w:fldCharType="separate"/>
      </w:r>
      <w:r>
        <w:t>6</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"_Toc521402021" </w:instrText>
      </w:r>
      <w:r>
        <w:fldChar w:fldCharType="separate"/>
      </w:r>
      <w:r>
        <w:rPr>
          <w:rStyle w:val="38"/>
        </w:rPr>
        <w:t>四、升学情况</w:t>
      </w:r>
      <w:r>
        <w:tab/>
      </w:r>
      <w:r>
        <w:fldChar w:fldCharType="begin"/>
      </w:r>
      <w:r>
        <w:instrText xml:space="preserve"> PAGEREF _Toc521402021 \h </w:instrText>
      </w:r>
      <w:r>
        <w:fldChar w:fldCharType="separate"/>
      </w:r>
      <w:r>
        <w:t>7</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"_Toc521402022" </w:instrText>
      </w:r>
      <w:r>
        <w:fldChar w:fldCharType="separate"/>
      </w:r>
      <w:r>
        <w:rPr>
          <w:rStyle w:val="38"/>
        </w:rPr>
        <w:t>五、自主创业</w:t>
      </w:r>
      <w:r>
        <w:tab/>
      </w:r>
      <w:r>
        <w:fldChar w:fldCharType="begin"/>
      </w:r>
      <w:r>
        <w:instrText xml:space="preserve"> PAGEREF _Toc521402022 \h </w:instrText>
      </w:r>
      <w:r>
        <w:fldChar w:fldCharType="separate"/>
      </w:r>
      <w:r>
        <w:t>8</w:t>
      </w:r>
      <w:r>
        <w:fldChar w:fldCharType="end"/>
      </w:r>
      <w:r>
        <w:fldChar w:fldCharType="end"/>
      </w:r>
    </w:p>
    <w:p>
      <w:pPr>
        <w:pStyle w:val="22"/>
        <w:rPr>
          <w:rFonts w:asciiTheme="minorHAnsi" w:hAnsiTheme="minorHAnsi"/>
          <w:b w:val="0"/>
          <w:bCs w:val="0"/>
          <w:caps w:val="0"/>
          <w:color w:val="auto"/>
          <w:kern w:val="2"/>
          <w:sz w:val="21"/>
        </w:rPr>
      </w:pPr>
      <w:r>
        <w:fldChar w:fldCharType="begin"/>
      </w:r>
      <w:r>
        <w:instrText xml:space="preserve"> HYPERLINK \l "_Toc521402023" </w:instrText>
      </w:r>
      <w:r>
        <w:fldChar w:fldCharType="separate"/>
      </w:r>
      <w:r>
        <w:rPr>
          <w:rStyle w:val="38"/>
        </w:rPr>
        <w:t>第二篇：学校就业创业工作举措</w:t>
      </w:r>
      <w:r>
        <w:tab/>
      </w:r>
      <w:r>
        <w:fldChar w:fldCharType="begin"/>
      </w:r>
      <w:r>
        <w:instrText xml:space="preserve"> PAGEREF _Toc521402023 \h </w:instrText>
      </w:r>
      <w:r>
        <w:fldChar w:fldCharType="separate"/>
      </w:r>
      <w:r>
        <w:t>10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"_Toc521402024" </w:instrText>
      </w:r>
      <w:r>
        <w:fldChar w:fldCharType="separate"/>
      </w:r>
      <w:r>
        <w:rPr>
          <w:rStyle w:val="38"/>
        </w:rPr>
        <w:t>一、完善就业服务机制，全校协同推进就业工作</w:t>
      </w:r>
      <w:r>
        <w:tab/>
      </w:r>
      <w:r>
        <w:fldChar w:fldCharType="begin"/>
      </w:r>
      <w:r>
        <w:instrText xml:space="preserve"> PAGEREF _Toc521402024 \h </w:instrText>
      </w:r>
      <w:r>
        <w:fldChar w:fldCharType="separate"/>
      </w:r>
      <w:r>
        <w:t>10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"_Toc521402025" </w:instrText>
      </w:r>
      <w:r>
        <w:fldChar w:fldCharType="separate"/>
      </w:r>
      <w:r>
        <w:rPr>
          <w:rStyle w:val="38"/>
        </w:rPr>
        <w:t>二、强化课程建设，加强毕业生就业指导工作</w:t>
      </w:r>
      <w:r>
        <w:tab/>
      </w:r>
      <w:r>
        <w:fldChar w:fldCharType="begin"/>
      </w:r>
      <w:r>
        <w:instrText xml:space="preserve"> PAGEREF _Toc521402025 \h </w:instrText>
      </w:r>
      <w:r>
        <w:fldChar w:fldCharType="separate"/>
      </w:r>
      <w:r>
        <w:t>10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"_Toc521402026" </w:instrText>
      </w:r>
      <w:r>
        <w:fldChar w:fldCharType="separate"/>
      </w:r>
      <w:r>
        <w:rPr>
          <w:rStyle w:val="38"/>
        </w:rPr>
        <w:t>三、以师资队伍建设为突破点，推动提高工作能力</w:t>
      </w:r>
      <w:r>
        <w:tab/>
      </w:r>
      <w:r>
        <w:fldChar w:fldCharType="begin"/>
      </w:r>
      <w:r>
        <w:instrText xml:space="preserve"> PAGEREF _Toc521402026 \h </w:instrText>
      </w:r>
      <w:r>
        <w:fldChar w:fldCharType="separate"/>
      </w:r>
      <w:r>
        <w:t>10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"_Toc521402027" </w:instrText>
      </w:r>
      <w:r>
        <w:fldChar w:fldCharType="separate"/>
      </w:r>
      <w:r>
        <w:rPr>
          <w:rStyle w:val="38"/>
        </w:rPr>
        <w:t>四、构建就业平台，实施“互联网+”精准就业信息服务</w:t>
      </w:r>
      <w:r>
        <w:tab/>
      </w:r>
      <w:r>
        <w:fldChar w:fldCharType="begin"/>
      </w:r>
      <w:r>
        <w:instrText xml:space="preserve"> PAGEREF _Toc521402027 \h </w:instrText>
      </w:r>
      <w:r>
        <w:fldChar w:fldCharType="separate"/>
      </w:r>
      <w:r>
        <w:t>10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"_Toc521402028" </w:instrText>
      </w:r>
      <w:r>
        <w:fldChar w:fldCharType="separate"/>
      </w:r>
      <w:r>
        <w:rPr>
          <w:rStyle w:val="38"/>
        </w:rPr>
        <w:t>五、明确毕业生培养定位，坚定未来职业方向</w:t>
      </w:r>
      <w:r>
        <w:tab/>
      </w:r>
      <w:r>
        <w:fldChar w:fldCharType="begin"/>
      </w:r>
      <w:r>
        <w:instrText xml:space="preserve"> PAGEREF _Toc521402028 \h </w:instrText>
      </w:r>
      <w:r>
        <w:fldChar w:fldCharType="separate"/>
      </w:r>
      <w:r>
        <w:t>10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"_Toc521402029" </w:instrText>
      </w:r>
      <w:r>
        <w:fldChar w:fldCharType="separate"/>
      </w:r>
      <w:r>
        <w:rPr>
          <w:rStyle w:val="38"/>
        </w:rPr>
        <w:t>六、加强创新创业工作，推进创业带动就业</w:t>
      </w:r>
      <w:r>
        <w:tab/>
      </w:r>
      <w:r>
        <w:fldChar w:fldCharType="begin"/>
      </w:r>
      <w:r>
        <w:instrText xml:space="preserve"> PAGEREF _Toc521402029 \h </w:instrText>
      </w:r>
      <w:r>
        <w:fldChar w:fldCharType="separate"/>
      </w:r>
      <w:r>
        <w:t>11</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"_Toc521402030" </w:instrText>
      </w:r>
      <w:r>
        <w:fldChar w:fldCharType="separate"/>
      </w:r>
      <w:r>
        <w:rPr>
          <w:rStyle w:val="38"/>
        </w:rPr>
        <w:t>七、针对创新举措做好困难学生就业帮扶工作</w:t>
      </w:r>
      <w:r>
        <w:tab/>
      </w:r>
      <w:r>
        <w:fldChar w:fldCharType="begin"/>
      </w:r>
      <w:r>
        <w:instrText xml:space="preserve"> PAGEREF _Toc521402030 \h </w:instrText>
      </w:r>
      <w:r>
        <w:fldChar w:fldCharType="separate"/>
      </w:r>
      <w:r>
        <w:t>11</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"_Toc521402031" </w:instrText>
      </w:r>
      <w:r>
        <w:fldChar w:fldCharType="separate"/>
      </w:r>
      <w:r>
        <w:rPr>
          <w:rStyle w:val="38"/>
        </w:rPr>
        <w:t>八、加强高校创业就业的培养</w:t>
      </w:r>
      <w:r>
        <w:tab/>
      </w:r>
      <w:r>
        <w:fldChar w:fldCharType="begin"/>
      </w:r>
      <w:r>
        <w:instrText xml:space="preserve"> PAGEREF _Toc521402031 \h </w:instrText>
      </w:r>
      <w:r>
        <w:fldChar w:fldCharType="separate"/>
      </w:r>
      <w:r>
        <w:t>11</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"_Toc521402032" </w:instrText>
      </w:r>
      <w:r>
        <w:fldChar w:fldCharType="separate"/>
      </w:r>
      <w:r>
        <w:rPr>
          <w:rStyle w:val="38"/>
        </w:rPr>
        <w:t>九、实现创业指导与再就业有机结合</w:t>
      </w:r>
      <w:r>
        <w:tab/>
      </w:r>
      <w:r>
        <w:fldChar w:fldCharType="begin"/>
      </w:r>
      <w:r>
        <w:instrText xml:space="preserve"> PAGEREF _Toc521402032 \h </w:instrText>
      </w:r>
      <w:r>
        <w:fldChar w:fldCharType="separate"/>
      </w:r>
      <w:r>
        <w:t>12</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"_Toc521402033" </w:instrText>
      </w:r>
      <w:r>
        <w:fldChar w:fldCharType="separate"/>
      </w:r>
      <w:r>
        <w:rPr>
          <w:rStyle w:val="38"/>
        </w:rPr>
        <w:t>十、改善创业指导服务行为</w:t>
      </w:r>
      <w:r>
        <w:tab/>
      </w:r>
      <w:r>
        <w:fldChar w:fldCharType="begin"/>
      </w:r>
      <w:r>
        <w:instrText xml:space="preserve"> PAGEREF _Toc521402033 \h </w:instrText>
      </w:r>
      <w:r>
        <w:fldChar w:fldCharType="separate"/>
      </w:r>
      <w:r>
        <w:t>12</w:t>
      </w:r>
      <w:r>
        <w:fldChar w:fldCharType="end"/>
      </w:r>
      <w:r>
        <w:fldChar w:fldCharType="end"/>
      </w:r>
    </w:p>
    <w:p>
      <w:pPr>
        <w:pStyle w:val="22"/>
        <w:rPr>
          <w:rFonts w:asciiTheme="minorHAnsi" w:hAnsiTheme="minorHAnsi"/>
          <w:b w:val="0"/>
          <w:bCs w:val="0"/>
          <w:caps w:val="0"/>
          <w:color w:val="auto"/>
          <w:kern w:val="2"/>
          <w:sz w:val="21"/>
        </w:rPr>
      </w:pPr>
      <w:r>
        <w:fldChar w:fldCharType="begin"/>
      </w:r>
      <w:r>
        <w:instrText xml:space="preserve"> HYPERLINK \l "_Toc521402034" </w:instrText>
      </w:r>
      <w:r>
        <w:fldChar w:fldCharType="separate"/>
      </w:r>
      <w:r>
        <w:rPr>
          <w:rStyle w:val="38"/>
        </w:rPr>
        <w:t>第三篇：就业质量相关分析</w:t>
      </w:r>
      <w:r>
        <w:tab/>
      </w:r>
      <w:r>
        <w:fldChar w:fldCharType="begin"/>
      </w:r>
      <w:r>
        <w:instrText xml:space="preserve"> PAGEREF _Toc521402034 \h </w:instrText>
      </w:r>
      <w:r>
        <w:fldChar w:fldCharType="separate"/>
      </w:r>
      <w:r>
        <w:t>13</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"_Toc521402035" </w:instrText>
      </w:r>
      <w:r>
        <w:fldChar w:fldCharType="separate"/>
      </w:r>
      <w:r>
        <w:rPr>
          <w:rStyle w:val="38"/>
        </w:rPr>
        <w:t>一、薪酬水平</w:t>
      </w:r>
      <w:r>
        <w:tab/>
      </w:r>
      <w:r>
        <w:fldChar w:fldCharType="begin"/>
      </w:r>
      <w:r>
        <w:instrText xml:space="preserve"> PAGEREF _Toc521402035 \h </w:instrText>
      </w:r>
      <w:r>
        <w:fldChar w:fldCharType="separate"/>
      </w:r>
      <w:r>
        <w:t>13</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"_Toc521402036" </w:instrText>
      </w:r>
      <w:r>
        <w:fldChar w:fldCharType="separate"/>
      </w:r>
      <w:r>
        <w:rPr>
          <w:rStyle w:val="38"/>
        </w:rPr>
        <w:t>二、专业相关度</w:t>
      </w:r>
      <w:r>
        <w:tab/>
      </w:r>
      <w:r>
        <w:fldChar w:fldCharType="begin"/>
      </w:r>
      <w:r>
        <w:instrText xml:space="preserve"> PAGEREF _Toc521402036 \h </w:instrText>
      </w:r>
      <w:r>
        <w:fldChar w:fldCharType="separate"/>
      </w:r>
      <w:r>
        <w:t>15</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"_Toc521402037" </w:instrText>
      </w:r>
      <w:r>
        <w:fldChar w:fldCharType="separate"/>
      </w:r>
      <w:r>
        <w:rPr>
          <w:rStyle w:val="38"/>
        </w:rPr>
        <w:t>三、职业期待吻合度</w:t>
      </w:r>
      <w:r>
        <w:tab/>
      </w:r>
      <w:r>
        <w:fldChar w:fldCharType="begin"/>
      </w:r>
      <w:r>
        <w:instrText xml:space="preserve"> PAGEREF _Toc521402037 \h </w:instrText>
      </w:r>
      <w:r>
        <w:fldChar w:fldCharType="separate"/>
      </w:r>
      <w:r>
        <w:t>16</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"_Toc521402038" </w:instrText>
      </w:r>
      <w:r>
        <w:fldChar w:fldCharType="separate"/>
      </w:r>
      <w:r>
        <w:rPr>
          <w:rStyle w:val="38"/>
        </w:rPr>
        <w:t>四、工作满意度</w:t>
      </w:r>
      <w:r>
        <w:tab/>
      </w:r>
      <w:r>
        <w:fldChar w:fldCharType="begin"/>
      </w:r>
      <w:r>
        <w:instrText xml:space="preserve"> PAGEREF _Toc521402038 \h </w:instrText>
      </w:r>
      <w:r>
        <w:fldChar w:fldCharType="separate"/>
      </w:r>
      <w:r>
        <w:t>16</w:t>
      </w:r>
      <w:r>
        <w:fldChar w:fldCharType="end"/>
      </w:r>
      <w:r>
        <w:fldChar w:fldCharType="end"/>
      </w:r>
    </w:p>
    <w:p>
      <w:pPr>
        <w:pStyle w:val="22"/>
        <w:rPr>
          <w:rFonts w:asciiTheme="minorHAnsi" w:hAnsiTheme="minorHAnsi"/>
          <w:b w:val="0"/>
          <w:bCs w:val="0"/>
          <w:caps w:val="0"/>
          <w:color w:val="auto"/>
          <w:kern w:val="2"/>
          <w:sz w:val="21"/>
        </w:rPr>
      </w:pPr>
      <w:r>
        <w:fldChar w:fldCharType="begin"/>
      </w:r>
      <w:r>
        <w:instrText xml:space="preserve"> HYPERLINK \l "_Toc521402039" </w:instrText>
      </w:r>
      <w:r>
        <w:fldChar w:fldCharType="separate"/>
      </w:r>
      <w:r>
        <w:rPr>
          <w:rStyle w:val="38"/>
        </w:rPr>
        <w:t>第四篇：就业发展趋势分析</w:t>
      </w:r>
      <w:r>
        <w:tab/>
      </w:r>
      <w:r>
        <w:fldChar w:fldCharType="begin"/>
      </w:r>
      <w:r>
        <w:instrText xml:space="preserve"> PAGEREF _Toc521402039 \h </w:instrText>
      </w:r>
      <w:r>
        <w:fldChar w:fldCharType="separate"/>
      </w:r>
      <w:r>
        <w:t>18</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"_Toc521402040" </w:instrText>
      </w:r>
      <w:r>
        <w:fldChar w:fldCharType="separate"/>
      </w:r>
      <w:r>
        <w:rPr>
          <w:rStyle w:val="38"/>
        </w:rPr>
        <w:t>一、毕业生就业率保持较高水平</w:t>
      </w:r>
      <w:r>
        <w:tab/>
      </w:r>
      <w:r>
        <w:fldChar w:fldCharType="begin"/>
      </w:r>
      <w:r>
        <w:instrText xml:space="preserve"> PAGEREF _Toc521402040 \h </w:instrText>
      </w:r>
      <w:r>
        <w:fldChar w:fldCharType="separate"/>
      </w:r>
      <w:r>
        <w:t>18</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"_Toc521402041" </w:instrText>
      </w:r>
      <w:r>
        <w:fldChar w:fldCharType="separate"/>
      </w:r>
      <w:r>
        <w:rPr>
          <w:rStyle w:val="38"/>
        </w:rPr>
        <w:t>二、月薪水平呈较高水平，就业质量保持稳定</w:t>
      </w:r>
      <w:r>
        <w:tab/>
      </w:r>
      <w:r>
        <w:fldChar w:fldCharType="begin"/>
      </w:r>
      <w:r>
        <w:instrText xml:space="preserve"> PAGEREF _Toc521402041 \h </w:instrText>
      </w:r>
      <w:r>
        <w:fldChar w:fldCharType="separate"/>
      </w:r>
      <w:r>
        <w:t>18</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"_Toc521402042" </w:instrText>
      </w:r>
      <w:r>
        <w:fldChar w:fldCharType="separate"/>
      </w:r>
      <w:r>
        <w:rPr>
          <w:rStyle w:val="38"/>
        </w:rPr>
        <w:t>三、毕业生对母校总体满意度较高</w:t>
      </w:r>
      <w:r>
        <w:tab/>
      </w:r>
      <w:r>
        <w:fldChar w:fldCharType="begin"/>
      </w:r>
      <w:r>
        <w:instrText xml:space="preserve"> PAGEREF _Toc521402042 \h </w:instrText>
      </w:r>
      <w:r>
        <w:fldChar w:fldCharType="separate"/>
      </w:r>
      <w:r>
        <w:t>19</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"_Toc521402043" </w:instrText>
      </w:r>
      <w:r>
        <w:fldChar w:fldCharType="separate"/>
      </w:r>
      <w:r>
        <w:rPr>
          <w:rStyle w:val="38"/>
        </w:rPr>
        <w:t>四、协议就业为毕业生的主要去向选择，且呈上升趋势</w:t>
      </w:r>
      <w:r>
        <w:tab/>
      </w:r>
      <w:r>
        <w:fldChar w:fldCharType="begin"/>
      </w:r>
      <w:r>
        <w:instrText xml:space="preserve"> PAGEREF _Toc521402043 \h </w:instrText>
      </w:r>
      <w:r>
        <w:fldChar w:fldCharType="separate"/>
      </w:r>
      <w:r>
        <w:t>19</w:t>
      </w:r>
      <w:r>
        <w:fldChar w:fldCharType="end"/>
      </w:r>
      <w:r>
        <w:fldChar w:fldCharType="end"/>
      </w:r>
    </w:p>
    <w:p>
      <w:pPr>
        <w:pStyle w:val="22"/>
        <w:rPr>
          <w:rFonts w:asciiTheme="minorHAnsi" w:hAnsiTheme="minorHAnsi"/>
          <w:b w:val="0"/>
          <w:bCs w:val="0"/>
          <w:caps w:val="0"/>
          <w:color w:val="auto"/>
          <w:kern w:val="2"/>
          <w:sz w:val="21"/>
        </w:rPr>
      </w:pPr>
      <w:r>
        <w:fldChar w:fldCharType="begin"/>
      </w:r>
      <w:r>
        <w:instrText xml:space="preserve"> HYPERLINK \l "_Toc521402044" </w:instrText>
      </w:r>
      <w:r>
        <w:fldChar w:fldCharType="separate"/>
      </w:r>
      <w:r>
        <w:rPr>
          <w:rStyle w:val="38"/>
        </w:rPr>
        <w:t>第五篇：对教育教学的反馈</w:t>
      </w:r>
      <w:r>
        <w:tab/>
      </w:r>
      <w:r>
        <w:fldChar w:fldCharType="begin"/>
      </w:r>
      <w:r>
        <w:instrText xml:space="preserve"> PAGEREF _Toc521402044 \h </w:instrText>
      </w:r>
      <w:r>
        <w:fldChar w:fldCharType="separate"/>
      </w:r>
      <w:r>
        <w:t>20</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"_Toc521402045" </w:instrText>
      </w:r>
      <w:r>
        <w:fldChar w:fldCharType="separate"/>
      </w:r>
      <w:r>
        <w:rPr>
          <w:rStyle w:val="38"/>
        </w:rPr>
        <w:t>一、对人才培养的影响</w:t>
      </w:r>
      <w:r>
        <w:tab/>
      </w:r>
      <w:r>
        <w:fldChar w:fldCharType="begin"/>
      </w:r>
      <w:r>
        <w:instrText xml:space="preserve"> PAGEREF _Toc521402045 \h </w:instrText>
      </w:r>
      <w:r>
        <w:fldChar w:fldCharType="separate"/>
      </w:r>
      <w:r>
        <w:t>20</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"_Toc521402046" </w:instrText>
      </w:r>
      <w:r>
        <w:fldChar w:fldCharType="separate"/>
      </w:r>
      <w:r>
        <w:rPr>
          <w:rStyle w:val="38"/>
        </w:rPr>
        <w:t>（一）对人才培养的评价</w:t>
      </w:r>
      <w:r>
        <w:tab/>
      </w:r>
      <w:r>
        <w:fldChar w:fldCharType="begin"/>
      </w:r>
      <w:r>
        <w:instrText xml:space="preserve"> PAGEREF _Toc521402046 \h </w:instrText>
      </w:r>
      <w:r>
        <w:fldChar w:fldCharType="separate"/>
      </w:r>
      <w:r>
        <w:t>20</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"_Toc521402047" </w:instrText>
      </w:r>
      <w:r>
        <w:fldChar w:fldCharType="separate"/>
      </w:r>
      <w:r>
        <w:rPr>
          <w:rStyle w:val="38"/>
        </w:rPr>
        <w:t>（二）人才培养改进措施</w:t>
      </w:r>
      <w:r>
        <w:tab/>
      </w:r>
      <w:r>
        <w:fldChar w:fldCharType="begin"/>
      </w:r>
      <w:r>
        <w:instrText xml:space="preserve"> PAGEREF _Toc521402047 \h </w:instrText>
      </w:r>
      <w:r>
        <w:fldChar w:fldCharType="separate"/>
      </w:r>
      <w:r>
        <w:t>23</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"_Toc521402048" </w:instrText>
      </w:r>
      <w:r>
        <w:fldChar w:fldCharType="separate"/>
      </w:r>
      <w:r>
        <w:rPr>
          <w:rStyle w:val="38"/>
        </w:rPr>
        <w:t>二、对招生和专业设置的影响</w:t>
      </w:r>
      <w:r>
        <w:tab/>
      </w:r>
      <w:r>
        <w:fldChar w:fldCharType="begin"/>
      </w:r>
      <w:r>
        <w:instrText xml:space="preserve"> PAGEREF _Toc521402048 \h </w:instrText>
      </w:r>
      <w:r>
        <w:fldChar w:fldCharType="separate"/>
      </w:r>
      <w:r>
        <w:t>23</w:t>
      </w:r>
      <w:r>
        <w:fldChar w:fldCharType="end"/>
      </w:r>
      <w:r>
        <w:fldChar w:fldCharType="end"/>
      </w:r>
    </w:p>
    <w:p>
      <w:pPr>
        <w:pStyle w:val="29"/>
        <w:tabs>
          <w:tab w:val="right" w:leader="dot" w:pos="8778"/>
        </w:tabs>
        <w:ind w:firstLine="480"/>
        <w:rPr>
          <w:rFonts w:asciiTheme="minorHAnsi" w:hAnsiTheme="minorHAnsi"/>
          <w:bCs w:val="0"/>
          <w:smallCaps w:val="0"/>
          <w:color w:val="auto"/>
          <w:kern w:val="2"/>
          <w:sz w:val="21"/>
        </w:rPr>
      </w:pPr>
      <w:r>
        <w:fldChar w:fldCharType="begin"/>
      </w:r>
      <w:r>
        <w:instrText xml:space="preserve"> HYPERLINK \l "_Toc521402049" </w:instrText>
      </w:r>
      <w:r>
        <w:fldChar w:fldCharType="separate"/>
      </w:r>
      <w:r>
        <w:rPr>
          <w:rStyle w:val="38"/>
        </w:rPr>
        <w:t>三、对就业创业服务体系的影响</w:t>
      </w:r>
      <w:r>
        <w:tab/>
      </w:r>
      <w:r>
        <w:fldChar w:fldCharType="begin"/>
      </w:r>
      <w:r>
        <w:instrText xml:space="preserve"> PAGEREF _Toc521402049 \h </w:instrText>
      </w:r>
      <w:r>
        <w:fldChar w:fldCharType="separate"/>
      </w:r>
      <w:r>
        <w:t>24</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"_Toc521402050" </w:instrText>
      </w:r>
      <w:r>
        <w:fldChar w:fldCharType="separate"/>
      </w:r>
      <w:r>
        <w:rPr>
          <w:rStyle w:val="38"/>
        </w:rPr>
        <w:t>（一）对就业创业服务体系的评价</w:t>
      </w:r>
      <w:r>
        <w:tab/>
      </w:r>
      <w:r>
        <w:fldChar w:fldCharType="begin"/>
      </w:r>
      <w:r>
        <w:instrText xml:space="preserve"> PAGEREF _Toc521402050 \h </w:instrText>
      </w:r>
      <w:r>
        <w:fldChar w:fldCharType="separate"/>
      </w:r>
      <w:r>
        <w:t>24</w:t>
      </w:r>
      <w:r>
        <w:fldChar w:fldCharType="end"/>
      </w:r>
      <w:r>
        <w:fldChar w:fldCharType="end"/>
      </w:r>
    </w:p>
    <w:p>
      <w:pPr>
        <w:pStyle w:val="16"/>
        <w:tabs>
          <w:tab w:val="right" w:leader="dot" w:pos="8778"/>
        </w:tabs>
        <w:ind w:firstLine="960"/>
        <w:rPr>
          <w:rFonts w:asciiTheme="minorHAnsi" w:hAnsiTheme="minorHAnsi"/>
          <w:smallCaps w:val="0"/>
          <w:color w:val="auto"/>
          <w:kern w:val="2"/>
          <w:sz w:val="21"/>
        </w:rPr>
      </w:pPr>
      <w:r>
        <w:fldChar w:fldCharType="begin"/>
      </w:r>
      <w:r>
        <w:instrText xml:space="preserve"> HYPERLINK \l "_Toc521402051" </w:instrText>
      </w:r>
      <w:r>
        <w:fldChar w:fldCharType="separate"/>
      </w:r>
      <w:r>
        <w:rPr>
          <w:rStyle w:val="38"/>
        </w:rPr>
        <w:t>（二）就业创业服务工作的改进措施</w:t>
      </w:r>
      <w:r>
        <w:tab/>
      </w:r>
      <w:r>
        <w:fldChar w:fldCharType="begin"/>
      </w:r>
      <w:r>
        <w:instrText xml:space="preserve"> PAGEREF _Toc521402051 \h </w:instrText>
      </w:r>
      <w:r>
        <w:fldChar w:fldCharType="separate"/>
      </w:r>
      <w:r>
        <w:t>25</w:t>
      </w:r>
      <w:r>
        <w:fldChar w:fldCharType="end"/>
      </w:r>
      <w:r>
        <w:fldChar w:fldCharType="end"/>
      </w:r>
    </w:p>
    <w:p>
      <w:pPr>
        <w:pStyle w:val="131"/>
        <w:ind w:firstLine="0" w:firstLineChars="0"/>
        <w:rPr>
          <w:rFonts w:cs="Times New Roman"/>
        </w:rPr>
      </w:pPr>
      <w:r>
        <w:rPr>
          <w:rFonts w:cs="Times New Roman" w:eastAsiaTheme="minorEastAsia"/>
          <w:b/>
          <w:bCs/>
          <w:caps/>
          <w:color w:val="10CF9B" w:themeColor="accent4"/>
          <w:szCs w:val="22"/>
          <w14:textFill>
            <w14:solidFill>
              <w14:schemeClr w14:val="accent4"/>
            </w14:solidFill>
          </w14:textFill>
        </w:rPr>
        <w:fldChar w:fldCharType="end"/>
      </w:r>
    </w:p>
    <w:p>
      <w:pPr>
        <w:ind w:firstLine="0" w:firstLineChars="0"/>
        <w:sectPr>
          <w:headerReference r:id="rId10" w:type="default"/>
          <w:pgSz w:w="11907" w:h="16160"/>
          <w:pgMar w:top="1418" w:right="1418" w:bottom="1418" w:left="1701" w:header="680" w:footer="992" w:gutter="0"/>
          <w:pgNumType w:fmt="upperRoman" w:start="1"/>
          <w:cols w:space="425" w:num="1"/>
          <w:docGrid w:type="linesAndChars" w:linePitch="326" w:charSpace="0"/>
        </w:sectPr>
      </w:pPr>
      <w:r>
        <w:br w:type="page"/>
      </w:r>
    </w:p>
    <w:p>
      <w:pPr>
        <w:pStyle w:val="146"/>
        <w:spacing w:before="163" w:after="326"/>
      </w:pPr>
      <w:bookmarkStart w:id="2" w:name="_Toc443998730"/>
      <w:bookmarkStart w:id="3" w:name="_Toc443997603"/>
      <w:bookmarkStart w:id="4" w:name="_Toc521402006"/>
      <w:r>
        <w:rPr>
          <w:rFonts w:hint="eastAsia"/>
        </w:rPr>
        <w:t>学校概况</w:t>
      </w:r>
      <w:bookmarkEnd w:id="1"/>
      <w:bookmarkEnd w:id="2"/>
      <w:bookmarkEnd w:id="3"/>
      <w:bookmarkEnd w:id="4"/>
    </w:p>
    <w:p>
      <w:pPr>
        <w:pStyle w:val="131"/>
        <w:rPr>
          <w:rStyle w:val="38"/>
          <w:b/>
          <w:bCs/>
          <w:color w:val="000000"/>
          <w:u w:val="none"/>
        </w:rPr>
      </w:pPr>
      <w:r>
        <w:rPr>
          <w:rStyle w:val="38"/>
          <w:rFonts w:hint="eastAsia"/>
          <w:color w:val="000000"/>
          <w:u w:val="none"/>
        </w:rPr>
        <w:t>盐城幼儿师范高等专科学校是经国家教育部批准设置的全日制公办普通高等学校，坐落在享有“东方湿地之都，仙鹤神鹿世界”美誉的历史文化名城——盐城。学校办学历史悠久，文化积淀丰厚，优秀人才辈出，先后为社会培养了近10万名优秀人才。近年来，学校先后获得“全国巾帼建功先进集体”、“江苏省文明单位”、“江苏省职业教育先进单位”、“江苏省绿色学校”、“江苏省平安校园”、“江苏省德育先进单位”、“江苏省教育科研先进集体”、“江苏省艺术教育先进单位”等数十项国家和省部级荣誉。</w:t>
      </w:r>
    </w:p>
    <w:p>
      <w:pPr>
        <w:pStyle w:val="131"/>
        <w:rPr>
          <w:rStyle w:val="38"/>
          <w:b/>
          <w:bCs/>
          <w:color w:val="000000"/>
          <w:u w:val="none"/>
        </w:rPr>
      </w:pPr>
      <w:r>
        <w:rPr>
          <w:rStyle w:val="38"/>
          <w:rFonts w:hint="eastAsia"/>
          <w:color w:val="000000"/>
          <w:u w:val="none"/>
        </w:rPr>
        <w:t>学校位于盐城市高职园区，分南、北两个校区，占地1103亩，校园建筑面积20多万平方米，拥有一流的育人师资、先进的教学设备和完善的生活设施。现有在校生一万多人，教师600余人，现有教授、副教授222人，具有研究生学历210人，省市学科带头人50人，英语、韩语等专业外教10多人，名师工作室30个。学生的基本功训练和职业技能培养扎实，在全省和省级各类比赛中屡创佳绩。2004年以来，有近3000名学生通过全省“5+2”专转本考试，进入本科学校深造，报考学生的升学率每年均在70%左右。“十二五”以来，学校在省师范生基本功大赛和省市职业技能大赛中屡创佳绩，获得省教育厅颁发的“高技能人才摇篮奖”等荣誉称号。2013年起承担盐城市免费男幼师本土培养工作，学校“幼教绅士”的人才培养特色得到社会各界高度赞誉。</w:t>
      </w:r>
    </w:p>
    <w:p>
      <w:pPr>
        <w:pStyle w:val="131"/>
        <w:rPr>
          <w:rStyle w:val="38"/>
          <w:color w:val="000000"/>
          <w:u w:val="none"/>
        </w:rPr>
      </w:pPr>
      <w:r>
        <w:rPr>
          <w:rStyle w:val="38"/>
          <w:rFonts w:hint="eastAsia"/>
          <w:color w:val="000000"/>
          <w:u w:val="none"/>
        </w:rPr>
        <w:t>学校承袭百年师范教育发展的历史积淀，初步形成以学前教育专业为主体，小学音乐、美术、体育教育等专业为特色，以艺术设计、建筑装饰工程技术、旅游管理等专业为区域性优势专业的办学格局，实现了教育资源的优化配置和各专业的协同发展。现有学前教育、建筑工程技术、市政工程技术、环境艺术设计等13个五年一贯制专业；学前教育、音乐教育、美术教育、艺术设计、建筑装饰工程技术、旅游管理共6个高考起点的三年制专科专业。学校现系江苏省教育厅小学新课改教师培训基地，国家建设部、教育部确定的建筑行业技能型紧缺人才培养培训基地，并与美国、加拿大、韩国、新加坡等国外多所知名高校建立了长期的友好合作关系。</w:t>
      </w:r>
    </w:p>
    <w:p>
      <w:pPr>
        <w:pStyle w:val="131"/>
        <w:rPr>
          <w:rStyle w:val="38"/>
          <w:color w:val="000000"/>
          <w:u w:val="none"/>
        </w:rPr>
      </w:pPr>
      <w:r>
        <w:rPr>
          <w:rStyle w:val="38"/>
          <w:rFonts w:hint="eastAsia"/>
          <w:color w:val="000000"/>
          <w:u w:val="none"/>
        </w:rPr>
        <w:t>百年师范，薪火相承。学校以“十三五”发展规划为引领，积极策应江苏沿海和“长三角”经济区发展战略，着力建设“师范、建设、艺术、语言”四大专业群。坚持以培养高素质的基础教育师资和服务地方经济发展应用型人才为使命，走特色发展、品牌发展之路，为建设全国一流幼儿高等师范专科学校而奋力前行！</w:t>
      </w:r>
    </w:p>
    <w:p>
      <w:pPr>
        <w:pStyle w:val="146"/>
        <w:spacing w:before="163" w:after="326"/>
      </w:pPr>
      <w:bookmarkStart w:id="5" w:name="_Toc521402007"/>
      <w:bookmarkStart w:id="6" w:name="_Toc443997300"/>
      <w:bookmarkStart w:id="7" w:name="_Toc443997604"/>
      <w:bookmarkStart w:id="8" w:name="_Toc443998731"/>
      <w:r>
        <w:rPr>
          <w:rFonts w:hint="eastAsia"/>
        </w:rPr>
        <w:t>报告说明</w:t>
      </w:r>
      <w:bookmarkEnd w:id="5"/>
      <w:bookmarkEnd w:id="6"/>
      <w:bookmarkEnd w:id="7"/>
      <w:bookmarkEnd w:id="8"/>
    </w:p>
    <w:p>
      <w:pPr>
        <w:pStyle w:val="131"/>
        <w:rPr>
          <w:rStyle w:val="38"/>
          <w:color w:val="000000"/>
          <w:u w:val="none"/>
        </w:rPr>
      </w:pPr>
      <w:r>
        <w:rPr>
          <w:rStyle w:val="38"/>
          <w:rFonts w:hint="eastAsia"/>
          <w:color w:val="000000"/>
          <w:u w:val="none"/>
        </w:rPr>
        <w:t>为全面反映毕业生的就业状况，建立</w:t>
      </w:r>
      <w:r>
        <w:rPr>
          <w:rStyle w:val="38"/>
          <w:color w:val="000000"/>
          <w:u w:val="none"/>
        </w:rPr>
        <w:t>起就业与人才培养良性互动的长效机制，</w:t>
      </w:r>
      <w:r>
        <w:rPr>
          <w:rStyle w:val="38"/>
          <w:rFonts w:hint="eastAsia"/>
          <w:color w:val="000000"/>
          <w:u w:val="none"/>
        </w:rPr>
        <w:t>学校根据</w:t>
      </w:r>
      <w:r>
        <w:rPr>
          <w:rFonts w:hint="eastAsia"/>
        </w:rPr>
        <w:t>《教育部办公厅关于编制发布高校毕业生就业质量年度报告的通知》（教学厅函[2013]25号）</w:t>
      </w:r>
      <w:r>
        <w:rPr>
          <w:rStyle w:val="38"/>
          <w:color w:val="000000"/>
          <w:u w:val="none"/>
        </w:rPr>
        <w:t>文件要求</w:t>
      </w:r>
      <w:r>
        <w:rPr>
          <w:rStyle w:val="38"/>
          <w:rFonts w:hint="eastAsia"/>
          <w:color w:val="000000"/>
          <w:u w:val="none"/>
        </w:rPr>
        <w:t>，</w:t>
      </w:r>
      <w:r>
        <w:rPr>
          <w:rStyle w:val="38"/>
          <w:color w:val="000000"/>
          <w:u w:val="none"/>
        </w:rPr>
        <w:t>编制和正式发布《</w:t>
      </w:r>
      <w:r>
        <w:rPr>
          <w:rStyle w:val="38"/>
          <w:rFonts w:hint="eastAsia"/>
          <w:color w:val="000000"/>
          <w:u w:val="none"/>
        </w:rPr>
        <w:t>盐城幼儿师范高等专科学校</w:t>
      </w:r>
      <w:r>
        <w:rPr>
          <w:rStyle w:val="38"/>
          <w:color w:val="000000"/>
          <w:u w:val="none"/>
        </w:rPr>
        <w:t>2017届毕业生就业质量</w:t>
      </w:r>
      <w:r>
        <w:rPr>
          <w:rStyle w:val="38"/>
          <w:rFonts w:hint="eastAsia"/>
          <w:color w:val="000000"/>
          <w:u w:val="none"/>
        </w:rPr>
        <w:t>年度报告</w:t>
      </w:r>
      <w:r>
        <w:rPr>
          <w:rStyle w:val="38"/>
          <w:color w:val="000000"/>
          <w:u w:val="none"/>
        </w:rPr>
        <w:t>》。</w:t>
      </w:r>
      <w:r>
        <w:rPr>
          <w:rStyle w:val="38"/>
          <w:rFonts w:hint="eastAsia"/>
          <w:color w:val="000000"/>
          <w:u w:val="none"/>
        </w:rPr>
        <w:t>本报告数据</w:t>
      </w:r>
      <w:r>
        <w:rPr>
          <w:rStyle w:val="38"/>
          <w:color w:val="000000"/>
          <w:u w:val="none"/>
        </w:rPr>
        <w:t>来源于两个方面</w:t>
      </w:r>
      <w:r>
        <w:rPr>
          <w:rStyle w:val="38"/>
          <w:rFonts w:hint="eastAsia" w:ascii="宋体" w:hAnsi="宋体"/>
          <w:color w:val="000000"/>
          <w:u w:val="none"/>
        </w:rPr>
        <w:t>:</w:t>
      </w:r>
    </w:p>
    <w:p>
      <w:pPr>
        <w:pStyle w:val="131"/>
        <w:rPr>
          <w:rStyle w:val="38"/>
          <w:color w:val="000000"/>
          <w:u w:val="none"/>
        </w:rPr>
      </w:pPr>
      <w:r>
        <w:rPr>
          <w:rStyle w:val="38"/>
          <w:rFonts w:hint="eastAsia"/>
          <w:color w:val="000000"/>
          <w:u w:val="none"/>
        </w:rPr>
        <w:t>1.</w:t>
      </w:r>
      <w:r>
        <w:rPr>
          <w:rFonts w:hint="eastAsia"/>
        </w:rPr>
        <w:t>江苏省高校毕业生就业管理信息系统</w:t>
      </w:r>
      <w:r>
        <w:rPr>
          <w:rStyle w:val="38"/>
          <w:color w:val="000000"/>
          <w:u w:val="none"/>
        </w:rPr>
        <w:t>。数据</w:t>
      </w:r>
      <w:r>
        <w:rPr>
          <w:rStyle w:val="38"/>
          <w:rFonts w:hint="eastAsia"/>
          <w:color w:val="000000"/>
          <w:u w:val="none"/>
        </w:rPr>
        <w:t>统计</w:t>
      </w:r>
      <w:r>
        <w:rPr>
          <w:rStyle w:val="38"/>
          <w:color w:val="000000"/>
          <w:u w:val="none"/>
        </w:rPr>
        <w:t>截止日期为</w:t>
      </w:r>
      <w:r>
        <w:rPr>
          <w:rStyle w:val="38"/>
          <w:rFonts w:hint="eastAsia"/>
          <w:color w:val="000000"/>
          <w:u w:val="none"/>
        </w:rPr>
        <w:t>2017年</w:t>
      </w:r>
      <w:r>
        <w:rPr>
          <w:rStyle w:val="38"/>
          <w:color w:val="000000"/>
          <w:u w:val="none"/>
        </w:rPr>
        <w:t>12</w:t>
      </w:r>
      <w:r>
        <w:rPr>
          <w:rStyle w:val="38"/>
          <w:rFonts w:hint="eastAsia"/>
          <w:color w:val="000000"/>
          <w:u w:val="none"/>
        </w:rPr>
        <w:t>月</w:t>
      </w:r>
      <w:r>
        <w:rPr>
          <w:rStyle w:val="38"/>
          <w:color w:val="000000"/>
          <w:u w:val="none"/>
        </w:rPr>
        <w:t>31</w:t>
      </w:r>
      <w:r>
        <w:rPr>
          <w:rStyle w:val="38"/>
          <w:rFonts w:hint="eastAsia"/>
          <w:color w:val="000000"/>
          <w:u w:val="none"/>
        </w:rPr>
        <w:t>日</w:t>
      </w:r>
      <w:r>
        <w:rPr>
          <w:rStyle w:val="38"/>
          <w:color w:val="000000"/>
          <w:u w:val="none"/>
        </w:rPr>
        <w:t>。</w:t>
      </w:r>
      <w:r>
        <w:rPr>
          <w:rStyle w:val="38"/>
          <w:rFonts w:hint="eastAsia"/>
          <w:color w:val="000000"/>
          <w:u w:val="none"/>
        </w:rPr>
        <w:t>使用</w:t>
      </w:r>
      <w:r>
        <w:rPr>
          <w:rStyle w:val="38"/>
          <w:color w:val="000000"/>
          <w:u w:val="none"/>
        </w:rPr>
        <w:t>数</w:t>
      </w:r>
      <w:r>
        <w:rPr>
          <w:rStyle w:val="38"/>
          <w:rFonts w:hint="eastAsia"/>
          <w:color w:val="000000"/>
          <w:u w:val="none"/>
        </w:rPr>
        <w:t>据主要涉及毕业生</w:t>
      </w:r>
      <w:r>
        <w:rPr>
          <w:rStyle w:val="38"/>
          <w:color w:val="000000"/>
          <w:u w:val="none"/>
        </w:rPr>
        <w:t>的</w:t>
      </w:r>
      <w:r>
        <w:rPr>
          <w:rStyle w:val="38"/>
          <w:rFonts w:hint="eastAsia"/>
          <w:color w:val="000000"/>
          <w:u w:val="none"/>
        </w:rPr>
        <w:t>规模</w:t>
      </w:r>
      <w:r>
        <w:rPr>
          <w:rStyle w:val="38"/>
          <w:color w:val="000000"/>
          <w:u w:val="none"/>
        </w:rPr>
        <w:t>和结构、</w:t>
      </w:r>
      <w:r>
        <w:rPr>
          <w:rStyle w:val="38"/>
          <w:rFonts w:hint="eastAsia"/>
          <w:color w:val="000000"/>
          <w:u w:val="none"/>
        </w:rPr>
        <w:t>就业率、</w:t>
      </w:r>
      <w:r>
        <w:rPr>
          <w:rStyle w:val="38"/>
          <w:color w:val="000000"/>
          <w:u w:val="none"/>
        </w:rPr>
        <w:t>毕业</w:t>
      </w:r>
      <w:r>
        <w:rPr>
          <w:rStyle w:val="38"/>
          <w:rFonts w:hint="eastAsia"/>
          <w:color w:val="000000"/>
          <w:u w:val="none"/>
        </w:rPr>
        <w:t>去向</w:t>
      </w:r>
      <w:r>
        <w:rPr>
          <w:rStyle w:val="38"/>
          <w:color w:val="000000"/>
          <w:u w:val="none"/>
        </w:rPr>
        <w:t>、就业流向</w:t>
      </w:r>
      <w:r>
        <w:rPr>
          <w:rStyle w:val="38"/>
          <w:rFonts w:hint="eastAsia"/>
          <w:color w:val="000000"/>
          <w:u w:val="none"/>
        </w:rPr>
        <w:t>等。</w:t>
      </w:r>
    </w:p>
    <w:p>
      <w:pPr>
        <w:pStyle w:val="131"/>
        <w:rPr>
          <w:rStyle w:val="38"/>
          <w:color w:val="000000"/>
          <w:u w:val="none"/>
        </w:rPr>
        <w:sectPr>
          <w:pgSz w:w="11907" w:h="16160"/>
          <w:pgMar w:top="1418" w:right="1418" w:bottom="1418" w:left="1701" w:header="680" w:footer="992" w:gutter="0"/>
          <w:pgNumType w:fmt="upperRoman" w:start="1"/>
          <w:cols w:space="425" w:num="1"/>
          <w:docGrid w:type="linesAndChars" w:linePitch="326" w:charSpace="0"/>
        </w:sectPr>
      </w:pPr>
      <w:r>
        <w:rPr>
          <w:rStyle w:val="38"/>
          <w:rFonts w:hint="eastAsia"/>
          <w:color w:val="000000"/>
          <w:u w:val="none"/>
        </w:rPr>
        <w:t>2.第三方</w:t>
      </w:r>
      <w:r>
        <w:rPr>
          <w:rStyle w:val="38"/>
          <w:color w:val="000000"/>
          <w:u w:val="none"/>
        </w:rPr>
        <w:t>数据调查公司</w:t>
      </w:r>
      <w:r>
        <w:rPr>
          <w:rStyle w:val="38"/>
          <w:rFonts w:hint="eastAsia"/>
          <w:color w:val="000000"/>
          <w:u w:val="none"/>
        </w:rPr>
        <w:t>（新锦成</w:t>
      </w:r>
      <w:r>
        <w:rPr>
          <w:rStyle w:val="38"/>
          <w:color w:val="000000"/>
          <w:u w:val="none"/>
        </w:rPr>
        <w:t>）</w:t>
      </w:r>
      <w:r>
        <w:rPr>
          <w:rStyle w:val="38"/>
          <w:rFonts w:hint="eastAsia"/>
          <w:color w:val="000000"/>
          <w:u w:val="none"/>
        </w:rPr>
        <w:t>调研</w:t>
      </w:r>
      <w:r>
        <w:rPr>
          <w:rStyle w:val="38"/>
          <w:color w:val="000000"/>
          <w:u w:val="none"/>
        </w:rPr>
        <w:t>数据</w:t>
      </w:r>
      <w:r>
        <w:rPr>
          <w:rStyle w:val="38"/>
          <w:rFonts w:hint="eastAsia"/>
          <w:color w:val="000000"/>
          <w:u w:val="none"/>
        </w:rPr>
        <w:t>。调研</w:t>
      </w:r>
      <w:r>
        <w:rPr>
          <w:rStyle w:val="38"/>
          <w:color w:val="000000"/>
          <w:u w:val="none"/>
        </w:rPr>
        <w:t>面向</w:t>
      </w:r>
      <w:r>
        <w:rPr>
          <w:rStyle w:val="38"/>
          <w:rFonts w:hint="eastAsia"/>
          <w:color w:val="000000"/>
          <w:u w:val="none"/>
        </w:rPr>
        <w:t>学校2017届</w:t>
      </w:r>
      <w:r>
        <w:rPr>
          <w:rStyle w:val="38"/>
          <w:color w:val="000000"/>
          <w:u w:val="none"/>
        </w:rPr>
        <w:t>毕业生</w:t>
      </w:r>
      <w:r>
        <w:rPr>
          <w:rStyle w:val="38"/>
          <w:rFonts w:hint="eastAsia"/>
          <w:color w:val="000000"/>
          <w:u w:val="none"/>
        </w:rPr>
        <w:t>，有效问卷</w:t>
      </w:r>
      <w:r>
        <w:rPr>
          <w:rStyle w:val="38"/>
          <w:color w:val="000000"/>
          <w:u w:val="none"/>
        </w:rPr>
        <w:t>回收率</w:t>
      </w:r>
      <w:r>
        <w:rPr>
          <w:rStyle w:val="38"/>
          <w:rFonts w:hint="eastAsia"/>
          <w:color w:val="000000"/>
          <w:u w:val="none"/>
        </w:rPr>
        <w:t>为</w:t>
      </w:r>
      <w:r>
        <w:rPr>
          <w:rStyle w:val="38"/>
          <w:color w:val="000000"/>
          <w:u w:val="none"/>
        </w:rPr>
        <w:t>49.69%</w:t>
      </w:r>
      <w:r>
        <w:rPr>
          <w:rStyle w:val="38"/>
          <w:rFonts w:hint="eastAsia"/>
          <w:color w:val="000000"/>
          <w:u w:val="none"/>
        </w:rPr>
        <w:t>；使用</w:t>
      </w:r>
      <w:r>
        <w:rPr>
          <w:rStyle w:val="38"/>
          <w:color w:val="000000"/>
          <w:u w:val="none"/>
        </w:rPr>
        <w:t>数据</w:t>
      </w:r>
      <w:r>
        <w:rPr>
          <w:rStyle w:val="38"/>
          <w:rFonts w:hint="eastAsia"/>
          <w:color w:val="000000"/>
          <w:u w:val="none"/>
        </w:rPr>
        <w:t>涉及就业</w:t>
      </w:r>
      <w:r>
        <w:rPr>
          <w:rStyle w:val="38"/>
          <w:color w:val="000000"/>
          <w:u w:val="none"/>
        </w:rPr>
        <w:t>相关分析</w:t>
      </w:r>
      <w:r>
        <w:rPr>
          <w:rStyle w:val="38"/>
          <w:rFonts w:hint="eastAsia"/>
          <w:color w:val="000000"/>
          <w:u w:val="none"/>
        </w:rPr>
        <w:t>及</w:t>
      </w:r>
      <w:r>
        <w:rPr>
          <w:rStyle w:val="38"/>
          <w:color w:val="000000"/>
          <w:u w:val="none"/>
        </w:rPr>
        <w:t>对</w:t>
      </w:r>
      <w:r>
        <w:rPr>
          <w:rStyle w:val="38"/>
          <w:rFonts w:hint="eastAsia"/>
          <w:color w:val="000000"/>
          <w:u w:val="none"/>
        </w:rPr>
        <w:t>教育</w:t>
      </w:r>
      <w:r>
        <w:rPr>
          <w:rStyle w:val="38"/>
          <w:color w:val="000000"/>
          <w:u w:val="none"/>
        </w:rPr>
        <w:t>教学的反馈部分。</w:t>
      </w:r>
    </w:p>
    <w:p>
      <w:pPr>
        <w:pStyle w:val="146"/>
        <w:spacing w:before="0" w:beforeLines="0" w:after="326" w:line="240" w:lineRule="auto"/>
        <w:rPr>
          <w:color w:val="17406D" w:themeColor="text2"/>
          <w14:textFill>
            <w14:solidFill>
              <w14:schemeClr w14:val="tx2"/>
            </w14:solidFill>
          </w14:textFill>
        </w:rPr>
      </w:pPr>
      <w:bookmarkStart w:id="9" w:name="_Toc443998732"/>
      <w:bookmarkStart w:id="10" w:name="_Toc521402008"/>
      <w:bookmarkStart w:id="11" w:name="_Toc443997605"/>
      <w:bookmarkStart w:id="12" w:name="_Toc443997301"/>
      <w:r>
        <w:rPr>
          <w:rFonts w:hint="eastAsia"/>
        </w:rPr>
        <w:t>第一篇：毕业生就业基本情况</w:t>
      </w:r>
      <w:bookmarkEnd w:id="9"/>
      <w:bookmarkEnd w:id="10"/>
      <w:bookmarkEnd w:id="11"/>
      <w:bookmarkEnd w:id="12"/>
    </w:p>
    <w:p>
      <w:pPr>
        <w:pStyle w:val="133"/>
        <w:spacing w:before="163" w:after="163"/>
      </w:pPr>
      <w:bookmarkStart w:id="13" w:name="_Toc521402009"/>
      <w:bookmarkStart w:id="14" w:name="_Toc443997606"/>
      <w:bookmarkStart w:id="15" w:name="_Toc443998733"/>
      <w:bookmarkStart w:id="16" w:name="_Toc421112581"/>
      <w:bookmarkStart w:id="17" w:name="_Toc443997302"/>
      <w:r>
        <w:rPr>
          <w:rFonts w:hint="eastAsia"/>
        </w:rPr>
        <w:t>一、毕业生的规模和结构</w:t>
      </w:r>
      <w:bookmarkEnd w:id="13"/>
      <w:bookmarkEnd w:id="14"/>
      <w:bookmarkEnd w:id="15"/>
      <w:bookmarkEnd w:id="16"/>
      <w:bookmarkEnd w:id="17"/>
    </w:p>
    <w:p>
      <w:pPr>
        <w:pStyle w:val="135"/>
        <w:spacing w:before="163" w:after="163"/>
      </w:pPr>
      <w:bookmarkStart w:id="18" w:name="_Toc443997303"/>
      <w:bookmarkStart w:id="19" w:name="_Toc443997607"/>
      <w:bookmarkStart w:id="20" w:name="_Toc521402010"/>
      <w:bookmarkStart w:id="21" w:name="_Toc443998734"/>
      <w:r>
        <w:rPr>
          <w:rFonts w:hint="eastAsia"/>
        </w:rPr>
        <w:t>（一）总体规模</w:t>
      </w:r>
      <w:bookmarkEnd w:id="18"/>
      <w:bookmarkEnd w:id="19"/>
      <w:bookmarkEnd w:id="20"/>
      <w:bookmarkEnd w:id="21"/>
    </w:p>
    <w:p>
      <w:pPr>
        <w:pStyle w:val="131"/>
        <w:rPr>
          <w:rStyle w:val="38"/>
          <w:color w:val="000000"/>
          <w:u w:val="none"/>
        </w:rPr>
      </w:pPr>
      <w:r>
        <w:rPr>
          <w:rStyle w:val="38"/>
          <w:rFonts w:hint="eastAsia"/>
          <w:color w:val="000000"/>
          <w:u w:val="none"/>
        </w:rPr>
        <w:t>盐城幼儿师范高等专科学校2017届毕业生共</w:t>
      </w:r>
      <w:r>
        <w:rPr>
          <w:rStyle w:val="38"/>
          <w:color w:val="000000"/>
          <w:u w:val="none"/>
        </w:rPr>
        <w:t>1596</w:t>
      </w:r>
      <w:r>
        <w:rPr>
          <w:rStyle w:val="38"/>
          <w:rFonts w:hint="eastAsia"/>
          <w:color w:val="000000"/>
          <w:u w:val="none"/>
        </w:rPr>
        <w:t>人。其中，男生</w:t>
      </w:r>
      <w:r>
        <w:rPr>
          <w:rStyle w:val="38"/>
          <w:color w:val="000000"/>
          <w:u w:val="none"/>
        </w:rPr>
        <w:t>427</w:t>
      </w:r>
      <w:r>
        <w:rPr>
          <w:rStyle w:val="38"/>
          <w:rFonts w:hint="eastAsia"/>
          <w:color w:val="000000"/>
          <w:u w:val="none"/>
        </w:rPr>
        <w:t>人，占毕业生总人数的</w:t>
      </w:r>
      <w:r>
        <w:rPr>
          <w:rStyle w:val="38"/>
          <w:color w:val="000000"/>
          <w:u w:val="none"/>
        </w:rPr>
        <w:t>26.75</w:t>
      </w:r>
      <w:r>
        <w:rPr>
          <w:rStyle w:val="38"/>
          <w:rFonts w:hint="eastAsia"/>
          <w:color w:val="000000"/>
          <w:u w:val="none"/>
        </w:rPr>
        <w:t>%；女生</w:t>
      </w:r>
      <w:r>
        <w:rPr>
          <w:rStyle w:val="38"/>
          <w:color w:val="000000"/>
          <w:u w:val="none"/>
        </w:rPr>
        <w:t>1169</w:t>
      </w:r>
      <w:r>
        <w:rPr>
          <w:rStyle w:val="38"/>
          <w:rFonts w:hint="eastAsia"/>
          <w:color w:val="000000"/>
          <w:u w:val="none"/>
        </w:rPr>
        <w:t>人，占毕业生总人数的</w:t>
      </w:r>
      <w:r>
        <w:rPr>
          <w:rStyle w:val="38"/>
          <w:color w:val="000000"/>
          <w:u w:val="none"/>
        </w:rPr>
        <w:t>73.25</w:t>
      </w:r>
      <w:r>
        <w:rPr>
          <w:rStyle w:val="38"/>
          <w:rFonts w:hint="eastAsia"/>
          <w:color w:val="000000"/>
          <w:u w:val="none"/>
        </w:rPr>
        <w:t>%，男女性别比为</w:t>
      </w:r>
      <w:r>
        <w:rPr>
          <w:rStyle w:val="38"/>
          <w:color w:val="000000"/>
          <w:u w:val="none"/>
        </w:rPr>
        <w:t>0.37</w:t>
      </w:r>
      <w:r>
        <w:rPr>
          <w:rStyle w:val="38"/>
          <w:rFonts w:hint="eastAsia"/>
          <w:color w:val="000000"/>
          <w:u w:val="none"/>
        </w:rPr>
        <w:t>:1，女</w:t>
      </w:r>
      <w:r>
        <w:rPr>
          <w:rStyle w:val="38"/>
          <w:color w:val="000000"/>
          <w:u w:val="none"/>
        </w:rPr>
        <w:t>生比例偏高</w:t>
      </w:r>
      <w:r>
        <w:rPr>
          <w:rStyle w:val="38"/>
          <w:rFonts w:hint="eastAsia"/>
          <w:color w:val="000000"/>
          <w:u w:val="none"/>
        </w:rPr>
        <w:t>；省内</w:t>
      </w:r>
      <w:r>
        <w:rPr>
          <w:rStyle w:val="38"/>
          <w:color w:val="000000"/>
          <w:u w:val="none"/>
        </w:rPr>
        <w:t>生源</w:t>
      </w:r>
      <w:r>
        <w:rPr>
          <w:rStyle w:val="38"/>
          <w:rFonts w:hint="eastAsia"/>
          <w:color w:val="000000"/>
          <w:u w:val="none"/>
        </w:rPr>
        <w:t>为主</w:t>
      </w:r>
      <w:r>
        <w:rPr>
          <w:rStyle w:val="38"/>
          <w:color w:val="000000"/>
          <w:u w:val="none"/>
        </w:rPr>
        <w:t>，共1586</w:t>
      </w:r>
      <w:r>
        <w:rPr>
          <w:rStyle w:val="38"/>
          <w:rFonts w:hint="eastAsia"/>
          <w:color w:val="000000"/>
          <w:u w:val="none"/>
        </w:rPr>
        <w:t>人</w:t>
      </w:r>
      <w:r>
        <w:rPr>
          <w:rStyle w:val="38"/>
          <w:color w:val="000000"/>
          <w:u w:val="none"/>
        </w:rPr>
        <w:t>，</w:t>
      </w:r>
      <w:r>
        <w:rPr>
          <w:rStyle w:val="38"/>
          <w:rFonts w:hint="eastAsia"/>
          <w:color w:val="000000"/>
          <w:u w:val="none"/>
        </w:rPr>
        <w:t>占比为</w:t>
      </w:r>
      <w:r>
        <w:rPr>
          <w:rStyle w:val="38"/>
          <w:color w:val="000000"/>
          <w:u w:val="none"/>
        </w:rPr>
        <w:t>99.37%</w:t>
      </w:r>
      <w:r>
        <w:rPr>
          <w:rStyle w:val="38"/>
          <w:rFonts w:hint="eastAsia"/>
          <w:color w:val="000000"/>
          <w:u w:val="none"/>
        </w:rPr>
        <w:t>。</w:t>
      </w:r>
    </w:p>
    <w:p>
      <w:pPr>
        <w:pStyle w:val="131"/>
        <w:ind w:firstLine="360" w:firstLineChars="150"/>
        <w:rPr>
          <w:rFonts w:cs="Times New Roman"/>
          <w:color w:val="auto"/>
        </w:rPr>
      </w:pPr>
      <w:r>
        <mc:AlternateContent>
          <mc:Choice Requires="wps">
            <w:drawing>
              <wp:anchor distT="0" distB="0" distL="114300" distR="114300" simplePos="0" relativeHeight="251729920" behindDoc="0" locked="0" layoutInCell="1" allowOverlap="1">
                <wp:simplePos x="0" y="0"/>
                <wp:positionH relativeFrom="column">
                  <wp:posOffset>291465</wp:posOffset>
                </wp:positionH>
                <wp:positionV relativeFrom="paragraph">
                  <wp:posOffset>721995</wp:posOffset>
                </wp:positionV>
                <wp:extent cx="2136140" cy="8096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136140" cy="809625"/>
                        </a:xfrm>
                        <a:prstGeom prst="rect">
                          <a:avLst/>
                        </a:prstGeom>
                        <a:noFill/>
                        <a:ln w="6350">
                          <a:noFill/>
                        </a:ln>
                        <a:effectLst/>
                      </wps:spPr>
                      <wps:txbx>
                        <w:txbxContent>
                          <w:p>
                            <w:pPr>
                              <w:spacing w:line="120" w:lineRule="atLeast"/>
                              <w:ind w:firstLine="0" w:firstLineChars="0"/>
                              <w:jc w:val="center"/>
                              <w:rPr>
                                <w:rFonts w:ascii="微软雅黑" w:hAnsi="微软雅黑" w:eastAsia="微软雅黑"/>
                                <w:sz w:val="28"/>
                              </w:rPr>
                            </w:pPr>
                            <w:r>
                              <w:rPr>
                                <w:rFonts w:hint="eastAsia" w:ascii="微软雅黑" w:hAnsi="微软雅黑" w:eastAsia="微软雅黑"/>
                                <w:sz w:val="28"/>
                              </w:rPr>
                              <w:t>男生</w:t>
                            </w:r>
                            <w:r>
                              <w:rPr>
                                <w:rFonts w:ascii="微软雅黑" w:hAnsi="微软雅黑" w:eastAsia="微软雅黑"/>
                                <w:sz w:val="28"/>
                              </w:rPr>
                              <w:t>：女生</w:t>
                            </w:r>
                          </w:p>
                          <w:p>
                            <w:pPr>
                              <w:spacing w:line="0" w:lineRule="atLeast"/>
                              <w:ind w:firstLine="0" w:firstLineChars="0"/>
                              <w:jc w:val="center"/>
                              <w:rPr>
                                <w:rFonts w:ascii="微软雅黑" w:hAnsi="微软雅黑" w:eastAsia="微软雅黑"/>
                                <w:b/>
                                <w:sz w:val="28"/>
                              </w:rPr>
                            </w:pPr>
                            <w:r>
                              <w:rPr>
                                <w:rFonts w:ascii="Times New Roman" w:hAnsi="Times New Roman" w:eastAsia="微软雅黑"/>
                                <w:b/>
                                <w:color w:val="009DD9" w:themeColor="accent2"/>
                                <w:sz w:val="36"/>
                                <w14:textFill>
                                  <w14:solidFill>
                                    <w14:schemeClr w14:val="accent2"/>
                                  </w14:solidFill>
                                </w14:textFill>
                              </w:rPr>
                              <w:t>0</w:t>
                            </w:r>
                            <w:r>
                              <w:rPr>
                                <w:rFonts w:ascii="微软雅黑" w:hAnsi="微软雅黑" w:eastAsia="微软雅黑"/>
                                <w:b/>
                                <w:color w:val="009DD9" w:themeColor="accent2"/>
                                <w:sz w:val="36"/>
                                <w14:textFill>
                                  <w14:solidFill>
                                    <w14:schemeClr w14:val="accent2"/>
                                  </w14:solidFill>
                                </w14:textFill>
                              </w:rPr>
                              <w:t>.</w:t>
                            </w:r>
                            <w:r>
                              <w:rPr>
                                <w:rFonts w:ascii="Times New Roman" w:hAnsi="Times New Roman" w:eastAsia="微软雅黑"/>
                                <w:b/>
                                <w:color w:val="009DD9" w:themeColor="accent2"/>
                                <w:sz w:val="36"/>
                                <w14:textFill>
                                  <w14:solidFill>
                                    <w14:schemeClr w14:val="accent2"/>
                                  </w14:solidFill>
                                </w14:textFill>
                              </w:rPr>
                              <w:t>37</w:t>
                            </w:r>
                            <w:r>
                              <w:rPr>
                                <w:rFonts w:hint="eastAsia" w:ascii="微软雅黑" w:hAnsi="微软雅黑" w:eastAsia="微软雅黑"/>
                                <w:b/>
                                <w:sz w:val="28"/>
                              </w:rPr>
                              <w:t>:</w:t>
                            </w:r>
                            <w:r>
                              <w:rPr>
                                <w:rFonts w:hint="eastAsia" w:ascii="Times New Roman" w:hAnsi="Times New Roman" w:eastAsia="微软雅黑"/>
                                <w:b/>
                                <w:sz w:val="2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56.85pt;height:63.75pt;width:168.2pt;z-index:251729920;mso-width-relative:page;mso-height-relative:page;" filled="f" stroked="f" coordsize="21600,21600" o:gfxdata="UEsDBAoAAAAAAIdO4kAAAAAAAAAAAAAAAAAEAAAAZHJzL1BLAwQUAAAACACHTuJAK7a6AdwAAAAK&#10;AQAADwAAAGRycy9kb3ducmV2LnhtbE2Py07DMBBF90j8gzVI7KgTp6UhxKlQpAoJwaKlm+6c2E0i&#10;7HGI3Qd8PcMKljNzdOfccnVxlp3MFAaPEtJZAsxg6/WAnYTd+/ouBxaiQq2sRyPhywRYVddXpSq0&#10;P+PGnLaxYxSCoVAS+hjHgvPQ9sapMPOjQbod/ORUpHHquJ7UmcKd5SJJ7rlTA9KHXo2m7k37sT06&#10;CS/1+k1tGuHyb1s/vx6exs/dfiHl7U2aPAKL5hL/YPjVJ3WoyKnxR9SBWQnzxQORtE+zJTACslxk&#10;wBoJYp4K4FXJ/1eofgBQSwMEFAAAAAgAh07iQCvzvqklAgAAKAQAAA4AAABkcnMvZTJvRG9jLnht&#10;bK1TzY7TMBC+I/EOlu80Tbctu1XTVdlVEVLFrlQQZ9exm0i2x9huk/IA8AZ74sKd5+pzMHbabgWc&#10;EBdn/vLNzDcz09tWK7ITztdgCpr3+pQIw6GszaagHz8sXl1T4gMzJVNgREH3wtPb2csX08ZOxAAq&#10;UKVwBEGMnzS2oFUIdpJlnldCM98DKww6JTjNAqpuk5WONYiuVTbo98dZA660DrjwHq33nZPOEr6U&#10;gocHKb0IRBUUawvpdeldxzebTdlk45itan4sg/1DFZrVBpOeoe5ZYGTr6j+gdM0deJChx0FnIGXN&#10;ReoBu8n7v3WzqpgVqRckx9szTf7/wfL3u0dH6rKgQ6THMI0zOjx9O3z/efjxlaANCWqsn2DcymJk&#10;aN9Ai4M+2T0aY9+tdDp+sSOCfsTan+kVbSAcjYP8apzHNBx91/2b8WAUYbLnv63z4a0ATaJQUIfj&#10;S6yy3dKHLvQUEpMZWNRKpREqQ5qCjq9G/fTD2YPgysRYkZbhCBM76iqPUmjX7bHNNZR77NJBtyje&#10;8kWNpSyZD4/M4WZg9bjt4QEfqQBTwlGipAL35W/2GI8DQy8lDW5aQf3nLXOCEvXO4Chv8mEkJSRl&#10;OHo9QMVdetaXHrPVd4DLnONdWZ7EGB/USZQO9Cc8innMii5mOOYuaDiJd6HbfzwqLubzFITLaFlY&#10;mpXlEbojd74NIOvEe6Sp4wbnFRVcxzS54+nEfb/UU9Tzgc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u2ugHcAAAACgEAAA8AAAAAAAAAAQAgAAAAIgAAAGRycy9kb3ducmV2LnhtbFBLAQIUABQA&#10;AAAIAIdO4kAr876pJQIAACgEAAAOAAAAAAAAAAEAIAAAACsBAABkcnMvZTJvRG9jLnhtbFBLBQYA&#10;AAAABgAGAFkBAADCBQAAAAA=&#10;">
                <v:fill on="f" focussize="0,0"/>
                <v:stroke on="f" weight="0.5pt"/>
                <v:imagedata o:title=""/>
                <o:lock v:ext="edit" aspectratio="f"/>
                <v:textbox>
                  <w:txbxContent>
                    <w:p>
                      <w:pPr>
                        <w:spacing w:line="120" w:lineRule="atLeast"/>
                        <w:ind w:firstLine="0" w:firstLineChars="0"/>
                        <w:jc w:val="center"/>
                        <w:rPr>
                          <w:rFonts w:ascii="微软雅黑" w:hAnsi="微软雅黑" w:eastAsia="微软雅黑"/>
                          <w:sz w:val="28"/>
                        </w:rPr>
                      </w:pPr>
                      <w:r>
                        <w:rPr>
                          <w:rFonts w:hint="eastAsia" w:ascii="微软雅黑" w:hAnsi="微软雅黑" w:eastAsia="微软雅黑"/>
                          <w:sz w:val="28"/>
                        </w:rPr>
                        <w:t>男生</w:t>
                      </w:r>
                      <w:r>
                        <w:rPr>
                          <w:rFonts w:ascii="微软雅黑" w:hAnsi="微软雅黑" w:eastAsia="微软雅黑"/>
                          <w:sz w:val="28"/>
                        </w:rPr>
                        <w:t>：女生</w:t>
                      </w:r>
                    </w:p>
                    <w:p>
                      <w:pPr>
                        <w:spacing w:line="0" w:lineRule="atLeast"/>
                        <w:ind w:firstLine="0" w:firstLineChars="0"/>
                        <w:jc w:val="center"/>
                        <w:rPr>
                          <w:rFonts w:ascii="微软雅黑" w:hAnsi="微软雅黑" w:eastAsia="微软雅黑"/>
                          <w:b/>
                          <w:sz w:val="28"/>
                        </w:rPr>
                      </w:pPr>
                      <w:r>
                        <w:rPr>
                          <w:rFonts w:ascii="Times New Roman" w:hAnsi="Times New Roman" w:eastAsia="微软雅黑"/>
                          <w:b/>
                          <w:color w:val="009DD9" w:themeColor="accent2"/>
                          <w:sz w:val="36"/>
                          <w14:textFill>
                            <w14:solidFill>
                              <w14:schemeClr w14:val="accent2"/>
                            </w14:solidFill>
                          </w14:textFill>
                        </w:rPr>
                        <w:t>0</w:t>
                      </w:r>
                      <w:r>
                        <w:rPr>
                          <w:rFonts w:ascii="微软雅黑" w:hAnsi="微软雅黑" w:eastAsia="微软雅黑"/>
                          <w:b/>
                          <w:color w:val="009DD9" w:themeColor="accent2"/>
                          <w:sz w:val="36"/>
                          <w14:textFill>
                            <w14:solidFill>
                              <w14:schemeClr w14:val="accent2"/>
                            </w14:solidFill>
                          </w14:textFill>
                        </w:rPr>
                        <w:t>.</w:t>
                      </w:r>
                      <w:r>
                        <w:rPr>
                          <w:rFonts w:ascii="Times New Roman" w:hAnsi="Times New Roman" w:eastAsia="微软雅黑"/>
                          <w:b/>
                          <w:color w:val="009DD9" w:themeColor="accent2"/>
                          <w:sz w:val="36"/>
                          <w14:textFill>
                            <w14:solidFill>
                              <w14:schemeClr w14:val="accent2"/>
                            </w14:solidFill>
                          </w14:textFill>
                        </w:rPr>
                        <w:t>37</w:t>
                      </w:r>
                      <w:r>
                        <w:rPr>
                          <w:rFonts w:hint="eastAsia" w:ascii="微软雅黑" w:hAnsi="微软雅黑" w:eastAsia="微软雅黑"/>
                          <w:b/>
                          <w:sz w:val="28"/>
                        </w:rPr>
                        <w:t>:</w:t>
                      </w:r>
                      <w:r>
                        <w:rPr>
                          <w:rFonts w:hint="eastAsia" w:ascii="Times New Roman" w:hAnsi="Times New Roman" w:eastAsia="微软雅黑"/>
                          <w:b/>
                          <w:sz w:val="28"/>
                        </w:rPr>
                        <w:t>1</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2967990</wp:posOffset>
                </wp:positionH>
                <wp:positionV relativeFrom="paragraph">
                  <wp:posOffset>721995</wp:posOffset>
                </wp:positionV>
                <wp:extent cx="2136140" cy="8763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136140" cy="876300"/>
                        </a:xfrm>
                        <a:prstGeom prst="rect">
                          <a:avLst/>
                        </a:prstGeom>
                        <a:noFill/>
                        <a:ln w="6350">
                          <a:noFill/>
                        </a:ln>
                        <a:effectLst/>
                      </wps:spPr>
                      <wps:txbx>
                        <w:txbxContent>
                          <w:p>
                            <w:pPr>
                              <w:spacing w:line="120" w:lineRule="atLeast"/>
                              <w:ind w:firstLine="0" w:firstLineChars="0"/>
                              <w:jc w:val="center"/>
                              <w:rPr>
                                <w:rFonts w:ascii="微软雅黑" w:hAnsi="微软雅黑" w:eastAsia="微软雅黑"/>
                                <w:b/>
                                <w:sz w:val="28"/>
                              </w:rPr>
                            </w:pPr>
                            <w:r>
                              <w:rPr>
                                <w:rFonts w:hint="eastAsia" w:ascii="微软雅黑" w:hAnsi="微软雅黑" w:eastAsia="微软雅黑"/>
                                <w:sz w:val="28"/>
                              </w:rPr>
                              <w:t>省内</w:t>
                            </w:r>
                            <w:r>
                              <w:rPr>
                                <w:rFonts w:ascii="微软雅黑" w:hAnsi="微软雅黑" w:eastAsia="微软雅黑"/>
                                <w:sz w:val="28"/>
                              </w:rPr>
                              <w:t>：</w:t>
                            </w:r>
                            <w:r>
                              <w:rPr>
                                <w:rFonts w:hint="eastAsia" w:ascii="微软雅黑" w:hAnsi="微软雅黑" w:eastAsia="微软雅黑"/>
                                <w:sz w:val="28"/>
                              </w:rPr>
                              <w:t>省外</w:t>
                            </w:r>
                          </w:p>
                          <w:p>
                            <w:pPr>
                              <w:spacing w:line="0" w:lineRule="atLeast"/>
                              <w:ind w:firstLine="0" w:firstLineChars="0"/>
                              <w:jc w:val="center"/>
                              <w:rPr>
                                <w:rFonts w:ascii="微软雅黑" w:hAnsi="微软雅黑" w:eastAsia="微软雅黑"/>
                                <w:b/>
                                <w:sz w:val="28"/>
                              </w:rPr>
                            </w:pPr>
                            <w:r>
                              <w:rPr>
                                <w:rFonts w:ascii="Times New Roman" w:hAnsi="Times New Roman" w:eastAsia="微软雅黑"/>
                                <w:b/>
                                <w:color w:val="009DD9" w:themeColor="accent2"/>
                                <w:sz w:val="36"/>
                                <w14:textFill>
                                  <w14:solidFill>
                                    <w14:schemeClr w14:val="accent2"/>
                                  </w14:solidFill>
                                </w14:textFill>
                              </w:rPr>
                              <w:t>158</w:t>
                            </w:r>
                            <w:r>
                              <w:rPr>
                                <w:rFonts w:ascii="微软雅黑" w:hAnsi="微软雅黑" w:eastAsia="微软雅黑"/>
                                <w:b/>
                                <w:color w:val="009DD9" w:themeColor="accent2"/>
                                <w:sz w:val="36"/>
                                <w14:textFill>
                                  <w14:solidFill>
                                    <w14:schemeClr w14:val="accent2"/>
                                  </w14:solidFill>
                                </w14:textFill>
                              </w:rPr>
                              <w:t>.</w:t>
                            </w:r>
                            <w:r>
                              <w:rPr>
                                <w:rFonts w:ascii="Times New Roman" w:hAnsi="Times New Roman" w:eastAsia="微软雅黑"/>
                                <w:b/>
                                <w:color w:val="009DD9" w:themeColor="accent2"/>
                                <w:sz w:val="36"/>
                                <w14:textFill>
                                  <w14:solidFill>
                                    <w14:schemeClr w14:val="accent2"/>
                                  </w14:solidFill>
                                </w14:textFill>
                              </w:rPr>
                              <w:t>60</w:t>
                            </w:r>
                            <w:r>
                              <w:rPr>
                                <w:rFonts w:hint="eastAsia" w:ascii="微软雅黑" w:hAnsi="微软雅黑" w:eastAsia="微软雅黑"/>
                                <w:b/>
                                <w:sz w:val="28"/>
                              </w:rPr>
                              <w:t>:</w:t>
                            </w:r>
                            <w:r>
                              <w:rPr>
                                <w:rFonts w:hint="eastAsia" w:ascii="Times New Roman" w:hAnsi="Times New Roman" w:eastAsia="微软雅黑"/>
                                <w:b/>
                                <w:sz w:val="2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pt;margin-top:56.85pt;height:69pt;width:168.2pt;z-index:251731968;mso-width-relative:page;mso-height-relative:page;" filled="f" stroked="f" coordsize="21600,21600" o:gfxdata="UEsDBAoAAAAAAIdO4kAAAAAAAAAAAAAAAAAEAAAAZHJzL1BLAwQUAAAACACHTuJAVj39XtsAAAAL&#10;AQAADwAAAGRycy9kb3ducmV2LnhtbE2Py07DMBBF90j8gzVI7Kid9JEoxKlQpAoJwaKlG3aT2E0i&#10;/Aix+4CvZ1iV5ege3Tm3XF+sYSc9hcE7CclMANOu9WpwnYT9++YhBxYiOoXGOy3hWwdYV7c3JRbK&#10;n91Wn3axY1TiQoES+hjHgvPQ9tpimPlRO8oOfrIY6Zw6riY8U7k1PBVixS0Ojj70OOq61+3n7mgl&#10;vNSbN9w2qc1/TP38engav/YfSynv7xLxCCzqS7zC8KdP6lCRU+OPTgVmJCxW2YJQCpJ5BoyIXMxp&#10;TCMhXSYZ8Krk/zdUv1BLAwQUAAAACACHTuJAyJjKeCcCAAAoBAAADgAAAGRycy9lMm9Eb2MueG1s&#10;rVPNjtMwEL4j8Q6W7zRN/3a3aroquypCWrErFcTZdewmku0xttukPAC8AScu3HmuPgdjp+1WwAlx&#10;cWbmm8zPNzOz21YrshPO12AKmvf6lAjDoazNpqAf3i9fXVPiAzMlU2BEQffC09v5yxezxk7FACpQ&#10;pXAEgxg/bWxBqxDsNMs8r4RmvgdWGAQlOM0Cqm6TlY41GF2rbNDvT7IGXGkdcOE9Wu87kM5TfCkF&#10;D49SehGIKijWFtLr0ruObzafsenGMVvV/FgG+4cqNKsNJj2HumeBka2r/wila+7Agww9DjoDKWsu&#10;Ug/YTd7/rZtVxaxIvSA53p5p8v8vLH+3e3KkLgs6vqHEMI0zOnz7evj+8/DjC0EbEtRYP0W/lUXP&#10;0L6GFgd9sns0xr5b6XT8YkcEcaR6f6ZXtIFwNA7y4SQfIcQRu76aDPuJ/+z5b+t8eCNAkygU1OH4&#10;Eqts9+ADVoKuJ5eYzMCyViqNUBnSFHQyHPfTD2cE/1Am+oq0DMcwsaOu8iiFdt0e21xDuccuHXSL&#10;4i1f1ljKA/PhiTncDKwetz084iMVYEo4SpRU4D7/zR79cWCIUtLgphXUf9oyJyhRbw2O8iYfRVJC&#10;UkbjqwEq7hJZXyJmq+8AlznHu7I8idE/qJMoHeiPeBSLmBUhZjjmLmg4iXeh2388Ki4Wi+SEy2hZ&#10;eDAry2PojtzFNoCsE++Rpo4bHEJUcB3TOI6nE/f9Uk9ezwc+/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Pf1e2wAAAAsBAAAPAAAAAAAAAAEAIAAAACIAAABkcnMvZG93bnJldi54bWxQSwECFAAU&#10;AAAACACHTuJAyJjKeCcCAAAoBAAADgAAAAAAAAABACAAAAAqAQAAZHJzL2Uyb0RvYy54bWxQSwUG&#10;AAAAAAYABgBZAQAAwwUAAAAA&#10;">
                <v:fill on="f" focussize="0,0"/>
                <v:stroke on="f" weight="0.5pt"/>
                <v:imagedata o:title=""/>
                <o:lock v:ext="edit" aspectratio="f"/>
                <v:textbox>
                  <w:txbxContent>
                    <w:p>
                      <w:pPr>
                        <w:spacing w:line="120" w:lineRule="atLeast"/>
                        <w:ind w:firstLine="0" w:firstLineChars="0"/>
                        <w:jc w:val="center"/>
                        <w:rPr>
                          <w:rFonts w:ascii="微软雅黑" w:hAnsi="微软雅黑" w:eastAsia="微软雅黑"/>
                          <w:b/>
                          <w:sz w:val="28"/>
                        </w:rPr>
                      </w:pPr>
                      <w:r>
                        <w:rPr>
                          <w:rFonts w:hint="eastAsia" w:ascii="微软雅黑" w:hAnsi="微软雅黑" w:eastAsia="微软雅黑"/>
                          <w:sz w:val="28"/>
                        </w:rPr>
                        <w:t>省内</w:t>
                      </w:r>
                      <w:r>
                        <w:rPr>
                          <w:rFonts w:ascii="微软雅黑" w:hAnsi="微软雅黑" w:eastAsia="微软雅黑"/>
                          <w:sz w:val="28"/>
                        </w:rPr>
                        <w:t>：</w:t>
                      </w:r>
                      <w:r>
                        <w:rPr>
                          <w:rFonts w:hint="eastAsia" w:ascii="微软雅黑" w:hAnsi="微软雅黑" w:eastAsia="微软雅黑"/>
                          <w:sz w:val="28"/>
                        </w:rPr>
                        <w:t>省外</w:t>
                      </w:r>
                    </w:p>
                    <w:p>
                      <w:pPr>
                        <w:spacing w:line="0" w:lineRule="atLeast"/>
                        <w:ind w:firstLine="0" w:firstLineChars="0"/>
                        <w:jc w:val="center"/>
                        <w:rPr>
                          <w:rFonts w:ascii="微软雅黑" w:hAnsi="微软雅黑" w:eastAsia="微软雅黑"/>
                          <w:b/>
                          <w:sz w:val="28"/>
                        </w:rPr>
                      </w:pPr>
                      <w:r>
                        <w:rPr>
                          <w:rFonts w:ascii="Times New Roman" w:hAnsi="Times New Roman" w:eastAsia="微软雅黑"/>
                          <w:b/>
                          <w:color w:val="009DD9" w:themeColor="accent2"/>
                          <w:sz w:val="36"/>
                          <w14:textFill>
                            <w14:solidFill>
                              <w14:schemeClr w14:val="accent2"/>
                            </w14:solidFill>
                          </w14:textFill>
                        </w:rPr>
                        <w:t>158</w:t>
                      </w:r>
                      <w:r>
                        <w:rPr>
                          <w:rFonts w:ascii="微软雅黑" w:hAnsi="微软雅黑" w:eastAsia="微软雅黑"/>
                          <w:b/>
                          <w:color w:val="009DD9" w:themeColor="accent2"/>
                          <w:sz w:val="36"/>
                          <w14:textFill>
                            <w14:solidFill>
                              <w14:schemeClr w14:val="accent2"/>
                            </w14:solidFill>
                          </w14:textFill>
                        </w:rPr>
                        <w:t>.</w:t>
                      </w:r>
                      <w:r>
                        <w:rPr>
                          <w:rFonts w:ascii="Times New Roman" w:hAnsi="Times New Roman" w:eastAsia="微软雅黑"/>
                          <w:b/>
                          <w:color w:val="009DD9" w:themeColor="accent2"/>
                          <w:sz w:val="36"/>
                          <w14:textFill>
                            <w14:solidFill>
                              <w14:schemeClr w14:val="accent2"/>
                            </w14:solidFill>
                          </w14:textFill>
                        </w:rPr>
                        <w:t>60</w:t>
                      </w:r>
                      <w:r>
                        <w:rPr>
                          <w:rFonts w:hint="eastAsia" w:ascii="微软雅黑" w:hAnsi="微软雅黑" w:eastAsia="微软雅黑"/>
                          <w:b/>
                          <w:sz w:val="28"/>
                        </w:rPr>
                        <w:t>:</w:t>
                      </w:r>
                      <w:r>
                        <w:rPr>
                          <w:rFonts w:hint="eastAsia" w:ascii="Times New Roman" w:hAnsi="Times New Roman" w:eastAsia="微软雅黑"/>
                          <w:b/>
                          <w:sz w:val="28"/>
                        </w:rPr>
                        <w:t>1</w:t>
                      </w:r>
                    </w:p>
                  </w:txbxContent>
                </v:textbox>
              </v:shape>
            </w:pict>
          </mc:Fallback>
        </mc:AlternateContent>
      </w:r>
      <w:r>
        <w:rPr>
          <w:rFonts w:hint="eastAsia" w:cs="Times New Roman"/>
          <w:color w:val="auto"/>
        </w:rPr>
        <w:t xml:space="preserve"> </w:t>
      </w:r>
      <w:r>
        <w:drawing>
          <wp:inline distT="0" distB="0" distL="0" distR="0">
            <wp:extent cx="2125980" cy="2190115"/>
            <wp:effectExtent l="0" t="0" r="7620" b="63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cs="Times New Roman"/>
          <w:color w:val="auto"/>
        </w:rPr>
        <w:t xml:space="preserve">       </w:t>
      </w:r>
      <w:r>
        <w:drawing>
          <wp:inline distT="0" distB="0" distL="0" distR="0">
            <wp:extent cx="2125980" cy="2190115"/>
            <wp:effectExtent l="0" t="0" r="7620" b="635"/>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37"/>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w:t>
      </w:r>
      <w:r>
        <w:fldChar w:fldCharType="end"/>
      </w:r>
      <w:r>
        <w:t xml:space="preserve">  </w:t>
      </w:r>
      <w:r>
        <w:rPr>
          <w:rFonts w:hint="eastAsia"/>
        </w:rPr>
        <w:t>2017届</w:t>
      </w:r>
      <w:r>
        <w:t>毕业生</w:t>
      </w:r>
      <w:r>
        <w:rPr>
          <w:rFonts w:hint="eastAsia"/>
        </w:rPr>
        <w:t>男女</w:t>
      </w:r>
      <w:r>
        <w:t>比例</w:t>
      </w:r>
      <w:r>
        <w:rPr>
          <w:rFonts w:hint="eastAsia"/>
        </w:rPr>
        <w:t xml:space="preserve">         图1- </w:t>
      </w:r>
      <w:r>
        <w:fldChar w:fldCharType="begin"/>
      </w:r>
      <w:r>
        <w:instrText xml:space="preserve"> </w:instrText>
      </w:r>
      <w:r>
        <w:rPr>
          <w:rFonts w:hint="eastAsia"/>
        </w:rPr>
        <w:instrText xml:space="preserve">SEQ 图1- \* ARABIC</w:instrText>
      </w:r>
      <w:r>
        <w:instrText xml:space="preserve"> </w:instrText>
      </w:r>
      <w:r>
        <w:fldChar w:fldCharType="separate"/>
      </w:r>
      <w:r>
        <w:t>2</w:t>
      </w:r>
      <w:r>
        <w:fldChar w:fldCharType="end"/>
      </w:r>
      <w:r>
        <w:rPr>
          <w:rFonts w:hint="eastAsia"/>
        </w:rPr>
        <w:t xml:space="preserve">  2017届</w:t>
      </w:r>
      <w:r>
        <w:t>毕业生</w:t>
      </w:r>
      <w:r>
        <w:rPr>
          <w:rFonts w:hint="eastAsia"/>
        </w:rPr>
        <w:t>省内外生源</w:t>
      </w:r>
      <w:r>
        <w:t>比例</w:t>
      </w:r>
    </w:p>
    <w:p>
      <w:pPr>
        <w:pStyle w:val="137"/>
      </w:pPr>
      <w:bookmarkStart w:id="22" w:name="_Toc443997608"/>
      <w:bookmarkStart w:id="23" w:name="_Toc443998735"/>
      <w:bookmarkStart w:id="24" w:name="_Toc443997304"/>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1</w:t>
      </w:r>
      <w:r>
        <w:fldChar w:fldCharType="end"/>
      </w:r>
      <w:r>
        <w:t xml:space="preserve">  2017</w:t>
      </w:r>
      <w:r>
        <w:rPr>
          <w:rFonts w:hint="eastAsia"/>
        </w:rPr>
        <w:t>届</w:t>
      </w:r>
      <w:r>
        <w:t>毕业生</w:t>
      </w:r>
      <w:r>
        <w:rPr>
          <w:rFonts w:hint="eastAsia"/>
        </w:rPr>
        <w:t>男女生及省内外生源分布</w:t>
      </w:r>
    </w:p>
    <w:tbl>
      <w:tblPr>
        <w:tblStyle w:val="110"/>
        <w:tblW w:w="8778" w:type="dxa"/>
        <w:jc w:val="center"/>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1755"/>
        <w:gridCol w:w="1755"/>
        <w:gridCol w:w="1756"/>
        <w:gridCol w:w="1756"/>
        <w:gridCol w:w="1756"/>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jc w:val="center"/>
        </w:trPr>
        <w:tc>
          <w:tcPr>
            <w:tcW w:w="1755"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41"/>
              <w:rPr>
                <w:b w:val="0"/>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类别</w:t>
            </w:r>
          </w:p>
        </w:tc>
        <w:tc>
          <w:tcPr>
            <w:tcW w:w="1755"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41"/>
              <w:rPr>
                <w:b w:val="0"/>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男生</w:t>
            </w:r>
          </w:p>
        </w:tc>
        <w:tc>
          <w:tcPr>
            <w:tcW w:w="1756"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41"/>
              <w:rPr>
                <w:b w:val="0"/>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女生</w:t>
            </w:r>
          </w:p>
        </w:tc>
        <w:tc>
          <w:tcPr>
            <w:tcW w:w="1756"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pStyle w:val="141"/>
              <w:rPr>
                <w:b w:val="0"/>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省内生源</w:t>
            </w:r>
          </w:p>
        </w:tc>
        <w:tc>
          <w:tcPr>
            <w:tcW w:w="1756"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pStyle w:val="141"/>
              <w:rPr>
                <w:b w:val="0"/>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省外生源</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jc w:val="center"/>
        </w:trPr>
        <w:tc>
          <w:tcPr>
            <w:tcW w:w="1755" w:type="dxa"/>
            <w:shd w:val="clear" w:color="auto" w:fill="C7E2FA" w:themeFill="accent1" w:themeFillTint="33"/>
            <w:vAlign w:val="center"/>
          </w:tcPr>
          <w:p>
            <w:pPr>
              <w:spacing w:line="240" w:lineRule="auto"/>
              <w:ind w:firstLine="0" w:firstLineChars="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人数</w:t>
            </w:r>
          </w:p>
        </w:tc>
        <w:tc>
          <w:tcPr>
            <w:tcW w:w="1755" w:type="dxa"/>
            <w:shd w:val="clear" w:color="auto" w:fill="C7E2FA" w:themeFill="accent1" w:themeFillTint="33"/>
            <w:vAlign w:val="center"/>
          </w:tcPr>
          <w:p>
            <w:pPr>
              <w:pStyle w:val="141"/>
              <w:rPr>
                <w:rFonts w:cstheme="minorBidi"/>
                <w:color w:val="000000"/>
                <w:kern w:val="0"/>
                <w:szCs w:val="21"/>
              </w:rPr>
            </w:pPr>
            <w:r>
              <w:rPr>
                <w:rFonts w:cstheme="minorBidi"/>
                <w:color w:val="000000"/>
                <w:kern w:val="0"/>
                <w:szCs w:val="21"/>
              </w:rPr>
              <w:t>427</w:t>
            </w:r>
          </w:p>
        </w:tc>
        <w:tc>
          <w:tcPr>
            <w:tcW w:w="1756" w:type="dxa"/>
            <w:shd w:val="clear" w:color="auto" w:fill="C7E2FA" w:themeFill="accent1" w:themeFillTint="33"/>
            <w:vAlign w:val="center"/>
          </w:tcPr>
          <w:p>
            <w:pPr>
              <w:pStyle w:val="141"/>
              <w:rPr>
                <w:rFonts w:cstheme="minorBidi"/>
                <w:color w:val="000000"/>
                <w:kern w:val="0"/>
                <w:szCs w:val="21"/>
              </w:rPr>
            </w:pPr>
            <w:r>
              <w:rPr>
                <w:rFonts w:cstheme="minorBidi"/>
                <w:color w:val="000000"/>
                <w:kern w:val="0"/>
                <w:szCs w:val="21"/>
              </w:rPr>
              <w:t>1169</w:t>
            </w:r>
          </w:p>
        </w:tc>
        <w:tc>
          <w:tcPr>
            <w:tcW w:w="1756" w:type="dxa"/>
            <w:shd w:val="clear" w:color="auto" w:fill="C7E2FA" w:themeFill="accent1" w:themeFillTint="33"/>
            <w:vAlign w:val="center"/>
          </w:tcPr>
          <w:p>
            <w:pPr>
              <w:pStyle w:val="141"/>
              <w:rPr>
                <w:rFonts w:cstheme="minorBidi"/>
                <w:color w:val="000000"/>
                <w:kern w:val="0"/>
                <w:szCs w:val="21"/>
              </w:rPr>
            </w:pPr>
            <w:r>
              <w:rPr>
                <w:rFonts w:cstheme="minorBidi"/>
                <w:color w:val="000000"/>
                <w:kern w:val="0"/>
                <w:szCs w:val="21"/>
              </w:rPr>
              <w:t>1586</w:t>
            </w:r>
          </w:p>
        </w:tc>
        <w:tc>
          <w:tcPr>
            <w:tcW w:w="1756" w:type="dxa"/>
            <w:shd w:val="clear" w:color="auto" w:fill="C7E2FA" w:themeFill="accent1" w:themeFillTint="33"/>
            <w:vAlign w:val="center"/>
          </w:tcPr>
          <w:p>
            <w:pPr>
              <w:pStyle w:val="141"/>
              <w:rPr>
                <w:rFonts w:cstheme="minorBidi"/>
                <w:color w:val="000000"/>
                <w:kern w:val="0"/>
                <w:szCs w:val="21"/>
              </w:rPr>
            </w:pPr>
            <w:r>
              <w:rPr>
                <w:rFonts w:cstheme="minorBidi"/>
                <w:color w:val="000000"/>
                <w:kern w:val="0"/>
                <w:szCs w:val="21"/>
              </w:rPr>
              <w:t>10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jc w:val="center"/>
        </w:trPr>
        <w:tc>
          <w:tcPr>
            <w:tcW w:w="1755" w:type="dxa"/>
            <w:vAlign w:val="center"/>
          </w:tcPr>
          <w:p>
            <w:pPr>
              <w:spacing w:line="240" w:lineRule="auto"/>
              <w:ind w:firstLine="0" w:firstLineChars="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占比</w:t>
            </w:r>
          </w:p>
        </w:tc>
        <w:tc>
          <w:tcPr>
            <w:tcW w:w="1755" w:type="dxa"/>
            <w:vAlign w:val="center"/>
          </w:tcPr>
          <w:p>
            <w:pPr>
              <w:pStyle w:val="141"/>
              <w:rPr>
                <w:rFonts w:cstheme="minorBidi"/>
                <w:color w:val="000000"/>
                <w:kern w:val="0"/>
                <w:szCs w:val="21"/>
              </w:rPr>
            </w:pPr>
            <w:r>
              <w:rPr>
                <w:rFonts w:cstheme="minorBidi"/>
                <w:color w:val="000000"/>
                <w:kern w:val="0"/>
                <w:szCs w:val="21"/>
              </w:rPr>
              <w:t>26.75%</w:t>
            </w:r>
          </w:p>
        </w:tc>
        <w:tc>
          <w:tcPr>
            <w:tcW w:w="1756" w:type="dxa"/>
            <w:vAlign w:val="center"/>
          </w:tcPr>
          <w:p>
            <w:pPr>
              <w:pStyle w:val="141"/>
              <w:rPr>
                <w:rFonts w:cstheme="minorBidi"/>
                <w:color w:val="000000"/>
                <w:kern w:val="0"/>
                <w:szCs w:val="21"/>
              </w:rPr>
            </w:pPr>
            <w:r>
              <w:rPr>
                <w:rFonts w:cstheme="minorBidi"/>
                <w:color w:val="000000"/>
                <w:kern w:val="0"/>
                <w:szCs w:val="21"/>
              </w:rPr>
              <w:t>73.25%</w:t>
            </w:r>
          </w:p>
        </w:tc>
        <w:tc>
          <w:tcPr>
            <w:tcW w:w="1756" w:type="dxa"/>
            <w:vAlign w:val="center"/>
          </w:tcPr>
          <w:p>
            <w:pPr>
              <w:pStyle w:val="141"/>
              <w:rPr>
                <w:rFonts w:cstheme="minorBidi"/>
                <w:color w:val="000000"/>
                <w:kern w:val="0"/>
                <w:szCs w:val="21"/>
              </w:rPr>
            </w:pPr>
            <w:r>
              <w:rPr>
                <w:rFonts w:cstheme="minorBidi"/>
                <w:color w:val="000000"/>
                <w:kern w:val="0"/>
                <w:szCs w:val="21"/>
              </w:rPr>
              <w:t>99.37%</w:t>
            </w:r>
          </w:p>
        </w:tc>
        <w:tc>
          <w:tcPr>
            <w:tcW w:w="1756" w:type="dxa"/>
            <w:vAlign w:val="center"/>
          </w:tcPr>
          <w:p>
            <w:pPr>
              <w:pStyle w:val="141"/>
              <w:rPr>
                <w:rFonts w:cstheme="minorBidi"/>
                <w:color w:val="000000"/>
                <w:kern w:val="0"/>
                <w:szCs w:val="21"/>
              </w:rPr>
            </w:pPr>
            <w:r>
              <w:rPr>
                <w:rFonts w:cstheme="minorBidi"/>
                <w:color w:val="000000"/>
                <w:kern w:val="0"/>
                <w:szCs w:val="21"/>
              </w:rPr>
              <w:t>0.63%</w:t>
            </w:r>
          </w:p>
        </w:tc>
      </w:tr>
    </w:tbl>
    <w:p>
      <w:pPr>
        <w:pStyle w:val="139"/>
      </w:pPr>
      <w:r>
        <w:rPr>
          <w:rFonts w:hint="eastAsia"/>
        </w:rPr>
        <w:t>数据来源：江苏省高校毕业生就业管理信息系统。</w:t>
      </w:r>
    </w:p>
    <w:p>
      <w:pPr>
        <w:pStyle w:val="135"/>
        <w:spacing w:before="326" w:beforeLines="100" w:after="163"/>
      </w:pPr>
      <w:bookmarkStart w:id="25" w:name="_Toc521402011"/>
      <w:r>
        <w:rPr>
          <w:rFonts w:hint="eastAsia"/>
        </w:rPr>
        <w:t>（二</w:t>
      </w:r>
      <w:r>
        <w:t>）</w:t>
      </w:r>
      <w:bookmarkEnd w:id="22"/>
      <w:bookmarkEnd w:id="23"/>
      <w:bookmarkEnd w:id="24"/>
      <w:r>
        <w:rPr>
          <w:rFonts w:hint="eastAsia"/>
        </w:rPr>
        <w:t>各分院/专业</w:t>
      </w:r>
      <w:r>
        <w:t>毕业生的分布</w:t>
      </w:r>
      <w:bookmarkEnd w:id="25"/>
    </w:p>
    <w:p>
      <w:pPr>
        <w:pStyle w:val="131"/>
      </w:pPr>
      <w:r>
        <w:rPr>
          <w:rFonts w:hint="eastAsia"/>
        </w:rPr>
        <w:t>学校</w:t>
      </w:r>
      <w:r>
        <w:t>2017届</w:t>
      </w:r>
      <w:r>
        <w:rPr>
          <w:rFonts w:hint="eastAsia"/>
        </w:rPr>
        <w:t>毕业生共分布在</w:t>
      </w:r>
      <w:r>
        <w:t>2</w:t>
      </w:r>
      <w:r>
        <w:rPr>
          <w:rFonts w:hint="eastAsia"/>
        </w:rPr>
        <w:t>个分院</w:t>
      </w:r>
      <w:r>
        <w:t>15</w:t>
      </w:r>
      <w:r>
        <w:rPr>
          <w:rFonts w:hint="eastAsia"/>
        </w:rPr>
        <w:t>个专业。其中，盐城分院的毕业生人数位居首位，人数占比为</w:t>
      </w:r>
      <w:r>
        <w:t>61.34%</w:t>
      </w:r>
      <w:r>
        <w:rPr>
          <w:rFonts w:hint="eastAsia"/>
        </w:rPr>
        <w:t>。</w:t>
      </w:r>
    </w:p>
    <w:p>
      <w:pPr>
        <w:spacing w:before="100" w:after="200" w:line="276" w:lineRule="auto"/>
        <w:ind w:firstLine="0" w:firstLineChars="0"/>
        <w:rPr>
          <w:rFonts w:ascii="Times New Roman" w:hAnsi="Times New Roman" w:eastAsia="宋体"/>
          <w:color w:val="000000"/>
          <w:szCs w:val="24"/>
        </w:rPr>
      </w:pPr>
      <w:r>
        <w:br w:type="page"/>
      </w:r>
    </w:p>
    <w:p>
      <w:pPr>
        <w:pStyle w:val="137"/>
        <w:rPr>
          <w:rStyle w:val="34"/>
          <w:b/>
          <w:bCs w:val="0"/>
        </w:rPr>
      </w:pPr>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2</w:t>
      </w:r>
      <w:r>
        <w:fldChar w:fldCharType="end"/>
      </w:r>
      <w:r>
        <w:rPr>
          <w:rStyle w:val="34"/>
          <w:b/>
          <w:bCs w:val="0"/>
        </w:rPr>
        <w:t xml:space="preserve">  2017届</w:t>
      </w:r>
      <w:r>
        <w:rPr>
          <w:rStyle w:val="34"/>
          <w:rFonts w:hint="eastAsia"/>
          <w:b/>
          <w:bCs w:val="0"/>
        </w:rPr>
        <w:t>毕业生分院</w:t>
      </w:r>
      <w:r>
        <w:rPr>
          <w:rStyle w:val="34"/>
          <w:b/>
          <w:bCs w:val="0"/>
        </w:rPr>
        <w:t>及专业</w:t>
      </w:r>
      <w:r>
        <w:rPr>
          <w:rStyle w:val="34"/>
          <w:rFonts w:hint="eastAsia"/>
          <w:b/>
          <w:bCs w:val="0"/>
        </w:rPr>
        <w:t>分布</w:t>
      </w:r>
    </w:p>
    <w:tbl>
      <w:tblPr>
        <w:tblStyle w:val="110"/>
        <w:tblW w:w="8711" w:type="dxa"/>
        <w:jc w:val="center"/>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1637"/>
        <w:gridCol w:w="998"/>
        <w:gridCol w:w="1348"/>
        <w:gridCol w:w="2382"/>
        <w:gridCol w:w="998"/>
        <w:gridCol w:w="1348"/>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分院</w:t>
            </w:r>
          </w:p>
        </w:tc>
        <w:tc>
          <w:tcPr>
            <w:tcW w:w="998"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人数</w:t>
            </w:r>
          </w:p>
        </w:tc>
        <w:tc>
          <w:tcPr>
            <w:tcW w:w="1348"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比例</w:t>
            </w:r>
          </w:p>
        </w:tc>
        <w:tc>
          <w:tcPr>
            <w:tcW w:w="2382"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专业</w:t>
            </w:r>
          </w:p>
        </w:tc>
        <w:tc>
          <w:tcPr>
            <w:tcW w:w="998"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人数</w:t>
            </w:r>
          </w:p>
        </w:tc>
        <w:tc>
          <w:tcPr>
            <w:tcW w:w="1348"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比例</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restart"/>
            <w:shd w:val="clear" w:color="auto" w:fill="C7E2FA" w:themeFill="accent1" w:themeFillTint="33"/>
            <w:vAlign w:val="center"/>
          </w:tcPr>
          <w:p>
            <w:pPr>
              <w:pStyle w:val="141"/>
              <w:rPr>
                <w:b w:val="0"/>
                <w:bCs/>
                <w:color w:val="000000"/>
                <w:szCs w:val="21"/>
              </w:rPr>
            </w:pPr>
            <w:r>
              <w:rPr>
                <w:b w:val="0"/>
                <w:bCs/>
                <w:color w:val="000000"/>
                <w:szCs w:val="21"/>
              </w:rPr>
              <w:t>盐城分院</w:t>
            </w:r>
          </w:p>
        </w:tc>
        <w:tc>
          <w:tcPr>
            <w:tcW w:w="998" w:type="dxa"/>
            <w:vMerge w:val="restart"/>
            <w:shd w:val="clear" w:color="auto" w:fill="C7E2FA" w:themeFill="accent1" w:themeFillTint="33"/>
            <w:vAlign w:val="center"/>
          </w:tcPr>
          <w:p>
            <w:pPr>
              <w:pStyle w:val="141"/>
              <w:rPr>
                <w:color w:val="000000"/>
                <w:szCs w:val="21"/>
              </w:rPr>
            </w:pPr>
            <w:r>
              <w:rPr>
                <w:color w:val="000000"/>
                <w:szCs w:val="21"/>
              </w:rPr>
              <w:t>979</w:t>
            </w:r>
          </w:p>
        </w:tc>
        <w:tc>
          <w:tcPr>
            <w:tcW w:w="1348" w:type="dxa"/>
            <w:vMerge w:val="restart"/>
            <w:shd w:val="clear" w:color="auto" w:fill="C7E2FA" w:themeFill="accent1" w:themeFillTint="33"/>
            <w:vAlign w:val="center"/>
          </w:tcPr>
          <w:p>
            <w:pPr>
              <w:pStyle w:val="141"/>
              <w:rPr>
                <w:color w:val="000000"/>
                <w:szCs w:val="21"/>
              </w:rPr>
            </w:pPr>
            <w:r>
              <w:rPr>
                <w:color w:val="000000"/>
                <w:szCs w:val="21"/>
              </w:rPr>
              <w:t>61.34%</w:t>
            </w:r>
          </w:p>
        </w:tc>
        <w:tc>
          <w:tcPr>
            <w:tcW w:w="2382" w:type="dxa"/>
            <w:shd w:val="clear" w:color="auto" w:fill="C7E2FA" w:themeFill="accent1" w:themeFillTint="33"/>
            <w:vAlign w:val="center"/>
          </w:tcPr>
          <w:p>
            <w:pPr>
              <w:pStyle w:val="141"/>
              <w:rPr>
                <w:szCs w:val="21"/>
              </w:rPr>
            </w:pPr>
            <w:r>
              <w:rPr>
                <w:color w:val="000000"/>
                <w:szCs w:val="21"/>
              </w:rPr>
              <w:t>学前教育</w:t>
            </w:r>
          </w:p>
        </w:tc>
        <w:tc>
          <w:tcPr>
            <w:tcW w:w="998" w:type="dxa"/>
            <w:shd w:val="clear" w:color="auto" w:fill="C7E2FA" w:themeFill="accent1" w:themeFillTint="33"/>
            <w:vAlign w:val="center"/>
          </w:tcPr>
          <w:p>
            <w:pPr>
              <w:pStyle w:val="141"/>
              <w:rPr>
                <w:color w:val="000000"/>
                <w:szCs w:val="21"/>
              </w:rPr>
            </w:pPr>
            <w:r>
              <w:rPr>
                <w:color w:val="000000"/>
                <w:szCs w:val="21"/>
              </w:rPr>
              <w:t>442</w:t>
            </w:r>
          </w:p>
        </w:tc>
        <w:tc>
          <w:tcPr>
            <w:tcW w:w="1348" w:type="dxa"/>
            <w:shd w:val="clear" w:color="auto" w:fill="C7E2FA" w:themeFill="accent1" w:themeFillTint="33"/>
            <w:vAlign w:val="center"/>
          </w:tcPr>
          <w:p>
            <w:pPr>
              <w:pStyle w:val="141"/>
              <w:rPr>
                <w:color w:val="000000"/>
                <w:szCs w:val="21"/>
              </w:rPr>
            </w:pPr>
            <w:r>
              <w:rPr>
                <w:color w:val="000000"/>
                <w:szCs w:val="21"/>
              </w:rPr>
              <w:t>27.69%</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val="0"/>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小学教育</w:t>
            </w:r>
          </w:p>
        </w:tc>
        <w:tc>
          <w:tcPr>
            <w:tcW w:w="998" w:type="dxa"/>
            <w:vAlign w:val="center"/>
          </w:tcPr>
          <w:p>
            <w:pPr>
              <w:pStyle w:val="141"/>
              <w:rPr>
                <w:color w:val="000000"/>
                <w:szCs w:val="21"/>
              </w:rPr>
            </w:pPr>
            <w:r>
              <w:rPr>
                <w:color w:val="000000"/>
                <w:szCs w:val="21"/>
              </w:rPr>
              <w:t>269</w:t>
            </w:r>
          </w:p>
        </w:tc>
        <w:tc>
          <w:tcPr>
            <w:tcW w:w="1348" w:type="dxa"/>
            <w:vAlign w:val="center"/>
          </w:tcPr>
          <w:p>
            <w:pPr>
              <w:pStyle w:val="141"/>
              <w:rPr>
                <w:color w:val="000000"/>
                <w:szCs w:val="21"/>
              </w:rPr>
            </w:pPr>
            <w:r>
              <w:rPr>
                <w:color w:val="000000"/>
                <w:szCs w:val="21"/>
              </w:rPr>
              <w:t>16.85%</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shd w:val="clear" w:color="auto" w:fill="C7E2FA" w:themeFill="accent1" w:themeFillTint="33"/>
            <w:vAlign w:val="center"/>
          </w:tcPr>
          <w:p>
            <w:pPr>
              <w:pStyle w:val="141"/>
              <w:rPr>
                <w:b w:val="0"/>
                <w:bCs/>
                <w:color w:val="000000"/>
                <w:szCs w:val="21"/>
              </w:rPr>
            </w:pPr>
          </w:p>
        </w:tc>
        <w:tc>
          <w:tcPr>
            <w:tcW w:w="998" w:type="dxa"/>
            <w:vMerge w:val="continue"/>
            <w:shd w:val="clear" w:color="auto" w:fill="C7E2FA" w:themeFill="accent1" w:themeFillTint="33"/>
            <w:vAlign w:val="center"/>
          </w:tcPr>
          <w:p>
            <w:pPr>
              <w:pStyle w:val="141"/>
              <w:rPr>
                <w:color w:val="000000"/>
                <w:szCs w:val="21"/>
              </w:rPr>
            </w:pPr>
          </w:p>
        </w:tc>
        <w:tc>
          <w:tcPr>
            <w:tcW w:w="1348" w:type="dxa"/>
            <w:vMerge w:val="continue"/>
            <w:shd w:val="clear" w:color="auto" w:fill="C7E2FA" w:themeFill="accent1" w:themeFillTint="33"/>
            <w:vAlign w:val="center"/>
          </w:tcPr>
          <w:p>
            <w:pPr>
              <w:pStyle w:val="141"/>
              <w:rPr>
                <w:color w:val="000000"/>
                <w:szCs w:val="21"/>
              </w:rPr>
            </w:pPr>
          </w:p>
        </w:tc>
        <w:tc>
          <w:tcPr>
            <w:tcW w:w="2382" w:type="dxa"/>
            <w:shd w:val="clear" w:color="auto" w:fill="C7E2FA" w:themeFill="accent1" w:themeFillTint="33"/>
            <w:vAlign w:val="center"/>
          </w:tcPr>
          <w:p>
            <w:pPr>
              <w:pStyle w:val="141"/>
              <w:rPr>
                <w:szCs w:val="21"/>
              </w:rPr>
            </w:pPr>
            <w:r>
              <w:rPr>
                <w:color w:val="000000"/>
                <w:szCs w:val="21"/>
              </w:rPr>
              <w:t>应用韩语</w:t>
            </w:r>
          </w:p>
        </w:tc>
        <w:tc>
          <w:tcPr>
            <w:tcW w:w="998" w:type="dxa"/>
            <w:shd w:val="clear" w:color="auto" w:fill="C7E2FA" w:themeFill="accent1" w:themeFillTint="33"/>
            <w:vAlign w:val="center"/>
          </w:tcPr>
          <w:p>
            <w:pPr>
              <w:pStyle w:val="141"/>
              <w:rPr>
                <w:color w:val="000000"/>
                <w:szCs w:val="21"/>
              </w:rPr>
            </w:pPr>
            <w:r>
              <w:rPr>
                <w:color w:val="000000"/>
                <w:szCs w:val="21"/>
              </w:rPr>
              <w:t>56</w:t>
            </w:r>
          </w:p>
        </w:tc>
        <w:tc>
          <w:tcPr>
            <w:tcW w:w="1348" w:type="dxa"/>
            <w:shd w:val="clear" w:color="auto" w:fill="C7E2FA" w:themeFill="accent1" w:themeFillTint="33"/>
            <w:vAlign w:val="center"/>
          </w:tcPr>
          <w:p>
            <w:pPr>
              <w:pStyle w:val="141"/>
              <w:rPr>
                <w:color w:val="000000"/>
                <w:szCs w:val="21"/>
              </w:rPr>
            </w:pPr>
            <w:r>
              <w:rPr>
                <w:color w:val="000000"/>
                <w:szCs w:val="21"/>
              </w:rPr>
              <w:t>3.51%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val="0"/>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动漫设计与制作</w:t>
            </w:r>
          </w:p>
        </w:tc>
        <w:tc>
          <w:tcPr>
            <w:tcW w:w="998" w:type="dxa"/>
            <w:vAlign w:val="center"/>
          </w:tcPr>
          <w:p>
            <w:pPr>
              <w:pStyle w:val="141"/>
              <w:rPr>
                <w:color w:val="000000"/>
                <w:szCs w:val="21"/>
              </w:rPr>
            </w:pPr>
            <w:r>
              <w:rPr>
                <w:color w:val="000000"/>
                <w:szCs w:val="21"/>
              </w:rPr>
              <w:t>51</w:t>
            </w:r>
          </w:p>
        </w:tc>
        <w:tc>
          <w:tcPr>
            <w:tcW w:w="1348" w:type="dxa"/>
            <w:vAlign w:val="center"/>
          </w:tcPr>
          <w:p>
            <w:pPr>
              <w:pStyle w:val="141"/>
              <w:rPr>
                <w:color w:val="000000"/>
                <w:szCs w:val="21"/>
              </w:rPr>
            </w:pPr>
            <w:r>
              <w:rPr>
                <w:color w:val="000000"/>
                <w:szCs w:val="21"/>
              </w:rPr>
              <w:t>3.20%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shd w:val="clear" w:color="auto" w:fill="C7E2FA" w:themeFill="accent1" w:themeFillTint="33"/>
            <w:vAlign w:val="center"/>
          </w:tcPr>
          <w:p>
            <w:pPr>
              <w:pStyle w:val="141"/>
              <w:rPr>
                <w:b w:val="0"/>
                <w:bCs/>
                <w:color w:val="000000"/>
                <w:szCs w:val="21"/>
              </w:rPr>
            </w:pPr>
          </w:p>
        </w:tc>
        <w:tc>
          <w:tcPr>
            <w:tcW w:w="998" w:type="dxa"/>
            <w:vMerge w:val="continue"/>
            <w:shd w:val="clear" w:color="auto" w:fill="C7E2FA" w:themeFill="accent1" w:themeFillTint="33"/>
            <w:vAlign w:val="center"/>
          </w:tcPr>
          <w:p>
            <w:pPr>
              <w:pStyle w:val="141"/>
              <w:rPr>
                <w:color w:val="000000"/>
                <w:szCs w:val="21"/>
              </w:rPr>
            </w:pPr>
          </w:p>
        </w:tc>
        <w:tc>
          <w:tcPr>
            <w:tcW w:w="1348" w:type="dxa"/>
            <w:vMerge w:val="continue"/>
            <w:shd w:val="clear" w:color="auto" w:fill="C7E2FA" w:themeFill="accent1" w:themeFillTint="33"/>
            <w:vAlign w:val="center"/>
          </w:tcPr>
          <w:p>
            <w:pPr>
              <w:pStyle w:val="141"/>
              <w:rPr>
                <w:color w:val="000000"/>
                <w:szCs w:val="21"/>
              </w:rPr>
            </w:pPr>
          </w:p>
        </w:tc>
        <w:tc>
          <w:tcPr>
            <w:tcW w:w="2382" w:type="dxa"/>
            <w:shd w:val="clear" w:color="auto" w:fill="C7E2FA" w:themeFill="accent1" w:themeFillTint="33"/>
            <w:vAlign w:val="center"/>
          </w:tcPr>
          <w:p>
            <w:pPr>
              <w:pStyle w:val="141"/>
              <w:rPr>
                <w:szCs w:val="21"/>
              </w:rPr>
            </w:pPr>
            <w:r>
              <w:rPr>
                <w:color w:val="000000"/>
                <w:szCs w:val="21"/>
              </w:rPr>
              <w:t>计算机应用技术</w:t>
            </w:r>
          </w:p>
        </w:tc>
        <w:tc>
          <w:tcPr>
            <w:tcW w:w="998" w:type="dxa"/>
            <w:shd w:val="clear" w:color="auto" w:fill="C7E2FA" w:themeFill="accent1" w:themeFillTint="33"/>
            <w:vAlign w:val="center"/>
          </w:tcPr>
          <w:p>
            <w:pPr>
              <w:pStyle w:val="141"/>
              <w:rPr>
                <w:color w:val="000000"/>
                <w:szCs w:val="21"/>
              </w:rPr>
            </w:pPr>
            <w:r>
              <w:rPr>
                <w:color w:val="000000"/>
                <w:szCs w:val="21"/>
              </w:rPr>
              <w:t>39</w:t>
            </w:r>
          </w:p>
        </w:tc>
        <w:tc>
          <w:tcPr>
            <w:tcW w:w="1348" w:type="dxa"/>
            <w:shd w:val="clear" w:color="auto" w:fill="C7E2FA" w:themeFill="accent1" w:themeFillTint="33"/>
            <w:vAlign w:val="center"/>
          </w:tcPr>
          <w:p>
            <w:pPr>
              <w:pStyle w:val="141"/>
              <w:rPr>
                <w:color w:val="000000"/>
                <w:szCs w:val="21"/>
              </w:rPr>
            </w:pPr>
            <w:r>
              <w:rPr>
                <w:color w:val="000000"/>
                <w:szCs w:val="21"/>
              </w:rPr>
              <w:t>2.44%</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val="0"/>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酒店管理</w:t>
            </w:r>
          </w:p>
        </w:tc>
        <w:tc>
          <w:tcPr>
            <w:tcW w:w="998" w:type="dxa"/>
            <w:vAlign w:val="center"/>
          </w:tcPr>
          <w:p>
            <w:pPr>
              <w:pStyle w:val="141"/>
              <w:rPr>
                <w:color w:val="000000"/>
                <w:szCs w:val="21"/>
              </w:rPr>
            </w:pPr>
            <w:r>
              <w:rPr>
                <w:color w:val="000000"/>
                <w:szCs w:val="21"/>
              </w:rPr>
              <w:t>37</w:t>
            </w:r>
          </w:p>
        </w:tc>
        <w:tc>
          <w:tcPr>
            <w:tcW w:w="1348" w:type="dxa"/>
            <w:vAlign w:val="center"/>
          </w:tcPr>
          <w:p>
            <w:pPr>
              <w:pStyle w:val="141"/>
              <w:rPr>
                <w:color w:val="000000"/>
                <w:szCs w:val="21"/>
              </w:rPr>
            </w:pPr>
            <w:r>
              <w:rPr>
                <w:color w:val="000000"/>
                <w:szCs w:val="21"/>
              </w:rPr>
              <w:t>2.32%</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shd w:val="clear" w:color="auto" w:fill="C7E2FA" w:themeFill="accent1" w:themeFillTint="33"/>
            <w:vAlign w:val="center"/>
          </w:tcPr>
          <w:p>
            <w:pPr>
              <w:pStyle w:val="141"/>
              <w:rPr>
                <w:b w:val="0"/>
                <w:bCs/>
                <w:color w:val="000000"/>
                <w:szCs w:val="21"/>
              </w:rPr>
            </w:pPr>
          </w:p>
        </w:tc>
        <w:tc>
          <w:tcPr>
            <w:tcW w:w="998" w:type="dxa"/>
            <w:vMerge w:val="continue"/>
            <w:shd w:val="clear" w:color="auto" w:fill="C7E2FA" w:themeFill="accent1" w:themeFillTint="33"/>
            <w:vAlign w:val="center"/>
          </w:tcPr>
          <w:p>
            <w:pPr>
              <w:pStyle w:val="141"/>
              <w:rPr>
                <w:color w:val="000000"/>
                <w:szCs w:val="21"/>
              </w:rPr>
            </w:pPr>
          </w:p>
        </w:tc>
        <w:tc>
          <w:tcPr>
            <w:tcW w:w="1348" w:type="dxa"/>
            <w:vMerge w:val="continue"/>
            <w:shd w:val="clear" w:color="auto" w:fill="C7E2FA" w:themeFill="accent1" w:themeFillTint="33"/>
            <w:vAlign w:val="center"/>
          </w:tcPr>
          <w:p>
            <w:pPr>
              <w:pStyle w:val="141"/>
              <w:rPr>
                <w:color w:val="000000"/>
                <w:szCs w:val="21"/>
              </w:rPr>
            </w:pPr>
          </w:p>
        </w:tc>
        <w:tc>
          <w:tcPr>
            <w:tcW w:w="2382" w:type="dxa"/>
            <w:shd w:val="clear" w:color="auto" w:fill="C7E2FA" w:themeFill="accent1" w:themeFillTint="33"/>
            <w:vAlign w:val="center"/>
          </w:tcPr>
          <w:p>
            <w:pPr>
              <w:pStyle w:val="141"/>
              <w:rPr>
                <w:szCs w:val="21"/>
              </w:rPr>
            </w:pPr>
            <w:r>
              <w:rPr>
                <w:color w:val="000000"/>
                <w:szCs w:val="21"/>
              </w:rPr>
              <w:t>环境艺术设计</w:t>
            </w:r>
          </w:p>
        </w:tc>
        <w:tc>
          <w:tcPr>
            <w:tcW w:w="998" w:type="dxa"/>
            <w:shd w:val="clear" w:color="auto" w:fill="C7E2FA" w:themeFill="accent1" w:themeFillTint="33"/>
            <w:vAlign w:val="center"/>
          </w:tcPr>
          <w:p>
            <w:pPr>
              <w:pStyle w:val="141"/>
              <w:rPr>
                <w:color w:val="000000"/>
                <w:szCs w:val="21"/>
              </w:rPr>
            </w:pPr>
            <w:r>
              <w:rPr>
                <w:color w:val="000000"/>
                <w:szCs w:val="21"/>
              </w:rPr>
              <w:t>32</w:t>
            </w:r>
          </w:p>
        </w:tc>
        <w:tc>
          <w:tcPr>
            <w:tcW w:w="1348" w:type="dxa"/>
            <w:shd w:val="clear" w:color="auto" w:fill="C7E2FA" w:themeFill="accent1" w:themeFillTint="33"/>
            <w:vAlign w:val="center"/>
          </w:tcPr>
          <w:p>
            <w:pPr>
              <w:pStyle w:val="141"/>
              <w:rPr>
                <w:color w:val="000000"/>
                <w:szCs w:val="21"/>
              </w:rPr>
            </w:pPr>
            <w:r>
              <w:rPr>
                <w:color w:val="000000"/>
                <w:szCs w:val="21"/>
              </w:rPr>
              <w:t>2.01%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val="0"/>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商务英语</w:t>
            </w:r>
          </w:p>
        </w:tc>
        <w:tc>
          <w:tcPr>
            <w:tcW w:w="998" w:type="dxa"/>
            <w:vAlign w:val="center"/>
          </w:tcPr>
          <w:p>
            <w:pPr>
              <w:pStyle w:val="141"/>
              <w:rPr>
                <w:color w:val="000000"/>
                <w:szCs w:val="21"/>
              </w:rPr>
            </w:pPr>
            <w:r>
              <w:rPr>
                <w:color w:val="000000"/>
                <w:szCs w:val="21"/>
              </w:rPr>
              <w:t>30</w:t>
            </w:r>
          </w:p>
        </w:tc>
        <w:tc>
          <w:tcPr>
            <w:tcW w:w="1348" w:type="dxa"/>
            <w:vAlign w:val="center"/>
          </w:tcPr>
          <w:p>
            <w:pPr>
              <w:pStyle w:val="141"/>
              <w:rPr>
                <w:color w:val="000000"/>
                <w:szCs w:val="21"/>
              </w:rPr>
            </w:pPr>
            <w:r>
              <w:rPr>
                <w:color w:val="000000"/>
                <w:szCs w:val="21"/>
              </w:rPr>
              <w:t>1.88%</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shd w:val="clear" w:color="auto" w:fill="C7E2FA" w:themeFill="accent1" w:themeFillTint="33"/>
            <w:vAlign w:val="center"/>
          </w:tcPr>
          <w:p>
            <w:pPr>
              <w:pStyle w:val="141"/>
              <w:rPr>
                <w:b w:val="0"/>
                <w:bCs/>
                <w:color w:val="000000"/>
                <w:szCs w:val="21"/>
              </w:rPr>
            </w:pPr>
          </w:p>
        </w:tc>
        <w:tc>
          <w:tcPr>
            <w:tcW w:w="998" w:type="dxa"/>
            <w:vMerge w:val="continue"/>
            <w:shd w:val="clear" w:color="auto" w:fill="C7E2FA" w:themeFill="accent1" w:themeFillTint="33"/>
            <w:vAlign w:val="center"/>
          </w:tcPr>
          <w:p>
            <w:pPr>
              <w:pStyle w:val="141"/>
              <w:rPr>
                <w:color w:val="000000"/>
                <w:szCs w:val="21"/>
              </w:rPr>
            </w:pPr>
          </w:p>
        </w:tc>
        <w:tc>
          <w:tcPr>
            <w:tcW w:w="1348" w:type="dxa"/>
            <w:vMerge w:val="continue"/>
            <w:shd w:val="clear" w:color="auto" w:fill="C7E2FA" w:themeFill="accent1" w:themeFillTint="33"/>
            <w:vAlign w:val="center"/>
          </w:tcPr>
          <w:p>
            <w:pPr>
              <w:pStyle w:val="141"/>
              <w:rPr>
                <w:color w:val="000000"/>
                <w:szCs w:val="21"/>
              </w:rPr>
            </w:pPr>
          </w:p>
        </w:tc>
        <w:tc>
          <w:tcPr>
            <w:tcW w:w="2382" w:type="dxa"/>
            <w:shd w:val="clear" w:color="auto" w:fill="C7E2FA" w:themeFill="accent1" w:themeFillTint="33"/>
            <w:vAlign w:val="center"/>
          </w:tcPr>
          <w:p>
            <w:pPr>
              <w:pStyle w:val="141"/>
              <w:rPr>
                <w:szCs w:val="21"/>
              </w:rPr>
            </w:pPr>
            <w:r>
              <w:rPr>
                <w:color w:val="000000"/>
                <w:szCs w:val="21"/>
              </w:rPr>
              <w:t>商务日语</w:t>
            </w:r>
          </w:p>
        </w:tc>
        <w:tc>
          <w:tcPr>
            <w:tcW w:w="998" w:type="dxa"/>
            <w:shd w:val="clear" w:color="auto" w:fill="C7E2FA" w:themeFill="accent1" w:themeFillTint="33"/>
            <w:vAlign w:val="center"/>
          </w:tcPr>
          <w:p>
            <w:pPr>
              <w:pStyle w:val="141"/>
              <w:rPr>
                <w:color w:val="000000"/>
                <w:szCs w:val="21"/>
              </w:rPr>
            </w:pPr>
            <w:r>
              <w:rPr>
                <w:color w:val="000000"/>
                <w:szCs w:val="21"/>
              </w:rPr>
              <w:t>18</w:t>
            </w:r>
          </w:p>
        </w:tc>
        <w:tc>
          <w:tcPr>
            <w:tcW w:w="1348" w:type="dxa"/>
            <w:shd w:val="clear" w:color="auto" w:fill="C7E2FA" w:themeFill="accent1" w:themeFillTint="33"/>
            <w:vAlign w:val="center"/>
          </w:tcPr>
          <w:p>
            <w:pPr>
              <w:pStyle w:val="141"/>
              <w:rPr>
                <w:color w:val="000000"/>
                <w:szCs w:val="21"/>
              </w:rPr>
            </w:pPr>
            <w:r>
              <w:rPr>
                <w:color w:val="000000"/>
                <w:szCs w:val="21"/>
              </w:rPr>
              <w:t>1.13%</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val="0"/>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音乐表演</w:t>
            </w:r>
          </w:p>
        </w:tc>
        <w:tc>
          <w:tcPr>
            <w:tcW w:w="998" w:type="dxa"/>
            <w:vAlign w:val="center"/>
          </w:tcPr>
          <w:p>
            <w:pPr>
              <w:pStyle w:val="141"/>
              <w:rPr>
                <w:color w:val="000000"/>
                <w:szCs w:val="21"/>
              </w:rPr>
            </w:pPr>
            <w:r>
              <w:rPr>
                <w:color w:val="000000"/>
                <w:szCs w:val="21"/>
              </w:rPr>
              <w:t>5</w:t>
            </w:r>
          </w:p>
        </w:tc>
        <w:tc>
          <w:tcPr>
            <w:tcW w:w="1348" w:type="dxa"/>
            <w:vAlign w:val="center"/>
          </w:tcPr>
          <w:p>
            <w:pPr>
              <w:pStyle w:val="141"/>
              <w:rPr>
                <w:color w:val="000000"/>
                <w:szCs w:val="21"/>
              </w:rPr>
            </w:pPr>
            <w:r>
              <w:rPr>
                <w:color w:val="000000"/>
                <w:szCs w:val="21"/>
              </w:rPr>
              <w:t>0.31%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restart"/>
            <w:shd w:val="clear" w:color="auto" w:fill="C7E2FA" w:themeFill="accent1" w:themeFillTint="33"/>
            <w:vAlign w:val="center"/>
          </w:tcPr>
          <w:p>
            <w:pPr>
              <w:pStyle w:val="141"/>
              <w:rPr>
                <w:b w:val="0"/>
                <w:bCs/>
                <w:color w:val="000000"/>
                <w:szCs w:val="21"/>
              </w:rPr>
            </w:pPr>
            <w:r>
              <w:rPr>
                <w:b w:val="0"/>
                <w:bCs/>
                <w:color w:val="000000"/>
                <w:szCs w:val="21"/>
              </w:rPr>
              <w:t>阜宁分院</w:t>
            </w:r>
          </w:p>
        </w:tc>
        <w:tc>
          <w:tcPr>
            <w:tcW w:w="998" w:type="dxa"/>
            <w:vMerge w:val="restart"/>
            <w:shd w:val="clear" w:color="auto" w:fill="C7E2FA" w:themeFill="accent1" w:themeFillTint="33"/>
            <w:vAlign w:val="center"/>
          </w:tcPr>
          <w:p>
            <w:pPr>
              <w:pStyle w:val="141"/>
              <w:rPr>
                <w:color w:val="000000"/>
                <w:szCs w:val="21"/>
              </w:rPr>
            </w:pPr>
            <w:r>
              <w:rPr>
                <w:color w:val="000000"/>
                <w:szCs w:val="21"/>
              </w:rPr>
              <w:t>617</w:t>
            </w:r>
          </w:p>
        </w:tc>
        <w:tc>
          <w:tcPr>
            <w:tcW w:w="1348" w:type="dxa"/>
            <w:vMerge w:val="restart"/>
            <w:shd w:val="clear" w:color="auto" w:fill="C7E2FA" w:themeFill="accent1" w:themeFillTint="33"/>
            <w:vAlign w:val="center"/>
          </w:tcPr>
          <w:p>
            <w:pPr>
              <w:pStyle w:val="141"/>
              <w:rPr>
                <w:color w:val="000000"/>
                <w:szCs w:val="21"/>
              </w:rPr>
            </w:pPr>
            <w:r>
              <w:rPr>
                <w:color w:val="000000"/>
                <w:szCs w:val="21"/>
              </w:rPr>
              <w:t>38.66%</w:t>
            </w:r>
          </w:p>
        </w:tc>
        <w:tc>
          <w:tcPr>
            <w:tcW w:w="2382" w:type="dxa"/>
            <w:shd w:val="clear" w:color="auto" w:fill="C7E2FA" w:themeFill="accent1" w:themeFillTint="33"/>
            <w:vAlign w:val="center"/>
          </w:tcPr>
          <w:p>
            <w:pPr>
              <w:pStyle w:val="141"/>
              <w:rPr>
                <w:szCs w:val="21"/>
              </w:rPr>
            </w:pPr>
            <w:r>
              <w:rPr>
                <w:color w:val="000000"/>
                <w:szCs w:val="21"/>
              </w:rPr>
              <w:t>学前教育</w:t>
            </w:r>
          </w:p>
        </w:tc>
        <w:tc>
          <w:tcPr>
            <w:tcW w:w="998" w:type="dxa"/>
            <w:shd w:val="clear" w:color="auto" w:fill="C7E2FA" w:themeFill="accent1" w:themeFillTint="33"/>
            <w:vAlign w:val="center"/>
          </w:tcPr>
          <w:p>
            <w:pPr>
              <w:pStyle w:val="141"/>
              <w:rPr>
                <w:color w:val="000000"/>
                <w:szCs w:val="21"/>
              </w:rPr>
            </w:pPr>
            <w:r>
              <w:rPr>
                <w:color w:val="000000"/>
                <w:szCs w:val="21"/>
              </w:rPr>
              <w:t>253</w:t>
            </w:r>
          </w:p>
        </w:tc>
        <w:tc>
          <w:tcPr>
            <w:tcW w:w="1348" w:type="dxa"/>
            <w:shd w:val="clear" w:color="auto" w:fill="C7E2FA" w:themeFill="accent1" w:themeFillTint="33"/>
            <w:vAlign w:val="center"/>
          </w:tcPr>
          <w:p>
            <w:pPr>
              <w:pStyle w:val="141"/>
              <w:rPr>
                <w:color w:val="000000"/>
                <w:szCs w:val="21"/>
              </w:rPr>
            </w:pPr>
            <w:r>
              <w:rPr>
                <w:color w:val="000000"/>
                <w:szCs w:val="21"/>
              </w:rPr>
              <w:t>15.85%</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建筑工程技术</w:t>
            </w:r>
          </w:p>
        </w:tc>
        <w:tc>
          <w:tcPr>
            <w:tcW w:w="998" w:type="dxa"/>
            <w:vAlign w:val="center"/>
          </w:tcPr>
          <w:p>
            <w:pPr>
              <w:pStyle w:val="141"/>
              <w:rPr>
                <w:color w:val="000000"/>
                <w:szCs w:val="21"/>
              </w:rPr>
            </w:pPr>
            <w:r>
              <w:rPr>
                <w:color w:val="000000"/>
                <w:szCs w:val="21"/>
              </w:rPr>
              <w:t>184</w:t>
            </w:r>
          </w:p>
        </w:tc>
        <w:tc>
          <w:tcPr>
            <w:tcW w:w="1348" w:type="dxa"/>
            <w:vAlign w:val="center"/>
          </w:tcPr>
          <w:p>
            <w:pPr>
              <w:pStyle w:val="141"/>
              <w:rPr>
                <w:color w:val="000000"/>
                <w:szCs w:val="21"/>
              </w:rPr>
            </w:pPr>
            <w:r>
              <w:rPr>
                <w:color w:val="000000"/>
                <w:szCs w:val="21"/>
              </w:rPr>
              <w:t>11.53%</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shd w:val="clear" w:color="auto" w:fill="C7E2FA" w:themeFill="accent1" w:themeFillTint="33"/>
            <w:vAlign w:val="center"/>
          </w:tcPr>
          <w:p>
            <w:pPr>
              <w:pStyle w:val="141"/>
              <w:rPr>
                <w:b/>
                <w:bCs/>
                <w:color w:val="000000"/>
                <w:szCs w:val="21"/>
              </w:rPr>
            </w:pPr>
          </w:p>
        </w:tc>
        <w:tc>
          <w:tcPr>
            <w:tcW w:w="998" w:type="dxa"/>
            <w:vMerge w:val="continue"/>
            <w:shd w:val="clear" w:color="auto" w:fill="C7E2FA" w:themeFill="accent1" w:themeFillTint="33"/>
            <w:vAlign w:val="center"/>
          </w:tcPr>
          <w:p>
            <w:pPr>
              <w:pStyle w:val="141"/>
              <w:rPr>
                <w:color w:val="000000"/>
                <w:szCs w:val="21"/>
              </w:rPr>
            </w:pPr>
          </w:p>
        </w:tc>
        <w:tc>
          <w:tcPr>
            <w:tcW w:w="1348" w:type="dxa"/>
            <w:vMerge w:val="continue"/>
            <w:shd w:val="clear" w:color="auto" w:fill="C7E2FA" w:themeFill="accent1" w:themeFillTint="33"/>
            <w:vAlign w:val="center"/>
          </w:tcPr>
          <w:p>
            <w:pPr>
              <w:pStyle w:val="141"/>
              <w:rPr>
                <w:color w:val="000000"/>
                <w:szCs w:val="21"/>
              </w:rPr>
            </w:pPr>
          </w:p>
        </w:tc>
        <w:tc>
          <w:tcPr>
            <w:tcW w:w="2382" w:type="dxa"/>
            <w:shd w:val="clear" w:color="auto" w:fill="C7E2FA" w:themeFill="accent1" w:themeFillTint="33"/>
            <w:vAlign w:val="center"/>
          </w:tcPr>
          <w:p>
            <w:pPr>
              <w:pStyle w:val="141"/>
              <w:rPr>
                <w:szCs w:val="21"/>
              </w:rPr>
            </w:pPr>
            <w:r>
              <w:rPr>
                <w:color w:val="000000"/>
                <w:szCs w:val="21"/>
              </w:rPr>
              <w:t>小学教育</w:t>
            </w:r>
          </w:p>
        </w:tc>
        <w:tc>
          <w:tcPr>
            <w:tcW w:w="998" w:type="dxa"/>
            <w:shd w:val="clear" w:color="auto" w:fill="C7E2FA" w:themeFill="accent1" w:themeFillTint="33"/>
            <w:vAlign w:val="center"/>
          </w:tcPr>
          <w:p>
            <w:pPr>
              <w:pStyle w:val="141"/>
              <w:rPr>
                <w:color w:val="000000"/>
                <w:szCs w:val="21"/>
              </w:rPr>
            </w:pPr>
            <w:r>
              <w:rPr>
                <w:color w:val="000000"/>
                <w:szCs w:val="21"/>
              </w:rPr>
              <w:t>133</w:t>
            </w:r>
          </w:p>
        </w:tc>
        <w:tc>
          <w:tcPr>
            <w:tcW w:w="1348" w:type="dxa"/>
            <w:shd w:val="clear" w:color="auto" w:fill="C7E2FA" w:themeFill="accent1" w:themeFillTint="33"/>
            <w:vAlign w:val="center"/>
          </w:tcPr>
          <w:p>
            <w:pPr>
              <w:pStyle w:val="141"/>
              <w:rPr>
                <w:color w:val="000000"/>
                <w:szCs w:val="21"/>
              </w:rPr>
            </w:pPr>
            <w:r>
              <w:rPr>
                <w:color w:val="000000"/>
                <w:szCs w:val="21"/>
              </w:rPr>
              <w:t>8.33%</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vAlign w:val="center"/>
          </w:tcPr>
          <w:p>
            <w:pPr>
              <w:pStyle w:val="141"/>
              <w:rPr>
                <w:b/>
                <w:bCs/>
                <w:color w:val="000000"/>
                <w:szCs w:val="21"/>
              </w:rPr>
            </w:pPr>
          </w:p>
        </w:tc>
        <w:tc>
          <w:tcPr>
            <w:tcW w:w="998" w:type="dxa"/>
            <w:vMerge w:val="continue"/>
            <w:vAlign w:val="center"/>
          </w:tcPr>
          <w:p>
            <w:pPr>
              <w:pStyle w:val="141"/>
              <w:rPr>
                <w:color w:val="000000"/>
                <w:szCs w:val="21"/>
              </w:rPr>
            </w:pPr>
          </w:p>
        </w:tc>
        <w:tc>
          <w:tcPr>
            <w:tcW w:w="1348" w:type="dxa"/>
            <w:vMerge w:val="continue"/>
            <w:vAlign w:val="center"/>
          </w:tcPr>
          <w:p>
            <w:pPr>
              <w:pStyle w:val="141"/>
              <w:rPr>
                <w:color w:val="000000"/>
                <w:szCs w:val="21"/>
              </w:rPr>
            </w:pPr>
          </w:p>
        </w:tc>
        <w:tc>
          <w:tcPr>
            <w:tcW w:w="2382" w:type="dxa"/>
            <w:vAlign w:val="center"/>
          </w:tcPr>
          <w:p>
            <w:pPr>
              <w:pStyle w:val="141"/>
              <w:rPr>
                <w:szCs w:val="21"/>
              </w:rPr>
            </w:pPr>
            <w:r>
              <w:rPr>
                <w:color w:val="000000"/>
                <w:szCs w:val="21"/>
              </w:rPr>
              <w:t>计算机应用技术</w:t>
            </w:r>
          </w:p>
        </w:tc>
        <w:tc>
          <w:tcPr>
            <w:tcW w:w="998" w:type="dxa"/>
            <w:vAlign w:val="center"/>
          </w:tcPr>
          <w:p>
            <w:pPr>
              <w:pStyle w:val="141"/>
              <w:rPr>
                <w:color w:val="000000"/>
                <w:szCs w:val="21"/>
              </w:rPr>
            </w:pPr>
            <w:r>
              <w:rPr>
                <w:color w:val="000000"/>
                <w:szCs w:val="21"/>
              </w:rPr>
              <w:t>40</w:t>
            </w:r>
          </w:p>
        </w:tc>
        <w:tc>
          <w:tcPr>
            <w:tcW w:w="1348" w:type="dxa"/>
            <w:vAlign w:val="center"/>
          </w:tcPr>
          <w:p>
            <w:pPr>
              <w:pStyle w:val="141"/>
              <w:rPr>
                <w:color w:val="000000"/>
                <w:szCs w:val="21"/>
              </w:rPr>
            </w:pPr>
            <w:r>
              <w:rPr>
                <w:color w:val="000000"/>
                <w:szCs w:val="21"/>
              </w:rPr>
              <w:t>2.51%</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4" w:hRule="atLeast"/>
          <w:jc w:val="center"/>
        </w:trPr>
        <w:tc>
          <w:tcPr>
            <w:tcW w:w="1637" w:type="dxa"/>
            <w:vMerge w:val="continue"/>
            <w:shd w:val="clear" w:color="auto" w:fill="C7E2FA" w:themeFill="accent1" w:themeFillTint="33"/>
            <w:vAlign w:val="center"/>
          </w:tcPr>
          <w:p>
            <w:pPr>
              <w:pStyle w:val="141"/>
              <w:rPr>
                <w:b/>
                <w:bCs/>
                <w:color w:val="000000"/>
                <w:szCs w:val="21"/>
              </w:rPr>
            </w:pPr>
          </w:p>
        </w:tc>
        <w:tc>
          <w:tcPr>
            <w:tcW w:w="998" w:type="dxa"/>
            <w:vMerge w:val="continue"/>
            <w:shd w:val="clear" w:color="auto" w:fill="C7E2FA" w:themeFill="accent1" w:themeFillTint="33"/>
            <w:vAlign w:val="center"/>
          </w:tcPr>
          <w:p>
            <w:pPr>
              <w:pStyle w:val="141"/>
              <w:rPr>
                <w:color w:val="000000"/>
                <w:szCs w:val="21"/>
              </w:rPr>
            </w:pPr>
          </w:p>
        </w:tc>
        <w:tc>
          <w:tcPr>
            <w:tcW w:w="1348" w:type="dxa"/>
            <w:vMerge w:val="continue"/>
            <w:shd w:val="clear" w:color="auto" w:fill="C7E2FA" w:themeFill="accent1" w:themeFillTint="33"/>
            <w:vAlign w:val="center"/>
          </w:tcPr>
          <w:p>
            <w:pPr>
              <w:pStyle w:val="141"/>
              <w:rPr>
                <w:color w:val="000000"/>
                <w:szCs w:val="21"/>
              </w:rPr>
            </w:pPr>
          </w:p>
        </w:tc>
        <w:tc>
          <w:tcPr>
            <w:tcW w:w="2382" w:type="dxa"/>
            <w:shd w:val="clear" w:color="auto" w:fill="C7E2FA" w:themeFill="accent1" w:themeFillTint="33"/>
            <w:vAlign w:val="center"/>
          </w:tcPr>
          <w:p>
            <w:pPr>
              <w:pStyle w:val="141"/>
              <w:rPr>
                <w:szCs w:val="21"/>
              </w:rPr>
            </w:pPr>
            <w:r>
              <w:rPr>
                <w:color w:val="000000"/>
                <w:szCs w:val="21"/>
              </w:rPr>
              <w:t>商务英语</w:t>
            </w:r>
          </w:p>
        </w:tc>
        <w:tc>
          <w:tcPr>
            <w:tcW w:w="998" w:type="dxa"/>
            <w:shd w:val="clear" w:color="auto" w:fill="C7E2FA" w:themeFill="accent1" w:themeFillTint="33"/>
            <w:vAlign w:val="center"/>
          </w:tcPr>
          <w:p>
            <w:pPr>
              <w:pStyle w:val="141"/>
              <w:rPr>
                <w:color w:val="000000"/>
                <w:szCs w:val="21"/>
              </w:rPr>
            </w:pPr>
            <w:r>
              <w:rPr>
                <w:color w:val="000000"/>
                <w:szCs w:val="21"/>
              </w:rPr>
              <w:t>7</w:t>
            </w:r>
          </w:p>
        </w:tc>
        <w:tc>
          <w:tcPr>
            <w:tcW w:w="1348" w:type="dxa"/>
            <w:shd w:val="clear" w:color="auto" w:fill="C7E2FA" w:themeFill="accent1" w:themeFillTint="33"/>
            <w:vAlign w:val="center"/>
          </w:tcPr>
          <w:p>
            <w:pPr>
              <w:pStyle w:val="141"/>
              <w:rPr>
                <w:color w:val="000000"/>
                <w:szCs w:val="21"/>
              </w:rPr>
            </w:pPr>
            <w:r>
              <w:rPr>
                <w:color w:val="000000"/>
                <w:szCs w:val="21"/>
              </w:rPr>
              <w:t>0.44%</w:t>
            </w:r>
          </w:p>
        </w:tc>
      </w:tr>
    </w:tbl>
    <w:p>
      <w:pPr>
        <w:pStyle w:val="139"/>
      </w:pPr>
      <w:r>
        <w:rPr>
          <w:rFonts w:hint="eastAsia"/>
        </w:rPr>
        <w:t>注：因四舍五入保留</w:t>
      </w:r>
      <w:r>
        <w:t>两位小数</w:t>
      </w:r>
      <w:r>
        <w:rPr>
          <w:rFonts w:hint="eastAsia"/>
        </w:rPr>
        <w:t>，各分项占比之和可能存在±</w:t>
      </w:r>
      <w:r>
        <w:rPr>
          <w:rFonts w:hint="eastAsia" w:ascii="Times New Roman" w:hAnsi="Times New Roman"/>
        </w:rPr>
        <w:t>0</w:t>
      </w:r>
      <w:r>
        <w:rPr>
          <w:rFonts w:hint="eastAsia"/>
        </w:rPr>
        <w:t>.</w:t>
      </w:r>
      <w:r>
        <w:rPr>
          <w:rFonts w:hint="eastAsia" w:ascii="Times New Roman" w:hAnsi="Times New Roman"/>
        </w:rPr>
        <w:t>01</w:t>
      </w:r>
      <w:r>
        <w:rPr>
          <w:rFonts w:hint="eastAsia" w:ascii="Times New Roman" w:hAnsi="Times New Roman" w:eastAsia="宋体"/>
        </w:rPr>
        <w:t>%</w:t>
      </w:r>
      <w:r>
        <w:rPr>
          <w:rFonts w:hint="eastAsia"/>
        </w:rPr>
        <w:t>的</w:t>
      </w:r>
      <w:r>
        <w:t>误差</w:t>
      </w:r>
      <w:r>
        <w:rPr>
          <w:rFonts w:hint="eastAsia"/>
        </w:rPr>
        <w:t>。</w:t>
      </w:r>
    </w:p>
    <w:p>
      <w:pPr>
        <w:pStyle w:val="139"/>
      </w:pPr>
      <w:r>
        <w:rPr>
          <w:rFonts w:hint="eastAsia"/>
        </w:rPr>
        <w:t>数据来源：江苏省高校毕业生就业管理信息系统。</w:t>
      </w:r>
    </w:p>
    <w:p>
      <w:pPr>
        <w:pStyle w:val="133"/>
        <w:spacing w:before="163" w:after="163"/>
      </w:pPr>
      <w:bookmarkStart w:id="26" w:name="_Toc521402012"/>
      <w:bookmarkStart w:id="27" w:name="_Toc443998736"/>
      <w:bookmarkStart w:id="28" w:name="_Toc443997609"/>
      <w:bookmarkStart w:id="29" w:name="_Toc443997305"/>
      <w:r>
        <w:rPr>
          <w:rFonts w:hint="eastAsia"/>
        </w:rPr>
        <w:t>二、就业</w:t>
      </w:r>
      <w:r>
        <w:t>率</w:t>
      </w:r>
      <w:r>
        <w:rPr>
          <w:rFonts w:hint="eastAsia"/>
        </w:rPr>
        <w:t>及</w:t>
      </w:r>
      <w:r>
        <w:t>毕业去向</w:t>
      </w:r>
      <w:bookmarkEnd w:id="26"/>
      <w:bookmarkEnd w:id="27"/>
      <w:bookmarkEnd w:id="28"/>
      <w:bookmarkEnd w:id="29"/>
    </w:p>
    <w:p>
      <w:pPr>
        <w:pStyle w:val="131"/>
      </w:pPr>
      <w:r>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t>=</w:t>
      </w:r>
      <w:r>
        <w:rPr>
          <w:rFonts w:hint="eastAsia"/>
        </w:rPr>
        <w:t>（已就业毕业生人数</w:t>
      </w:r>
      <w:r>
        <w:rPr>
          <w:rFonts w:asciiTheme="minorEastAsia" w:hAnsiTheme="minorEastAsia" w:eastAsiaTheme="minorEastAsia"/>
        </w:rPr>
        <w:t>÷</w:t>
      </w:r>
      <w:r>
        <w:rPr>
          <w:rFonts w:hint="eastAsia"/>
        </w:rPr>
        <w:t>毕业生总人数）</w:t>
      </w:r>
      <w:r>
        <w:rPr>
          <w:rFonts w:asciiTheme="minorEastAsia" w:hAnsiTheme="minorEastAsia" w:eastAsiaTheme="minorEastAsia"/>
        </w:rPr>
        <w:t>×</w:t>
      </w:r>
      <w:r>
        <w:t>100.00%</w:t>
      </w:r>
      <w:r>
        <w:rPr>
          <w:rFonts w:hint="eastAsia"/>
        </w:rPr>
        <w:t>。</w:t>
      </w:r>
    </w:p>
    <w:p>
      <w:pPr>
        <w:pStyle w:val="135"/>
        <w:spacing w:before="163"/>
      </w:pPr>
      <w:bookmarkStart w:id="30" w:name="_Toc443998737"/>
      <w:bookmarkStart w:id="31" w:name="_Toc521402013"/>
      <w:bookmarkStart w:id="32" w:name="_Toc443997610"/>
      <w:bookmarkStart w:id="33" w:name="_Toc443997306"/>
      <w:r>
        <w:rPr>
          <w:rFonts w:hint="eastAsia"/>
        </w:rPr>
        <w:t>（一）总体就业率及</w:t>
      </w:r>
      <w:r>
        <w:t>毕业去向</w:t>
      </w:r>
      <w:bookmarkEnd w:id="30"/>
      <w:bookmarkEnd w:id="31"/>
      <w:bookmarkEnd w:id="32"/>
      <w:bookmarkEnd w:id="33"/>
    </w:p>
    <w:p>
      <w:pPr>
        <w:pStyle w:val="131"/>
        <w:ind w:firstLine="482"/>
      </w:pPr>
      <w:r>
        <w:rPr>
          <w:rFonts w:hint="eastAsia"/>
          <w:b/>
          <w:color w:val="0F6FC6" w:themeColor="accent1"/>
          <w14:textFill>
            <w14:solidFill>
              <w14:schemeClr w14:val="accent1"/>
            </w14:solidFill>
          </w14:textFill>
        </w:rPr>
        <w:t>初次就业率及毕业去向：</w:t>
      </w:r>
      <w:r>
        <w:rPr>
          <w:rFonts w:hint="eastAsia"/>
        </w:rPr>
        <w:t>截止到2017年</w:t>
      </w:r>
      <w:r>
        <w:t>8</w:t>
      </w:r>
      <w:r>
        <w:rPr>
          <w:rFonts w:hint="eastAsia"/>
        </w:rPr>
        <w:t>月31日</w:t>
      </w:r>
      <w:r>
        <w:t>，</w:t>
      </w:r>
      <w:r>
        <w:rPr>
          <w:rFonts w:hint="eastAsia"/>
        </w:rPr>
        <w:t>学校</w:t>
      </w:r>
      <w:r>
        <w:t>2017届</w:t>
      </w:r>
      <w:r>
        <w:rPr>
          <w:rFonts w:hint="eastAsia"/>
        </w:rPr>
        <w:t>毕业生初次就业率为</w:t>
      </w:r>
      <w:r>
        <w:t>88.72</w:t>
      </w:r>
      <w:r>
        <w:rPr>
          <w:rFonts w:hint="eastAsia"/>
        </w:rPr>
        <w:t>%，基本实现充分就业。从具体毕业去向来看，“签</w:t>
      </w:r>
      <w:r>
        <w:t>就业</w:t>
      </w:r>
      <w:r>
        <w:rPr>
          <w:rFonts w:hint="eastAsia"/>
        </w:rPr>
        <w:t>协议形式就业”为毕业生主要去向选择，占比为</w:t>
      </w:r>
      <w:r>
        <w:t>55.64</w:t>
      </w:r>
      <w:r>
        <w:rPr>
          <w:rFonts w:hint="eastAsia"/>
        </w:rPr>
        <w:t>%；“其他录用</w:t>
      </w:r>
      <w:r>
        <w:t>形式</w:t>
      </w:r>
      <w:r>
        <w:rPr>
          <w:rFonts w:hint="eastAsia"/>
        </w:rPr>
        <w:t>就业”</w:t>
      </w:r>
      <w:r>
        <w:t>次之，占比为21.37%</w:t>
      </w:r>
      <w:r>
        <w:rPr>
          <w:rFonts w:hint="eastAsia"/>
        </w:rPr>
        <w:t>。</w:t>
      </w:r>
    </w:p>
    <w:p>
      <w:pPr>
        <w:pStyle w:val="131"/>
      </w:pPr>
    </w:p>
    <w:p>
      <w:pPr>
        <w:pStyle w:val="131"/>
      </w:pPr>
    </w:p>
    <w:p>
      <w:pPr>
        <w:pStyle w:val="131"/>
      </w:pPr>
    </w:p>
    <w:p>
      <w:pPr>
        <w:pStyle w:val="137"/>
        <w:rPr>
          <w:rStyle w:val="34"/>
          <w:b/>
          <w:bCs w:val="0"/>
        </w:rPr>
      </w:pPr>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3</w:t>
      </w:r>
      <w:r>
        <w:fldChar w:fldCharType="end"/>
      </w:r>
      <w:r>
        <w:rPr>
          <w:rStyle w:val="34"/>
          <w:b/>
          <w:bCs w:val="0"/>
        </w:rPr>
        <w:t xml:space="preserve">  2017届</w:t>
      </w:r>
      <w:r>
        <w:rPr>
          <w:rStyle w:val="34"/>
          <w:rFonts w:hint="eastAsia"/>
          <w:b/>
          <w:bCs w:val="0"/>
        </w:rPr>
        <w:t>毕业生毕业去向分布</w:t>
      </w:r>
    </w:p>
    <w:tbl>
      <w:tblPr>
        <w:tblStyle w:val="110"/>
        <w:tblW w:w="8880" w:type="dxa"/>
        <w:jc w:val="center"/>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3796"/>
        <w:gridCol w:w="2199"/>
        <w:gridCol w:w="1295"/>
        <w:gridCol w:w="1590"/>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5" w:hRule="atLeast"/>
          <w:tblHeader/>
          <w:jc w:val="center"/>
        </w:trPr>
        <w:tc>
          <w:tcPr>
            <w:tcW w:w="3796"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毕业去向</w:t>
            </w:r>
          </w:p>
        </w:tc>
        <w:tc>
          <w:tcPr>
            <w:tcW w:w="2199"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人数</w:t>
            </w:r>
          </w:p>
        </w:tc>
        <w:tc>
          <w:tcPr>
            <w:tcW w:w="1295"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比例</w:t>
            </w:r>
          </w:p>
        </w:tc>
        <w:tc>
          <w:tcPr>
            <w:tcW w:w="1590"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就业率</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shd w:val="clear" w:color="auto" w:fill="C7E2FA" w:themeFill="accent1" w:themeFillTint="33"/>
            <w:vAlign w:val="center"/>
          </w:tcPr>
          <w:p>
            <w:pPr>
              <w:pStyle w:val="141"/>
              <w:rPr>
                <w:b w:val="0"/>
                <w:bCs/>
              </w:rPr>
            </w:pPr>
            <w:r>
              <w:rPr>
                <w:rFonts w:hint="eastAsia"/>
                <w:b w:val="0"/>
                <w:bCs/>
              </w:rPr>
              <w:t>签就业协议形式就业</w:t>
            </w:r>
          </w:p>
        </w:tc>
        <w:tc>
          <w:tcPr>
            <w:tcW w:w="2199" w:type="dxa"/>
            <w:shd w:val="clear" w:color="auto" w:fill="C7E2FA" w:themeFill="accent1" w:themeFillTint="33"/>
            <w:vAlign w:val="center"/>
          </w:tcPr>
          <w:p>
            <w:pPr>
              <w:pStyle w:val="141"/>
              <w:rPr>
                <w:rFonts w:cstheme="minorBidi"/>
                <w:color w:val="000000"/>
                <w:kern w:val="0"/>
                <w:szCs w:val="21"/>
              </w:rPr>
            </w:pPr>
            <w:r>
              <w:rPr>
                <w:rFonts w:hint="eastAsia" w:cstheme="minorBidi"/>
                <w:color w:val="000000"/>
                <w:kern w:val="0"/>
                <w:szCs w:val="21"/>
              </w:rPr>
              <w:t>888</w:t>
            </w:r>
          </w:p>
        </w:tc>
        <w:tc>
          <w:tcPr>
            <w:tcW w:w="1295" w:type="dxa"/>
            <w:shd w:val="clear" w:color="auto" w:fill="C7E2FA" w:themeFill="accent1" w:themeFillTint="33"/>
            <w:vAlign w:val="center"/>
          </w:tcPr>
          <w:p>
            <w:pPr>
              <w:pStyle w:val="141"/>
              <w:rPr>
                <w:rFonts w:cstheme="minorBidi"/>
                <w:color w:val="000000"/>
                <w:kern w:val="0"/>
                <w:szCs w:val="21"/>
              </w:rPr>
            </w:pPr>
            <w:r>
              <w:rPr>
                <w:rFonts w:hint="eastAsia" w:cstheme="minorBidi"/>
                <w:color w:val="000000"/>
                <w:kern w:val="0"/>
                <w:szCs w:val="21"/>
              </w:rPr>
              <w:t>55.64%</w:t>
            </w:r>
          </w:p>
        </w:tc>
        <w:tc>
          <w:tcPr>
            <w:tcW w:w="1590" w:type="dxa"/>
            <w:vMerge w:val="restart"/>
            <w:shd w:val="clear" w:color="auto" w:fill="C7E2FA" w:themeFill="accent1" w:themeFillTint="33"/>
            <w:vAlign w:val="center"/>
          </w:tcPr>
          <w:p>
            <w:pPr>
              <w:pStyle w:val="141"/>
              <w:rPr>
                <w:rFonts w:cstheme="minorBidi"/>
                <w:b/>
                <w:color w:val="0F6FC6" w:themeColor="accent1"/>
                <w:kern w:val="0"/>
                <w:sz w:val="30"/>
                <w:szCs w:val="30"/>
                <w14:textFill>
                  <w14:solidFill>
                    <w14:schemeClr w14:val="accent1"/>
                  </w14:solidFill>
                </w14:textFill>
              </w:rPr>
            </w:pPr>
            <w:r>
              <w:rPr>
                <w:rFonts w:hint="eastAsia" w:cstheme="minorBidi"/>
                <w:b/>
                <w:color w:val="0F6FC6" w:themeColor="accent1"/>
                <w:kern w:val="0"/>
                <w:sz w:val="30"/>
                <w:szCs w:val="30"/>
                <w14:textFill>
                  <w14:solidFill>
                    <w14:schemeClr w14:val="accent1"/>
                  </w14:solidFill>
                </w14:textFill>
              </w:rPr>
              <w:t>88.72</w:t>
            </w:r>
            <w:r>
              <w:rPr>
                <w:rFonts w:cstheme="minorBidi"/>
                <w:b/>
                <w:color w:val="0F6FC6" w:themeColor="accent1"/>
                <w:kern w:val="0"/>
                <w:sz w:val="30"/>
                <w:szCs w:val="30"/>
                <w14:textFill>
                  <w14:solidFill>
                    <w14:schemeClr w14:val="accent1"/>
                  </w14:solidFill>
                </w14:textFill>
              </w:rPr>
              <w:t>%</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vAlign w:val="center"/>
          </w:tcPr>
          <w:p>
            <w:pPr>
              <w:pStyle w:val="141"/>
              <w:rPr>
                <w:b w:val="0"/>
                <w:bCs/>
              </w:rPr>
            </w:pPr>
            <w:r>
              <w:rPr>
                <w:rFonts w:hint="eastAsia"/>
                <w:b w:val="0"/>
                <w:bCs/>
              </w:rPr>
              <w:t>其他录用形式就业</w:t>
            </w:r>
          </w:p>
        </w:tc>
        <w:tc>
          <w:tcPr>
            <w:tcW w:w="2199" w:type="dxa"/>
            <w:vAlign w:val="center"/>
          </w:tcPr>
          <w:p>
            <w:pPr>
              <w:pStyle w:val="141"/>
              <w:rPr>
                <w:rFonts w:cstheme="minorBidi"/>
                <w:color w:val="000000"/>
                <w:kern w:val="0"/>
                <w:szCs w:val="21"/>
              </w:rPr>
            </w:pPr>
            <w:r>
              <w:rPr>
                <w:rFonts w:hint="eastAsia" w:cstheme="minorBidi"/>
                <w:color w:val="000000"/>
                <w:kern w:val="0"/>
                <w:szCs w:val="21"/>
              </w:rPr>
              <w:t>341</w:t>
            </w:r>
          </w:p>
        </w:tc>
        <w:tc>
          <w:tcPr>
            <w:tcW w:w="1295" w:type="dxa"/>
            <w:vAlign w:val="center"/>
          </w:tcPr>
          <w:p>
            <w:pPr>
              <w:pStyle w:val="141"/>
              <w:rPr>
                <w:rFonts w:cstheme="minorBidi"/>
                <w:color w:val="000000"/>
                <w:kern w:val="0"/>
                <w:szCs w:val="21"/>
              </w:rPr>
            </w:pPr>
            <w:r>
              <w:rPr>
                <w:rFonts w:hint="eastAsia" w:cstheme="minorBidi"/>
                <w:color w:val="000000"/>
                <w:kern w:val="0"/>
                <w:szCs w:val="21"/>
              </w:rPr>
              <w:t>21.37%</w:t>
            </w:r>
          </w:p>
        </w:tc>
        <w:tc>
          <w:tcPr>
            <w:tcW w:w="1590" w:type="dxa"/>
            <w:vMerge w:val="continue"/>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shd w:val="clear" w:color="auto" w:fill="C7E2FA" w:themeFill="accent1" w:themeFillTint="33"/>
            <w:vAlign w:val="center"/>
          </w:tcPr>
          <w:p>
            <w:pPr>
              <w:pStyle w:val="141"/>
              <w:rPr>
                <w:b w:val="0"/>
                <w:bCs/>
              </w:rPr>
            </w:pPr>
            <w:r>
              <w:rPr>
                <w:rFonts w:hint="eastAsia"/>
                <w:b w:val="0"/>
                <w:bCs/>
              </w:rPr>
              <w:t>升学</w:t>
            </w:r>
          </w:p>
        </w:tc>
        <w:tc>
          <w:tcPr>
            <w:tcW w:w="2199" w:type="dxa"/>
            <w:shd w:val="clear" w:color="auto" w:fill="C7E2FA" w:themeFill="accent1" w:themeFillTint="33"/>
            <w:vAlign w:val="center"/>
          </w:tcPr>
          <w:p>
            <w:pPr>
              <w:pStyle w:val="141"/>
              <w:rPr>
                <w:rFonts w:cstheme="minorBidi"/>
                <w:color w:val="000000"/>
                <w:kern w:val="0"/>
                <w:szCs w:val="21"/>
              </w:rPr>
            </w:pPr>
            <w:r>
              <w:rPr>
                <w:rFonts w:hint="eastAsia" w:cstheme="minorBidi"/>
                <w:color w:val="000000"/>
                <w:kern w:val="0"/>
                <w:szCs w:val="21"/>
              </w:rPr>
              <w:t>184</w:t>
            </w:r>
          </w:p>
        </w:tc>
        <w:tc>
          <w:tcPr>
            <w:tcW w:w="1295" w:type="dxa"/>
            <w:shd w:val="clear" w:color="auto" w:fill="C7E2FA" w:themeFill="accent1" w:themeFillTint="33"/>
            <w:vAlign w:val="center"/>
          </w:tcPr>
          <w:p>
            <w:pPr>
              <w:pStyle w:val="141"/>
              <w:rPr>
                <w:rFonts w:cstheme="minorBidi"/>
                <w:color w:val="000000"/>
                <w:kern w:val="0"/>
                <w:szCs w:val="21"/>
              </w:rPr>
            </w:pPr>
            <w:r>
              <w:rPr>
                <w:rFonts w:hint="eastAsia" w:cstheme="minorBidi"/>
                <w:color w:val="000000"/>
                <w:kern w:val="0"/>
                <w:szCs w:val="21"/>
              </w:rPr>
              <w:t>11.53%</w:t>
            </w:r>
          </w:p>
        </w:tc>
        <w:tc>
          <w:tcPr>
            <w:tcW w:w="1590" w:type="dxa"/>
            <w:vMerge w:val="continue"/>
            <w:shd w:val="clear" w:color="auto" w:fill="C7E2FA" w:themeFill="accent1" w:themeFillTint="33"/>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vAlign w:val="center"/>
          </w:tcPr>
          <w:p>
            <w:pPr>
              <w:pStyle w:val="141"/>
              <w:rPr>
                <w:b w:val="0"/>
                <w:bCs/>
              </w:rPr>
            </w:pPr>
            <w:r>
              <w:rPr>
                <w:rFonts w:hint="eastAsia"/>
                <w:b w:val="0"/>
                <w:bCs/>
              </w:rPr>
              <w:t>签劳动合同形式就业</w:t>
            </w:r>
          </w:p>
        </w:tc>
        <w:tc>
          <w:tcPr>
            <w:tcW w:w="2199" w:type="dxa"/>
            <w:vAlign w:val="center"/>
          </w:tcPr>
          <w:p>
            <w:pPr>
              <w:pStyle w:val="141"/>
              <w:rPr>
                <w:rFonts w:cstheme="minorBidi"/>
                <w:color w:val="000000"/>
                <w:kern w:val="0"/>
                <w:szCs w:val="21"/>
              </w:rPr>
            </w:pPr>
            <w:r>
              <w:rPr>
                <w:rFonts w:hint="eastAsia" w:cstheme="minorBidi"/>
                <w:color w:val="000000"/>
                <w:kern w:val="0"/>
                <w:szCs w:val="21"/>
              </w:rPr>
              <w:t>3</w:t>
            </w:r>
          </w:p>
        </w:tc>
        <w:tc>
          <w:tcPr>
            <w:tcW w:w="1295" w:type="dxa"/>
            <w:vAlign w:val="center"/>
          </w:tcPr>
          <w:p>
            <w:pPr>
              <w:pStyle w:val="141"/>
              <w:rPr>
                <w:rFonts w:cstheme="minorBidi"/>
                <w:color w:val="000000"/>
                <w:kern w:val="0"/>
                <w:szCs w:val="21"/>
              </w:rPr>
            </w:pPr>
            <w:r>
              <w:rPr>
                <w:rFonts w:hint="eastAsia" w:cstheme="minorBidi"/>
                <w:color w:val="000000"/>
                <w:kern w:val="0"/>
                <w:szCs w:val="21"/>
              </w:rPr>
              <w:t>0.19%</w:t>
            </w:r>
          </w:p>
        </w:tc>
        <w:tc>
          <w:tcPr>
            <w:tcW w:w="1590" w:type="dxa"/>
            <w:vMerge w:val="continue"/>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shd w:val="clear" w:color="auto" w:fill="C7E2FA" w:themeFill="accent1" w:themeFillTint="33"/>
            <w:vAlign w:val="center"/>
          </w:tcPr>
          <w:p>
            <w:pPr>
              <w:pStyle w:val="141"/>
              <w:rPr>
                <w:b w:val="0"/>
                <w:bCs/>
              </w:rPr>
            </w:pPr>
            <w:r>
              <w:rPr>
                <w:rFonts w:hint="eastAsia"/>
                <w:b w:val="0"/>
                <w:bCs/>
              </w:rPr>
              <w:t>待就业</w:t>
            </w:r>
          </w:p>
        </w:tc>
        <w:tc>
          <w:tcPr>
            <w:tcW w:w="2199" w:type="dxa"/>
            <w:shd w:val="clear" w:color="auto" w:fill="C7E2FA" w:themeFill="accent1" w:themeFillTint="33"/>
            <w:vAlign w:val="center"/>
          </w:tcPr>
          <w:p>
            <w:pPr>
              <w:pStyle w:val="141"/>
              <w:rPr>
                <w:rFonts w:cstheme="minorBidi"/>
                <w:color w:val="000000"/>
                <w:kern w:val="0"/>
                <w:szCs w:val="21"/>
              </w:rPr>
            </w:pPr>
            <w:r>
              <w:rPr>
                <w:rFonts w:hint="eastAsia" w:cstheme="minorBidi"/>
                <w:color w:val="000000"/>
                <w:kern w:val="0"/>
                <w:szCs w:val="21"/>
              </w:rPr>
              <w:t>180</w:t>
            </w:r>
          </w:p>
        </w:tc>
        <w:tc>
          <w:tcPr>
            <w:tcW w:w="1295" w:type="dxa"/>
            <w:shd w:val="clear" w:color="auto" w:fill="C7E2FA" w:themeFill="accent1" w:themeFillTint="33"/>
            <w:vAlign w:val="center"/>
          </w:tcPr>
          <w:p>
            <w:pPr>
              <w:pStyle w:val="141"/>
              <w:rPr>
                <w:rFonts w:cstheme="minorBidi"/>
                <w:color w:val="000000"/>
                <w:kern w:val="0"/>
                <w:szCs w:val="21"/>
              </w:rPr>
            </w:pPr>
            <w:r>
              <w:rPr>
                <w:rFonts w:hint="eastAsia" w:cstheme="minorBidi"/>
                <w:color w:val="000000"/>
                <w:kern w:val="0"/>
                <w:szCs w:val="21"/>
              </w:rPr>
              <w:t>11.28%</w:t>
            </w:r>
          </w:p>
        </w:tc>
        <w:tc>
          <w:tcPr>
            <w:tcW w:w="1590" w:type="dxa"/>
            <w:shd w:val="clear" w:color="auto" w:fill="C7E2FA" w:themeFill="accent1" w:themeFillTint="33"/>
            <w:vAlign w:val="center"/>
          </w:tcPr>
          <w:p>
            <w:pPr>
              <w:spacing w:line="240" w:lineRule="auto"/>
              <w:ind w:firstLine="0" w:firstLineChars="0"/>
              <w:jc w:val="center"/>
              <w:rPr>
                <w:rFonts w:ascii="宋体" w:hAnsi="宋体" w:eastAsia="宋体" w:cs="宋体"/>
                <w:color w:val="000000"/>
                <w:sz w:val="22"/>
                <w:szCs w:val="22"/>
              </w:rPr>
            </w:pPr>
            <w:r>
              <w:rPr>
                <w:rFonts w:hint="eastAsia"/>
              </w:rPr>
              <w:t>-</w:t>
            </w:r>
          </w:p>
        </w:tc>
      </w:tr>
    </w:tbl>
    <w:p>
      <w:pPr>
        <w:pStyle w:val="139"/>
      </w:pPr>
      <w:r>
        <w:rPr>
          <w:rFonts w:hint="eastAsia"/>
        </w:rPr>
        <w:t>注</w:t>
      </w:r>
      <w:r>
        <w:t>：就业率=(</w:t>
      </w:r>
      <w:r>
        <w:rPr>
          <w:rFonts w:hint="eastAsia"/>
        </w:rPr>
        <w:t>签就业</w:t>
      </w:r>
      <w:r>
        <w:t>协议形式就业</w:t>
      </w:r>
      <w:r>
        <w:rPr>
          <w:rFonts w:hint="eastAsia"/>
        </w:rPr>
        <w:t>人数</w:t>
      </w:r>
      <w:r>
        <w:t>+</w:t>
      </w:r>
      <w:r>
        <w:rPr>
          <w:rFonts w:hint="eastAsia"/>
        </w:rPr>
        <w:t>升学人数</w:t>
      </w:r>
      <w:r>
        <w:t>+</w:t>
      </w:r>
      <w:r>
        <w:rPr>
          <w:rFonts w:hint="eastAsia"/>
        </w:rPr>
        <w:t>其他</w:t>
      </w:r>
      <w:r>
        <w:t>录用形式就业人数+</w:t>
      </w:r>
      <w:r>
        <w:rPr>
          <w:rFonts w:hint="eastAsia"/>
        </w:rPr>
        <w:t>签劳动合同形式就业人数</w:t>
      </w:r>
      <w:r>
        <w:t>)÷</w:t>
      </w:r>
      <w:r>
        <w:rPr>
          <w:rFonts w:hint="eastAsia"/>
        </w:rPr>
        <w:t>毕业生</w:t>
      </w:r>
      <w:r>
        <w:t>总人数×</w:t>
      </w:r>
      <w:r>
        <w:rPr>
          <w:rFonts w:ascii="Times New Roman" w:hAnsi="Times New Roman"/>
        </w:rPr>
        <w:t>100</w:t>
      </w:r>
      <w:r>
        <w:t>.</w:t>
      </w:r>
      <w:r>
        <w:rPr>
          <w:rFonts w:ascii="Times New Roman" w:hAnsi="Times New Roman"/>
        </w:rPr>
        <w:t>00</w:t>
      </w:r>
      <w:r>
        <w:rPr>
          <w:rFonts w:ascii="Times New Roman" w:hAnsi="Times New Roman" w:eastAsia="宋体"/>
        </w:rPr>
        <w:t>%</w:t>
      </w:r>
      <w:r>
        <w:rPr>
          <w:rFonts w:hint="eastAsia"/>
        </w:rPr>
        <w:t>。</w:t>
      </w:r>
    </w:p>
    <w:p>
      <w:pPr>
        <w:pStyle w:val="139"/>
      </w:pPr>
      <w:r>
        <w:rPr>
          <w:rFonts w:hint="eastAsia"/>
        </w:rPr>
        <w:t>数据来源：江苏省高校毕业生就业管理信息系统。</w:t>
      </w:r>
      <w:bookmarkStart w:id="34" w:name="_Toc443997307"/>
      <w:bookmarkStart w:id="35" w:name="_Toc443998738"/>
      <w:bookmarkStart w:id="36" w:name="_Toc443997611"/>
    </w:p>
    <w:p>
      <w:pPr>
        <w:pStyle w:val="131"/>
        <w:ind w:firstLine="482"/>
      </w:pPr>
      <w:r>
        <w:rPr>
          <w:rFonts w:hint="eastAsia"/>
          <w:b/>
          <w:color w:val="0F6FC6" w:themeColor="accent1"/>
          <w14:textFill>
            <w14:solidFill>
              <w14:schemeClr w14:val="accent1"/>
            </w14:solidFill>
          </w14:textFill>
        </w:rPr>
        <w:t>年终就业率及毕业去向：</w:t>
      </w:r>
      <w:r>
        <w:rPr>
          <w:rFonts w:hint="eastAsia"/>
        </w:rPr>
        <w:t>截止到2017年</w:t>
      </w:r>
      <w:r>
        <w:t>12</w:t>
      </w:r>
      <w:r>
        <w:rPr>
          <w:rFonts w:hint="eastAsia"/>
        </w:rPr>
        <w:t>月31日</w:t>
      </w:r>
      <w:r>
        <w:t>，</w:t>
      </w:r>
      <w:r>
        <w:rPr>
          <w:rFonts w:hint="eastAsia"/>
        </w:rPr>
        <w:t>学校</w:t>
      </w:r>
      <w:r>
        <w:t>2017届</w:t>
      </w:r>
      <w:r>
        <w:rPr>
          <w:rFonts w:hint="eastAsia"/>
        </w:rPr>
        <w:t>毕业生年终就业率为</w:t>
      </w:r>
      <w:r>
        <w:t>96.80%</w:t>
      </w:r>
      <w:r>
        <w:rPr>
          <w:rFonts w:hint="eastAsia"/>
        </w:rPr>
        <w:t>，从具体毕业去向来看，“签</w:t>
      </w:r>
      <w:r>
        <w:t>就业</w:t>
      </w:r>
      <w:r>
        <w:rPr>
          <w:rFonts w:hint="eastAsia"/>
        </w:rPr>
        <w:t>协议形式就业”仍为毕业生主要去向选择，占比为</w:t>
      </w:r>
      <w:r>
        <w:t>59.27</w:t>
      </w:r>
      <w:r>
        <w:rPr>
          <w:rFonts w:hint="eastAsia"/>
        </w:rPr>
        <w:t>%，“签</w:t>
      </w:r>
      <w:r>
        <w:t>就业</w:t>
      </w:r>
      <w:r>
        <w:rPr>
          <w:rFonts w:hint="eastAsia"/>
        </w:rPr>
        <w:t>协议形式就业”、“其他录用</w:t>
      </w:r>
      <w:r>
        <w:t>形式</w:t>
      </w:r>
      <w:r>
        <w:rPr>
          <w:rFonts w:hint="eastAsia"/>
        </w:rPr>
        <w:t>就业”、“升学”较初次统计分别上升</w:t>
      </w:r>
      <w:r>
        <w:t>3.63</w:t>
      </w:r>
      <w:r>
        <w:rPr>
          <w:rFonts w:hint="eastAsia"/>
        </w:rPr>
        <w:t>、</w:t>
      </w:r>
      <w:r>
        <w:t>3.94</w:t>
      </w:r>
      <w:r>
        <w:rPr>
          <w:rFonts w:hint="eastAsia"/>
        </w:rPr>
        <w:t>、</w:t>
      </w:r>
      <w:r>
        <w:t>0.50</w:t>
      </w:r>
      <w:r>
        <w:rPr>
          <w:rFonts w:hint="eastAsia"/>
        </w:rPr>
        <w:t>个百分点。</w:t>
      </w:r>
    </w:p>
    <w:p>
      <w:pPr>
        <w:pStyle w:val="137"/>
        <w:rPr>
          <w:rStyle w:val="34"/>
          <w:b/>
          <w:bCs w:val="0"/>
        </w:rPr>
      </w:pPr>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4</w:t>
      </w:r>
      <w:r>
        <w:fldChar w:fldCharType="end"/>
      </w:r>
      <w:r>
        <w:rPr>
          <w:rStyle w:val="34"/>
          <w:b/>
          <w:bCs w:val="0"/>
        </w:rPr>
        <w:t xml:space="preserve">  2017届</w:t>
      </w:r>
      <w:r>
        <w:rPr>
          <w:rStyle w:val="34"/>
          <w:rFonts w:hint="eastAsia"/>
          <w:b/>
          <w:bCs w:val="0"/>
        </w:rPr>
        <w:t>毕业生毕业去向分布</w:t>
      </w:r>
    </w:p>
    <w:tbl>
      <w:tblPr>
        <w:tblStyle w:val="110"/>
        <w:tblW w:w="7976" w:type="dxa"/>
        <w:jc w:val="center"/>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3796"/>
        <w:gridCol w:w="1295"/>
        <w:gridCol w:w="1295"/>
        <w:gridCol w:w="1590"/>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5" w:hRule="atLeast"/>
          <w:tblHeader/>
          <w:jc w:val="center"/>
        </w:trPr>
        <w:tc>
          <w:tcPr>
            <w:tcW w:w="3796"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毕业去向</w:t>
            </w:r>
          </w:p>
        </w:tc>
        <w:tc>
          <w:tcPr>
            <w:tcW w:w="1295"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人数</w:t>
            </w:r>
          </w:p>
        </w:tc>
        <w:tc>
          <w:tcPr>
            <w:tcW w:w="1295"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比例</w:t>
            </w:r>
          </w:p>
        </w:tc>
        <w:tc>
          <w:tcPr>
            <w:tcW w:w="1590"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就业率</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shd w:val="clear" w:color="auto" w:fill="C7E2FA" w:themeFill="accent1" w:themeFillTint="33"/>
            <w:vAlign w:val="top"/>
          </w:tcPr>
          <w:p>
            <w:pPr>
              <w:pStyle w:val="141"/>
              <w:rPr>
                <w:b w:val="0"/>
                <w:bCs/>
              </w:rPr>
            </w:pPr>
            <w:r>
              <w:rPr>
                <w:rFonts w:hint="eastAsia"/>
                <w:b w:val="0"/>
                <w:bCs/>
              </w:rPr>
              <w:t>签就业协议形式就业</w:t>
            </w:r>
          </w:p>
        </w:tc>
        <w:tc>
          <w:tcPr>
            <w:tcW w:w="1295" w:type="dxa"/>
            <w:shd w:val="clear" w:color="auto" w:fill="C7E2FA" w:themeFill="accent1" w:themeFillTint="33"/>
            <w:vAlign w:val="top"/>
          </w:tcPr>
          <w:p>
            <w:pPr>
              <w:pStyle w:val="141"/>
              <w:rPr>
                <w:rFonts w:cstheme="minorBidi"/>
                <w:color w:val="000000"/>
                <w:kern w:val="0"/>
                <w:szCs w:val="21"/>
              </w:rPr>
            </w:pPr>
            <w:r>
              <w:rPr>
                <w:rFonts w:hint="eastAsia"/>
              </w:rPr>
              <w:t>946</w:t>
            </w:r>
          </w:p>
        </w:tc>
        <w:tc>
          <w:tcPr>
            <w:tcW w:w="1295" w:type="dxa"/>
            <w:shd w:val="clear" w:color="auto" w:fill="C7E2FA" w:themeFill="accent1" w:themeFillTint="33"/>
            <w:vAlign w:val="top"/>
          </w:tcPr>
          <w:p>
            <w:pPr>
              <w:pStyle w:val="141"/>
              <w:rPr>
                <w:rFonts w:cstheme="minorBidi"/>
                <w:color w:val="000000"/>
                <w:kern w:val="0"/>
                <w:szCs w:val="21"/>
              </w:rPr>
            </w:pPr>
            <w:r>
              <w:rPr>
                <w:rFonts w:hint="eastAsia"/>
              </w:rPr>
              <w:t>59.27%</w:t>
            </w:r>
          </w:p>
        </w:tc>
        <w:tc>
          <w:tcPr>
            <w:tcW w:w="1590" w:type="dxa"/>
            <w:vMerge w:val="restart"/>
            <w:shd w:val="clear" w:color="auto" w:fill="C7E2FA" w:themeFill="accent1" w:themeFillTint="33"/>
            <w:vAlign w:val="center"/>
          </w:tcPr>
          <w:p>
            <w:pPr>
              <w:pStyle w:val="141"/>
              <w:rPr>
                <w:rFonts w:cstheme="minorBidi"/>
                <w:b/>
                <w:color w:val="0F6FC6" w:themeColor="accent1"/>
                <w:kern w:val="0"/>
                <w:sz w:val="30"/>
                <w:szCs w:val="30"/>
                <w14:textFill>
                  <w14:solidFill>
                    <w14:schemeClr w14:val="accent1"/>
                  </w14:solidFill>
                </w14:textFill>
              </w:rPr>
            </w:pPr>
            <w:r>
              <w:rPr>
                <w:rFonts w:cstheme="minorBidi"/>
                <w:b/>
                <w:color w:val="0F6FC6" w:themeColor="accent1"/>
                <w:kern w:val="0"/>
                <w:sz w:val="30"/>
                <w:szCs w:val="30"/>
                <w14:textFill>
                  <w14:solidFill>
                    <w14:schemeClr w14:val="accent1"/>
                  </w14:solidFill>
                </w14:textFill>
              </w:rPr>
              <w:t>96.80%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vAlign w:val="top"/>
          </w:tcPr>
          <w:p>
            <w:pPr>
              <w:pStyle w:val="141"/>
              <w:rPr>
                <w:b w:val="0"/>
                <w:bCs/>
              </w:rPr>
            </w:pPr>
            <w:r>
              <w:rPr>
                <w:rFonts w:hint="eastAsia"/>
                <w:b w:val="0"/>
                <w:bCs/>
              </w:rPr>
              <w:t>其他录用形式就业</w:t>
            </w:r>
          </w:p>
        </w:tc>
        <w:tc>
          <w:tcPr>
            <w:tcW w:w="1295" w:type="dxa"/>
            <w:vAlign w:val="top"/>
          </w:tcPr>
          <w:p>
            <w:pPr>
              <w:pStyle w:val="141"/>
              <w:rPr>
                <w:rFonts w:cstheme="minorBidi"/>
                <w:color w:val="000000"/>
                <w:kern w:val="0"/>
                <w:szCs w:val="21"/>
              </w:rPr>
            </w:pPr>
            <w:r>
              <w:rPr>
                <w:rFonts w:hint="eastAsia"/>
              </w:rPr>
              <w:t>404</w:t>
            </w:r>
          </w:p>
        </w:tc>
        <w:tc>
          <w:tcPr>
            <w:tcW w:w="1295" w:type="dxa"/>
            <w:vAlign w:val="top"/>
          </w:tcPr>
          <w:p>
            <w:pPr>
              <w:pStyle w:val="141"/>
              <w:rPr>
                <w:rFonts w:cstheme="minorBidi"/>
                <w:color w:val="000000"/>
                <w:kern w:val="0"/>
                <w:szCs w:val="21"/>
              </w:rPr>
            </w:pPr>
            <w:r>
              <w:rPr>
                <w:rFonts w:hint="eastAsia"/>
              </w:rPr>
              <w:t>25.31%</w:t>
            </w:r>
          </w:p>
        </w:tc>
        <w:tc>
          <w:tcPr>
            <w:tcW w:w="1590" w:type="dxa"/>
            <w:vMerge w:val="continue"/>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shd w:val="clear" w:color="auto" w:fill="C7E2FA" w:themeFill="accent1" w:themeFillTint="33"/>
            <w:vAlign w:val="top"/>
          </w:tcPr>
          <w:p>
            <w:pPr>
              <w:pStyle w:val="141"/>
              <w:rPr>
                <w:b w:val="0"/>
                <w:bCs/>
              </w:rPr>
            </w:pPr>
            <w:r>
              <w:rPr>
                <w:rFonts w:hint="eastAsia"/>
                <w:b w:val="0"/>
                <w:bCs/>
              </w:rPr>
              <w:t>升学</w:t>
            </w:r>
          </w:p>
        </w:tc>
        <w:tc>
          <w:tcPr>
            <w:tcW w:w="1295" w:type="dxa"/>
            <w:shd w:val="clear" w:color="auto" w:fill="C7E2FA" w:themeFill="accent1" w:themeFillTint="33"/>
            <w:vAlign w:val="top"/>
          </w:tcPr>
          <w:p>
            <w:pPr>
              <w:pStyle w:val="141"/>
              <w:rPr>
                <w:rFonts w:cstheme="minorBidi"/>
                <w:color w:val="000000"/>
                <w:kern w:val="0"/>
                <w:szCs w:val="21"/>
              </w:rPr>
            </w:pPr>
            <w:r>
              <w:rPr>
                <w:rFonts w:hint="eastAsia"/>
              </w:rPr>
              <w:t>192</w:t>
            </w:r>
          </w:p>
        </w:tc>
        <w:tc>
          <w:tcPr>
            <w:tcW w:w="1295" w:type="dxa"/>
            <w:shd w:val="clear" w:color="auto" w:fill="C7E2FA" w:themeFill="accent1" w:themeFillTint="33"/>
            <w:vAlign w:val="top"/>
          </w:tcPr>
          <w:p>
            <w:pPr>
              <w:pStyle w:val="141"/>
              <w:rPr>
                <w:rFonts w:cstheme="minorBidi"/>
                <w:color w:val="000000"/>
                <w:kern w:val="0"/>
                <w:szCs w:val="21"/>
              </w:rPr>
            </w:pPr>
            <w:r>
              <w:rPr>
                <w:rFonts w:hint="eastAsia"/>
              </w:rPr>
              <w:t>12.03%</w:t>
            </w:r>
          </w:p>
        </w:tc>
        <w:tc>
          <w:tcPr>
            <w:tcW w:w="1590" w:type="dxa"/>
            <w:vMerge w:val="continue"/>
            <w:shd w:val="clear" w:color="auto" w:fill="C7E2FA" w:themeFill="accent1" w:themeFillTint="33"/>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vAlign w:val="top"/>
          </w:tcPr>
          <w:p>
            <w:pPr>
              <w:pStyle w:val="141"/>
              <w:rPr>
                <w:b w:val="0"/>
                <w:bCs/>
              </w:rPr>
            </w:pPr>
            <w:r>
              <w:rPr>
                <w:rFonts w:hint="eastAsia"/>
                <w:b w:val="0"/>
                <w:bCs/>
              </w:rPr>
              <w:t>签劳动合同形式就业</w:t>
            </w:r>
          </w:p>
        </w:tc>
        <w:tc>
          <w:tcPr>
            <w:tcW w:w="1295" w:type="dxa"/>
            <w:vAlign w:val="top"/>
          </w:tcPr>
          <w:p>
            <w:pPr>
              <w:pStyle w:val="141"/>
              <w:rPr>
                <w:rFonts w:cstheme="minorBidi"/>
                <w:color w:val="000000"/>
                <w:kern w:val="0"/>
                <w:szCs w:val="21"/>
              </w:rPr>
            </w:pPr>
            <w:r>
              <w:rPr>
                <w:rFonts w:hint="eastAsia"/>
              </w:rPr>
              <w:t>3</w:t>
            </w:r>
          </w:p>
        </w:tc>
        <w:tc>
          <w:tcPr>
            <w:tcW w:w="1295" w:type="dxa"/>
            <w:vAlign w:val="top"/>
          </w:tcPr>
          <w:p>
            <w:pPr>
              <w:pStyle w:val="141"/>
              <w:rPr>
                <w:rFonts w:cstheme="minorBidi"/>
                <w:color w:val="000000"/>
                <w:kern w:val="0"/>
                <w:szCs w:val="21"/>
              </w:rPr>
            </w:pPr>
            <w:r>
              <w:rPr>
                <w:rFonts w:hint="eastAsia"/>
              </w:rPr>
              <w:t>0.19%</w:t>
            </w:r>
          </w:p>
        </w:tc>
        <w:tc>
          <w:tcPr>
            <w:tcW w:w="1590" w:type="dxa"/>
            <w:vMerge w:val="continue"/>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796" w:type="dxa"/>
            <w:shd w:val="clear" w:color="auto" w:fill="C7E2FA" w:themeFill="accent1" w:themeFillTint="33"/>
            <w:vAlign w:val="top"/>
          </w:tcPr>
          <w:p>
            <w:pPr>
              <w:pStyle w:val="141"/>
              <w:rPr>
                <w:b w:val="0"/>
                <w:bCs/>
              </w:rPr>
            </w:pPr>
            <w:r>
              <w:rPr>
                <w:rFonts w:hint="eastAsia"/>
                <w:b w:val="0"/>
                <w:bCs/>
              </w:rPr>
              <w:t>待就业</w:t>
            </w:r>
          </w:p>
        </w:tc>
        <w:tc>
          <w:tcPr>
            <w:tcW w:w="1295" w:type="dxa"/>
            <w:shd w:val="clear" w:color="auto" w:fill="C7E2FA" w:themeFill="accent1" w:themeFillTint="33"/>
            <w:vAlign w:val="top"/>
          </w:tcPr>
          <w:p>
            <w:pPr>
              <w:pStyle w:val="141"/>
              <w:rPr>
                <w:rFonts w:cstheme="minorBidi"/>
                <w:color w:val="000000"/>
                <w:kern w:val="0"/>
                <w:szCs w:val="21"/>
              </w:rPr>
            </w:pPr>
            <w:r>
              <w:rPr>
                <w:rFonts w:hint="eastAsia"/>
              </w:rPr>
              <w:t>51</w:t>
            </w:r>
          </w:p>
        </w:tc>
        <w:tc>
          <w:tcPr>
            <w:tcW w:w="1295" w:type="dxa"/>
            <w:shd w:val="clear" w:color="auto" w:fill="C7E2FA" w:themeFill="accent1" w:themeFillTint="33"/>
            <w:vAlign w:val="top"/>
          </w:tcPr>
          <w:p>
            <w:pPr>
              <w:pStyle w:val="141"/>
              <w:rPr>
                <w:rFonts w:cstheme="minorBidi"/>
                <w:color w:val="000000"/>
                <w:kern w:val="0"/>
                <w:szCs w:val="21"/>
              </w:rPr>
            </w:pPr>
            <w:r>
              <w:rPr>
                <w:rFonts w:hint="eastAsia"/>
              </w:rPr>
              <w:t>3.20%</w:t>
            </w:r>
          </w:p>
        </w:tc>
        <w:tc>
          <w:tcPr>
            <w:tcW w:w="1590" w:type="dxa"/>
            <w:shd w:val="clear" w:color="auto" w:fill="C7E2FA" w:themeFill="accent1" w:themeFillTint="33"/>
            <w:vAlign w:val="center"/>
          </w:tcPr>
          <w:p>
            <w:pPr>
              <w:spacing w:line="240" w:lineRule="auto"/>
              <w:ind w:firstLine="0" w:firstLineChars="0"/>
              <w:jc w:val="center"/>
              <w:rPr>
                <w:rFonts w:ascii="宋体" w:hAnsi="宋体" w:eastAsia="宋体" w:cs="宋体"/>
                <w:color w:val="000000"/>
                <w:sz w:val="22"/>
                <w:szCs w:val="22"/>
              </w:rPr>
            </w:pPr>
            <w:r>
              <w:rPr>
                <w:rFonts w:hint="eastAsia"/>
              </w:rPr>
              <w:t>-</w:t>
            </w:r>
          </w:p>
        </w:tc>
      </w:tr>
    </w:tbl>
    <w:p>
      <w:pPr>
        <w:pStyle w:val="139"/>
      </w:pPr>
      <w:r>
        <w:rPr>
          <w:rFonts w:hint="eastAsia"/>
        </w:rPr>
        <w:t>注</w:t>
      </w:r>
      <w:r>
        <w:t>：就业率=(</w:t>
      </w:r>
      <w:r>
        <w:rPr>
          <w:rFonts w:hint="eastAsia"/>
        </w:rPr>
        <w:t>签就业</w:t>
      </w:r>
      <w:r>
        <w:t>协议形式就业</w:t>
      </w:r>
      <w:r>
        <w:rPr>
          <w:rFonts w:hint="eastAsia"/>
        </w:rPr>
        <w:t>人数</w:t>
      </w:r>
      <w:r>
        <w:t>+</w:t>
      </w:r>
      <w:r>
        <w:rPr>
          <w:rFonts w:hint="eastAsia"/>
        </w:rPr>
        <w:t>升学人数</w:t>
      </w:r>
      <w:r>
        <w:t>+</w:t>
      </w:r>
      <w:r>
        <w:rPr>
          <w:rFonts w:hint="eastAsia"/>
        </w:rPr>
        <w:t>其他</w:t>
      </w:r>
      <w:r>
        <w:t>录用形式就业人数+</w:t>
      </w:r>
      <w:r>
        <w:rPr>
          <w:rFonts w:hint="eastAsia"/>
        </w:rPr>
        <w:t>签劳动合同形式就业人数</w:t>
      </w:r>
      <w:r>
        <w:t>)÷</w:t>
      </w:r>
      <w:r>
        <w:rPr>
          <w:rFonts w:hint="eastAsia"/>
        </w:rPr>
        <w:t>毕业生</w:t>
      </w:r>
      <w:r>
        <w:t>总人数×</w:t>
      </w:r>
      <w:r>
        <w:rPr>
          <w:rFonts w:ascii="Times New Roman" w:hAnsi="Times New Roman"/>
        </w:rPr>
        <w:t>100</w:t>
      </w:r>
      <w:r>
        <w:t>.</w:t>
      </w:r>
      <w:r>
        <w:rPr>
          <w:rFonts w:ascii="Times New Roman" w:hAnsi="Times New Roman"/>
        </w:rPr>
        <w:t>00</w:t>
      </w:r>
      <w:r>
        <w:rPr>
          <w:rFonts w:ascii="Times New Roman" w:hAnsi="Times New Roman" w:eastAsia="宋体"/>
        </w:rPr>
        <w:t>%</w:t>
      </w:r>
      <w:r>
        <w:rPr>
          <w:rFonts w:hint="eastAsia"/>
        </w:rPr>
        <w:t>。</w:t>
      </w:r>
    </w:p>
    <w:p>
      <w:pPr>
        <w:pStyle w:val="139"/>
      </w:pPr>
      <w:r>
        <w:rPr>
          <w:rFonts w:hint="eastAsia"/>
        </w:rPr>
        <w:t>数据来源：江苏省高校毕业生就业管理信息系统。</w:t>
      </w:r>
    </w:p>
    <w:p>
      <w:pPr>
        <w:pStyle w:val="135"/>
        <w:spacing w:before="163" w:after="163"/>
      </w:pPr>
      <w:bookmarkStart w:id="37" w:name="_Toc521402014"/>
      <w:r>
        <w:rPr>
          <w:rFonts w:hint="eastAsia"/>
        </w:rPr>
        <w:t>（二）各分院/</w:t>
      </w:r>
      <w:r>
        <w:t>专业</w:t>
      </w:r>
      <w:r>
        <w:rPr>
          <w:rFonts w:hint="eastAsia"/>
        </w:rPr>
        <w:t>就业率</w:t>
      </w:r>
      <w:bookmarkEnd w:id="34"/>
      <w:bookmarkEnd w:id="35"/>
      <w:bookmarkEnd w:id="36"/>
      <w:bookmarkEnd w:id="37"/>
    </w:p>
    <w:p>
      <w:pPr>
        <w:pStyle w:val="131"/>
      </w:pPr>
      <w:r>
        <w:rPr>
          <w:rFonts w:hint="eastAsia"/>
        </w:rPr>
        <w:t>2017届</w:t>
      </w:r>
      <w:r>
        <w:t>毕业生分布在2</w:t>
      </w:r>
      <w:r>
        <w:rPr>
          <w:rFonts w:hint="eastAsia"/>
        </w:rPr>
        <w:t>个院分院</w:t>
      </w:r>
      <w:r>
        <w:t>，</w:t>
      </w:r>
      <w:r>
        <w:rPr>
          <w:rFonts w:hint="eastAsia"/>
        </w:rPr>
        <w:t>各分院就业率均在</w:t>
      </w:r>
      <w:r>
        <w:t>95.00%</w:t>
      </w:r>
      <w:r>
        <w:rPr>
          <w:rFonts w:hint="eastAsia"/>
        </w:rPr>
        <w:t>以上。其中阜宁分院毕业生的就业率最高，达到</w:t>
      </w:r>
      <w:r>
        <w:t>98.22%</w:t>
      </w:r>
      <w:r>
        <w:rPr>
          <w:rFonts w:hint="eastAsia"/>
        </w:rPr>
        <w:t>。</w:t>
      </w:r>
    </w:p>
    <w:p>
      <w:pPr>
        <w:pStyle w:val="131"/>
        <w:ind w:firstLine="0" w:firstLineChars="0"/>
        <w:rPr>
          <w:rStyle w:val="34"/>
          <w:b w:val="0"/>
          <w:bCs w:val="0"/>
        </w:rPr>
      </w:pPr>
      <w:r>
        <w:drawing>
          <wp:inline distT="0" distB="0" distL="0" distR="0">
            <wp:extent cx="5193030" cy="1017905"/>
            <wp:effectExtent l="0" t="0" r="762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37"/>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3</w:t>
      </w:r>
      <w:r>
        <w:fldChar w:fldCharType="end"/>
      </w:r>
      <w:r>
        <w:rPr>
          <w:rStyle w:val="34"/>
          <w:b/>
          <w:bCs w:val="0"/>
        </w:rPr>
        <w:t xml:space="preserve">  2017届</w:t>
      </w:r>
      <w:r>
        <w:rPr>
          <w:rStyle w:val="34"/>
          <w:rFonts w:hint="eastAsia"/>
          <w:b/>
          <w:bCs w:val="0"/>
        </w:rPr>
        <w:t>各院系毕业生就业率</w:t>
      </w:r>
    </w:p>
    <w:p>
      <w:pPr>
        <w:pStyle w:val="139"/>
      </w:pPr>
      <w:r>
        <w:rPr>
          <w:rFonts w:hint="eastAsia"/>
        </w:rPr>
        <w:t>数据来源：江苏省高校毕业生就业管理信息系统。</w:t>
      </w:r>
    </w:p>
    <w:p>
      <w:pPr>
        <w:pStyle w:val="131"/>
      </w:pPr>
      <w:r>
        <w:rPr>
          <w:rFonts w:hint="eastAsia"/>
        </w:rPr>
        <w:t>学校2017届毕业生</w:t>
      </w:r>
      <w:r>
        <w:t>分布在15</w:t>
      </w:r>
      <w:r>
        <w:rPr>
          <w:rFonts w:hint="eastAsia"/>
        </w:rPr>
        <w:t>个</w:t>
      </w:r>
      <w:r>
        <w:t>专业</w:t>
      </w:r>
      <w:r>
        <w:rPr>
          <w:rFonts w:hint="eastAsia"/>
        </w:rPr>
        <w:t>；除环境</w:t>
      </w:r>
      <w:r>
        <w:t>艺术设计和音乐表演</w:t>
      </w:r>
      <w:r>
        <w:rPr>
          <w:rFonts w:hint="eastAsia"/>
        </w:rPr>
        <w:t>专业之外，其余各专业就业率均在</w:t>
      </w:r>
      <w:r>
        <w:t>94.00%</w:t>
      </w:r>
      <w:r>
        <w:rPr>
          <w:rFonts w:hint="eastAsia"/>
        </w:rPr>
        <w:t>以上。其中，小学教育（盐城分院）、学前教育（阜宁分院）、小学教育（阜宁分院）等</w:t>
      </w:r>
      <w:r>
        <w:t>8</w:t>
      </w:r>
      <w:r>
        <w:rPr>
          <w:rFonts w:hint="eastAsia"/>
        </w:rPr>
        <w:t>个专业的就业率达到</w:t>
      </w:r>
      <w:r>
        <w:t>100.00%</w:t>
      </w:r>
      <w:r>
        <w:rPr>
          <w:rFonts w:hint="eastAsia"/>
        </w:rPr>
        <w:t>。</w:t>
      </w:r>
    </w:p>
    <w:p>
      <w:pPr>
        <w:pStyle w:val="137"/>
        <w:rPr>
          <w:rStyle w:val="34"/>
          <w:b/>
          <w:bCs w:val="0"/>
        </w:rPr>
      </w:pPr>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5</w:t>
      </w:r>
      <w:r>
        <w:fldChar w:fldCharType="end"/>
      </w:r>
      <w:r>
        <w:rPr>
          <w:rStyle w:val="34"/>
          <w:b/>
          <w:bCs w:val="0"/>
        </w:rPr>
        <w:t xml:space="preserve">  2017届</w:t>
      </w:r>
      <w:r>
        <w:rPr>
          <w:rStyle w:val="34"/>
          <w:rFonts w:hint="eastAsia"/>
          <w:b/>
          <w:bCs w:val="0"/>
        </w:rPr>
        <w:t>各专业毕业生就业率</w:t>
      </w:r>
    </w:p>
    <w:tbl>
      <w:tblPr>
        <w:tblStyle w:val="110"/>
        <w:tblW w:w="8778" w:type="dxa"/>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4239"/>
        <w:gridCol w:w="1486"/>
        <w:gridCol w:w="1568"/>
        <w:gridCol w:w="1485"/>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5" w:hRule="atLeast"/>
        </w:trPr>
        <w:tc>
          <w:tcPr>
            <w:tcW w:w="4239"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专业</w:t>
            </w:r>
          </w:p>
        </w:tc>
        <w:tc>
          <w:tcPr>
            <w:tcW w:w="1486"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毕业人数</w:t>
            </w:r>
          </w:p>
        </w:tc>
        <w:tc>
          <w:tcPr>
            <w:tcW w:w="1568"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就业人数</w:t>
            </w:r>
          </w:p>
        </w:tc>
        <w:tc>
          <w:tcPr>
            <w:tcW w:w="1485"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spacing w:line="240" w:lineRule="auto"/>
              <w:ind w:firstLine="0" w:firstLineChars="0"/>
              <w:jc w:val="center"/>
              <w:rPr>
                <w:rFonts w:ascii="Times New Roman" w:hAnsi="Times New Roman" w:cs="Times New Roman"/>
                <w:b/>
                <w:bCs/>
                <w:color w:val="FFFFFF"/>
                <w:sz w:val="21"/>
                <w:szCs w:val="21"/>
              </w:rPr>
            </w:pPr>
            <w:r>
              <w:rPr>
                <w:rFonts w:ascii="Times New Roman" w:hAnsi="Times New Roman" w:cs="Times New Roman"/>
                <w:b/>
                <w:bCs/>
                <w:color w:val="FFFFFF"/>
                <w:sz w:val="21"/>
                <w:szCs w:val="21"/>
              </w:rPr>
              <w:t>就业率</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bookmarkStart w:id="38" w:name="_Hlk510279604"/>
            <w:r>
              <w:rPr>
                <w:rFonts w:ascii="Times New Roman" w:hAnsi="Times New Roman" w:cs="Times New Roman"/>
                <w:b w:val="0"/>
                <w:bCs/>
                <w:color w:val="000000"/>
                <w:sz w:val="21"/>
                <w:szCs w:val="21"/>
              </w:rPr>
              <w:t>小学教育（盐城分院）</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268</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268</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学前教育（阜宁分院）</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253</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253</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小学教育（阜宁分院）</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133</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133</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bookmarkEnd w:id="38"/>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动漫设计与制作</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51</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51</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酒店管理</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商务英语（盐城分院）</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商务日语</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商务英语（阜宁分院）</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学前教育（盐城分院）</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443</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440</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99.32%</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计算机应用技术（阜宁分院）</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39</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97.50%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计算机应用技术（盐城分院）</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39</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38</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97.44%</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应用韩语</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56</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54</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96.43%</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建筑工程技术</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184</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174</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94.57%</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环境艺术设计</w:t>
            </w:r>
          </w:p>
        </w:tc>
        <w:tc>
          <w:tcPr>
            <w:tcW w:w="1486"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32</w:t>
            </w:r>
          </w:p>
        </w:tc>
        <w:tc>
          <w:tcPr>
            <w:tcW w:w="1568"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485" w:type="dxa"/>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9.38%</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trPr>
        <w:tc>
          <w:tcPr>
            <w:tcW w:w="4239"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t>音乐表演</w:t>
            </w:r>
          </w:p>
        </w:tc>
        <w:tc>
          <w:tcPr>
            <w:tcW w:w="1486"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568"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1485"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0.00%</w:t>
            </w:r>
          </w:p>
        </w:tc>
      </w:tr>
    </w:tbl>
    <w:p>
      <w:pPr>
        <w:pStyle w:val="139"/>
      </w:pPr>
      <w:r>
        <w:rPr>
          <w:rFonts w:hint="eastAsia"/>
        </w:rPr>
        <w:t>数据来源：江苏省高校毕业生就业管理信息系统。</w:t>
      </w:r>
    </w:p>
    <w:p>
      <w:pPr>
        <w:pStyle w:val="135"/>
        <w:spacing w:before="163" w:after="163"/>
      </w:pPr>
      <w:bookmarkStart w:id="39" w:name="_Toc443485577"/>
      <w:bookmarkStart w:id="40" w:name="_Toc443997308"/>
      <w:bookmarkStart w:id="41" w:name="_Toc443997612"/>
      <w:bookmarkStart w:id="42" w:name="_Toc443998739"/>
      <w:bookmarkStart w:id="43" w:name="_Toc521402015"/>
      <w:r>
        <w:rPr>
          <w:rFonts w:ascii="Times New Roman" w:hAnsi="Times New Roman"/>
        </w:rPr>
        <w:drawing>
          <wp:anchor distT="0" distB="0" distL="114300" distR="114300" simplePos="0" relativeHeight="251732992" behindDoc="0" locked="0" layoutInCell="1" allowOverlap="1">
            <wp:simplePos x="0" y="0"/>
            <wp:positionH relativeFrom="column">
              <wp:posOffset>-363855</wp:posOffset>
            </wp:positionH>
            <wp:positionV relativeFrom="paragraph">
              <wp:posOffset>509905</wp:posOffset>
            </wp:positionV>
            <wp:extent cx="4330700" cy="2440940"/>
            <wp:effectExtent l="0" t="0" r="13335" b="1651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hAnsi="Times New Roman"/>
        </w:rPr>
        <mc:AlternateContent>
          <mc:Choice Requires="wps">
            <w:drawing>
              <wp:anchor distT="45720" distB="45720" distL="114300" distR="114300" simplePos="0" relativeHeight="251735040" behindDoc="0" locked="0" layoutInCell="1" allowOverlap="1">
                <wp:simplePos x="0" y="0"/>
                <wp:positionH relativeFrom="column">
                  <wp:posOffset>4060825</wp:posOffset>
                </wp:positionH>
                <wp:positionV relativeFrom="paragraph">
                  <wp:posOffset>527050</wp:posOffset>
                </wp:positionV>
                <wp:extent cx="1771015" cy="2423160"/>
                <wp:effectExtent l="0" t="0" r="19685" b="15240"/>
                <wp:wrapSquare wrapText="bothSides"/>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71015" cy="242316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pPr>
                              <w:ind w:firstLine="480"/>
                              <w:jc w:val="both"/>
                            </w:pPr>
                            <w:r>
                              <w:rPr>
                                <w:rFonts w:hint="eastAsia"/>
                              </w:rPr>
                              <w:t>学校</w:t>
                            </w:r>
                            <w:r>
                              <w:rPr>
                                <w:rFonts w:ascii="Times New Roman" w:hAnsi="Times New Roman" w:cs="Times New Roman"/>
                              </w:rPr>
                              <w:t>2017</w:t>
                            </w:r>
                            <w:r>
                              <w:rPr>
                                <w:rFonts w:hint="eastAsia"/>
                              </w:rPr>
                              <w:t>届未就业毕业生共</w:t>
                            </w:r>
                            <w:r>
                              <w:rPr>
                                <w:rFonts w:ascii="Times New Roman" w:hAnsi="Times New Roman" w:cs="Times New Roman"/>
                              </w:rPr>
                              <w:t>51</w:t>
                            </w:r>
                            <w:r>
                              <w:rPr>
                                <w:rFonts w:hint="eastAsia"/>
                              </w:rPr>
                              <w:t>人（</w:t>
                            </w:r>
                            <w:r>
                              <w:t>占比</w:t>
                            </w:r>
                            <w:r>
                              <w:rPr>
                                <w:rFonts w:ascii="Times New Roman" w:hAnsi="Times New Roman" w:cs="Times New Roman"/>
                                <w:kern w:val="2"/>
                              </w:rPr>
                              <w:t>3.20</w:t>
                            </w:r>
                            <w:r>
                              <w:rPr>
                                <w:rFonts w:ascii="Times New Roman" w:hAnsi="Times New Roman" w:eastAsia="宋体" w:cs="Times New Roman"/>
                                <w:kern w:val="2"/>
                              </w:rPr>
                              <w:t>%</w:t>
                            </w:r>
                            <w:r>
                              <w:rPr>
                                <w:rFonts w:hint="eastAsia"/>
                                <w:kern w:val="2"/>
                              </w:rPr>
                              <w:t>）</w:t>
                            </w:r>
                            <w:r>
                              <w:rPr>
                                <w:rFonts w:hint="eastAsia"/>
                              </w:rPr>
                              <w:t>；进一步</w:t>
                            </w:r>
                            <w:r>
                              <w:t>调查</w:t>
                            </w:r>
                            <w:r>
                              <w:rPr>
                                <w:rFonts w:hint="eastAsia"/>
                              </w:rPr>
                              <w:t>其未就业的</w:t>
                            </w:r>
                            <w:r>
                              <w:t>原因，</w:t>
                            </w:r>
                            <w:r>
                              <w:rPr>
                                <w:rFonts w:hint="eastAsia"/>
                              </w:rPr>
                              <w:t>主要为</w:t>
                            </w:r>
                            <w:r>
                              <w:rPr>
                                <w:rFonts w:asciiTheme="minorEastAsia" w:hAnsiTheme="minorEastAsia"/>
                              </w:rPr>
                              <w:t>“</w:t>
                            </w:r>
                            <w:r>
                              <w:rPr>
                                <w:rFonts w:hint="eastAsia" w:asciiTheme="minorEastAsia" w:hAnsiTheme="minorEastAsia"/>
                              </w:rPr>
                              <w:t>暂时不想</w:t>
                            </w:r>
                            <w:r>
                              <w:rPr>
                                <w:rFonts w:asciiTheme="minorEastAsia" w:hAnsiTheme="minorEastAsia"/>
                              </w:rPr>
                              <w:t>就业”</w:t>
                            </w:r>
                            <w:r>
                              <w:rPr>
                                <w:rFonts w:hint="eastAsia"/>
                              </w:rPr>
                              <w:t>（</w:t>
                            </w:r>
                            <w:r>
                              <w:rPr>
                                <w:rFonts w:ascii="Times New Roman" w:hAnsi="Times New Roman" w:cs="Times New Roman"/>
                                <w:kern w:val="2"/>
                              </w:rPr>
                              <w:t>20.00</w:t>
                            </w:r>
                            <w:r>
                              <w:rPr>
                                <w:rFonts w:hint="eastAsia" w:ascii="Times New Roman" w:hAnsi="Times New Roman" w:eastAsia="宋体" w:cs="Times New Roman"/>
                                <w:kern w:val="2"/>
                              </w:rPr>
                              <w:t>%</w:t>
                            </w:r>
                            <w:r>
                              <w:t>）</w:t>
                            </w:r>
                            <w:r>
                              <w:rPr>
                                <w:rFonts w:hint="eastAsia"/>
                              </w:rPr>
                              <w:t>，</w:t>
                            </w:r>
                            <w:r>
                              <w:t>其次为</w:t>
                            </w:r>
                            <w:r>
                              <w:rPr>
                                <w:rFonts w:hint="eastAsia"/>
                              </w:rPr>
                              <w:t>“准备升学考试”（</w:t>
                            </w:r>
                            <w:r>
                              <w:rPr>
                                <w:rFonts w:ascii="Times New Roman" w:hAnsi="Times New Roman" w:cs="Times New Roman"/>
                                <w:kern w:val="2"/>
                              </w:rPr>
                              <w:t>14.29</w:t>
                            </w:r>
                            <w:r>
                              <w:rPr>
                                <w:rFonts w:ascii="Times New Roman" w:hAnsi="Times New Roman" w:eastAsia="宋体" w:cs="Times New Roman"/>
                                <w:kern w:val="2"/>
                              </w:rPr>
                              <w:t>%</w:t>
                            </w:r>
                            <w:r>
                              <w:t>）</w:t>
                            </w:r>
                            <w:r>
                              <w:rPr>
                                <w:rFonts w:hint="eastAsia"/>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9.75pt;margin-top:41.5pt;height:190.8pt;width:139.45pt;mso-wrap-distance-bottom:3.6pt;mso-wrap-distance-left:9pt;mso-wrap-distance-right:9pt;mso-wrap-distance-top:3.6pt;z-index:251735040;mso-width-relative:page;mso-height-relative:page;" fillcolor="#FFFFFF [3201]" filled="t" stroked="t" coordsize="21600,21600" o:gfxdata="UEsDBAoAAAAAAIdO4kAAAAAAAAAAAAAAAAAEAAAAZHJzL1BLAwQUAAAACACHTuJAzwKK0NkAAAAK&#10;AQAADwAAAGRycy9kb3ducmV2LnhtbE2Py07DMBBF90j8gzVI7KgdklpOGqdCEezYkCIhdm5skqh+&#10;RLHbhr9nWMFyNEf3nlvvV2fJxSxxCl5CtmFAjO+Dnvwg4f3w8iCAxKS8VjZ4I+HbRNg3tze1qnS4&#10;+jdz6dJAMMTHSkkYU5orSmM/GqfiJszG4+8rLE4lPJeB6kVdMdxZ+sgYp05NHhtGNZt2NP2pOzsJ&#10;z/mHbQ/dKlgp1vkze+349qmV8v4uYzsgyazpD4ZffVSHBp2O4ex1JFYCz8stohJEjpsQKDNRADlK&#10;KHjBgTY1/T+h+QFQSwMEFAAAAAgAh07iQIWFF6ZEAgAAagQAAA4AAABkcnMvZTJvRG9jLnhtbK1U&#10;zW4TMRC+I/EOlu90f0iTsuqmKomCkMqPVHiAide7a+E/bDe75QHgDThx4c5z5TkYe9MSFbgg9mB5&#10;MuNvvvlmJucXo5Jkx50XRte0OMkp4ZqZRuiupu/fbZ6cUeID6Aak0bymt9zTi+XjR+eDrXhpeiMb&#10;7giCaF8NtqZ9CLbKMs96rsCfGMs1OlvjFAQ0XZc1DgZEVzIr83yeDcY11hnGvcdf15OTLhN+23IW&#10;3rSt54HImiK3kE6Xzm08s+U5VJ0D2wt2oAH/wEKB0Jj0HmoNAciNE79BKcGc8aYNJ8yozLStYDzV&#10;gNUU+YNqrnuwPNWC4nh7L5P/f7Ds9e6tI6LB3s0p0aCwR/uvX/bffuy/fyZl1GewvsKwa4uBYXxu&#10;RoxNtXp7ZdgHT7RZ9aA7fumcGXoODfIr4svs6OmE4yPIdnhlGswDN8EkoLF1KoqHchBExz7d3veG&#10;j4GwmHKxKPLilBKGvnJWPi3mqXsZVHfPrfPhBTeKxEtNHTY/wcPuyodIB6q7kJjNGymajZAyGa7b&#10;rqQjO8BB2aQvVfAgTGoyIJdykSNJBjiwrYSAV2VRQq87SkB2uAksuEmjvybJN/PNav6nJJHkGnw/&#10;kUk0YxhUSgRcFilUTc/y+B1eS33QOso7CR3G7Xjo3dY0t6i6M9Pw47LipTfuEyUDDj7S/ngDjlMi&#10;X2rs3LNiNoubkozZ6aJEwx17tsce0AyhaooaTNdVSNsV6WpziR1uRdI+jsLE5MAVBzq15LB8cWOO&#10;7RT16y9i+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AorQ2QAAAAoBAAAPAAAAAAAAAAEAIAAA&#10;ACIAAABkcnMvZG93bnJldi54bWxQSwECFAAUAAAACACHTuJAhYUXpkQCAABqBAAADgAAAAAAAAAB&#10;ACAAAAAoAQAAZHJzL2Uyb0RvYy54bWxQSwUGAAAAAAYABgBZAQAA3gUAAAAA&#10;">
                <v:fill on="t" focussize="0,0"/>
                <v:stroke weight="1pt" color="#0F6FC6 [3204]" miterlimit="8" joinstyle="miter"/>
                <v:imagedata o:title=""/>
                <o:lock v:ext="edit" aspectratio="f"/>
                <v:textbox>
                  <w:txbxContent>
                    <w:p>
                      <w:pPr>
                        <w:ind w:firstLine="480"/>
                        <w:jc w:val="both"/>
                      </w:pPr>
                      <w:r>
                        <w:rPr>
                          <w:rFonts w:hint="eastAsia"/>
                        </w:rPr>
                        <w:t>学校</w:t>
                      </w:r>
                      <w:r>
                        <w:rPr>
                          <w:rFonts w:ascii="Times New Roman" w:hAnsi="Times New Roman" w:cs="Times New Roman"/>
                        </w:rPr>
                        <w:t>2017</w:t>
                      </w:r>
                      <w:r>
                        <w:rPr>
                          <w:rFonts w:hint="eastAsia"/>
                        </w:rPr>
                        <w:t>届未就业毕业生共</w:t>
                      </w:r>
                      <w:r>
                        <w:rPr>
                          <w:rFonts w:ascii="Times New Roman" w:hAnsi="Times New Roman" w:cs="Times New Roman"/>
                        </w:rPr>
                        <w:t>51</w:t>
                      </w:r>
                      <w:r>
                        <w:rPr>
                          <w:rFonts w:hint="eastAsia"/>
                        </w:rPr>
                        <w:t>人（</w:t>
                      </w:r>
                      <w:r>
                        <w:t>占比</w:t>
                      </w:r>
                      <w:r>
                        <w:rPr>
                          <w:rFonts w:ascii="Times New Roman" w:hAnsi="Times New Roman" w:cs="Times New Roman"/>
                          <w:kern w:val="2"/>
                        </w:rPr>
                        <w:t>3.20</w:t>
                      </w:r>
                      <w:r>
                        <w:rPr>
                          <w:rFonts w:ascii="Times New Roman" w:hAnsi="Times New Roman" w:eastAsia="宋体" w:cs="Times New Roman"/>
                          <w:kern w:val="2"/>
                        </w:rPr>
                        <w:t>%</w:t>
                      </w:r>
                      <w:r>
                        <w:rPr>
                          <w:rFonts w:hint="eastAsia"/>
                          <w:kern w:val="2"/>
                        </w:rPr>
                        <w:t>）</w:t>
                      </w:r>
                      <w:r>
                        <w:rPr>
                          <w:rFonts w:hint="eastAsia"/>
                        </w:rPr>
                        <w:t>；进一步</w:t>
                      </w:r>
                      <w:r>
                        <w:t>调查</w:t>
                      </w:r>
                      <w:r>
                        <w:rPr>
                          <w:rFonts w:hint="eastAsia"/>
                        </w:rPr>
                        <w:t>其未就业的</w:t>
                      </w:r>
                      <w:r>
                        <w:t>原因，</w:t>
                      </w:r>
                      <w:r>
                        <w:rPr>
                          <w:rFonts w:hint="eastAsia"/>
                        </w:rPr>
                        <w:t>主要为</w:t>
                      </w:r>
                      <w:r>
                        <w:rPr>
                          <w:rFonts w:asciiTheme="minorEastAsia" w:hAnsiTheme="minorEastAsia"/>
                        </w:rPr>
                        <w:t>“</w:t>
                      </w:r>
                      <w:r>
                        <w:rPr>
                          <w:rFonts w:hint="eastAsia" w:asciiTheme="minorEastAsia" w:hAnsiTheme="minorEastAsia"/>
                        </w:rPr>
                        <w:t>暂时不想</w:t>
                      </w:r>
                      <w:r>
                        <w:rPr>
                          <w:rFonts w:asciiTheme="minorEastAsia" w:hAnsiTheme="minorEastAsia"/>
                        </w:rPr>
                        <w:t>就业”</w:t>
                      </w:r>
                      <w:r>
                        <w:rPr>
                          <w:rFonts w:hint="eastAsia"/>
                        </w:rPr>
                        <w:t>（</w:t>
                      </w:r>
                      <w:r>
                        <w:rPr>
                          <w:rFonts w:ascii="Times New Roman" w:hAnsi="Times New Roman" w:cs="Times New Roman"/>
                          <w:kern w:val="2"/>
                        </w:rPr>
                        <w:t>20.00</w:t>
                      </w:r>
                      <w:r>
                        <w:rPr>
                          <w:rFonts w:hint="eastAsia" w:ascii="Times New Roman" w:hAnsi="Times New Roman" w:eastAsia="宋体" w:cs="Times New Roman"/>
                          <w:kern w:val="2"/>
                        </w:rPr>
                        <w:t>%</w:t>
                      </w:r>
                      <w:r>
                        <w:t>）</w:t>
                      </w:r>
                      <w:r>
                        <w:rPr>
                          <w:rFonts w:hint="eastAsia"/>
                        </w:rPr>
                        <w:t>，</w:t>
                      </w:r>
                      <w:r>
                        <w:t>其次为</w:t>
                      </w:r>
                      <w:r>
                        <w:rPr>
                          <w:rFonts w:hint="eastAsia"/>
                        </w:rPr>
                        <w:t>“准备升学考试”（</w:t>
                      </w:r>
                      <w:r>
                        <w:rPr>
                          <w:rFonts w:ascii="Times New Roman" w:hAnsi="Times New Roman" w:cs="Times New Roman"/>
                          <w:kern w:val="2"/>
                        </w:rPr>
                        <w:t>14.29</w:t>
                      </w:r>
                      <w:r>
                        <w:rPr>
                          <w:rFonts w:ascii="Times New Roman" w:hAnsi="Times New Roman" w:eastAsia="宋体" w:cs="Times New Roman"/>
                          <w:kern w:val="2"/>
                        </w:rPr>
                        <w:t>%</w:t>
                      </w:r>
                      <w:r>
                        <w:t>）</w:t>
                      </w:r>
                      <w:r>
                        <w:rPr>
                          <w:rFonts w:hint="eastAsia"/>
                        </w:rPr>
                        <w:t>。</w:t>
                      </w:r>
                    </w:p>
                  </w:txbxContent>
                </v:textbox>
                <w10:wrap type="square"/>
              </v:shape>
            </w:pict>
          </mc:Fallback>
        </mc:AlternateContent>
      </w:r>
      <w:r>
        <w:rPr>
          <w:rFonts w:hint="eastAsia"/>
        </w:rPr>
        <w:t>（三）未就业情况分析</w:t>
      </w:r>
      <w:bookmarkEnd w:id="39"/>
      <w:bookmarkEnd w:id="40"/>
      <w:bookmarkEnd w:id="41"/>
      <w:bookmarkEnd w:id="42"/>
      <w:bookmarkEnd w:id="43"/>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48"/>
        <w:spacing w:beforeLines="0" w:after="0" w:afterLines="0" w:line="240" w:lineRule="auto"/>
        <w:ind w:firstLine="0" w:firstLineChars="0"/>
        <w:jc w:val="center"/>
        <w:rPr>
          <w:rFonts w:ascii="Times New Roman" w:hAnsi="Times New Roman"/>
        </w:rPr>
      </w:pPr>
    </w:p>
    <w:p>
      <w:pPr>
        <w:pStyle w:val="137"/>
        <w:jc w:val="left"/>
        <w:rPr>
          <w:rStyle w:val="34"/>
          <w:b/>
          <w:bCs w:val="0"/>
        </w:rPr>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4</w:t>
      </w:r>
      <w:r>
        <w:fldChar w:fldCharType="end"/>
      </w:r>
      <w:r>
        <w:rPr>
          <w:rFonts w:hint="eastAsia"/>
        </w:rPr>
        <w:t xml:space="preserve">  </w:t>
      </w:r>
      <w:r>
        <w:rPr>
          <w:rStyle w:val="34"/>
          <w:b/>
          <w:bCs w:val="0"/>
        </w:rPr>
        <w:t>2017届</w:t>
      </w:r>
      <w:r>
        <w:rPr>
          <w:rStyle w:val="34"/>
          <w:rFonts w:hint="eastAsia"/>
          <w:b/>
          <w:bCs w:val="0"/>
        </w:rPr>
        <w:t>毕业生未就业情况分布</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3"/>
        <w:spacing w:before="163" w:after="163" w:line="460" w:lineRule="exact"/>
      </w:pPr>
      <w:bookmarkStart w:id="44" w:name="_Toc443997309"/>
      <w:bookmarkStart w:id="45" w:name="_Toc443997613"/>
      <w:bookmarkStart w:id="46" w:name="_Toc443998740"/>
      <w:bookmarkStart w:id="47" w:name="_Toc521402016"/>
      <w:r>
        <w:rPr>
          <w:rFonts w:hint="eastAsia"/>
        </w:rPr>
        <w:t>三</w:t>
      </w:r>
      <w:r>
        <w:t>、</w:t>
      </w:r>
      <w:r>
        <w:rPr>
          <w:rFonts w:hint="eastAsia"/>
        </w:rPr>
        <w:t>就业流向</w:t>
      </w:r>
      <w:bookmarkEnd w:id="44"/>
      <w:bookmarkEnd w:id="45"/>
      <w:bookmarkEnd w:id="46"/>
      <w:r>
        <w:rPr>
          <w:rStyle w:val="40"/>
        </w:rPr>
        <w:footnoteReference w:id="0"/>
      </w:r>
      <w:bookmarkEnd w:id="47"/>
    </w:p>
    <w:p>
      <w:pPr>
        <w:pStyle w:val="135"/>
        <w:spacing w:before="163" w:after="163" w:line="460" w:lineRule="exact"/>
      </w:pPr>
      <w:bookmarkStart w:id="48" w:name="_Toc443997614"/>
      <w:bookmarkStart w:id="49" w:name="_Toc443997310"/>
      <w:bookmarkStart w:id="50" w:name="_Toc443998741"/>
      <w:bookmarkStart w:id="51" w:name="_Toc521402017"/>
      <w:r>
        <w:rPr>
          <w:rFonts w:hint="eastAsia"/>
        </w:rPr>
        <w:t>（一</w:t>
      </w:r>
      <w:r>
        <w:t>）</w:t>
      </w:r>
      <w:r>
        <w:rPr>
          <w:rFonts w:hint="eastAsia"/>
        </w:rPr>
        <w:t>就业地区</w:t>
      </w:r>
      <w:r>
        <w:t>分布</w:t>
      </w:r>
      <w:bookmarkEnd w:id="48"/>
      <w:bookmarkEnd w:id="49"/>
      <w:bookmarkEnd w:id="50"/>
      <w:bookmarkEnd w:id="51"/>
    </w:p>
    <w:p>
      <w:pPr>
        <w:pStyle w:val="131"/>
        <w:spacing w:line="460" w:lineRule="exact"/>
        <w:ind w:firstLine="482"/>
      </w:pPr>
      <w:r>
        <w:rPr>
          <w:rFonts w:hint="eastAsia"/>
          <w:b/>
          <w:color w:val="0F6FC6" w:themeColor="accent1"/>
          <w:lang w:val="zh-CN"/>
          <w14:textFill>
            <w14:solidFill>
              <w14:schemeClr w14:val="accent1"/>
            </w14:solidFill>
          </w14:textFill>
        </w:rPr>
        <w:t>就业</w:t>
      </w:r>
      <w:r>
        <w:rPr>
          <w:b/>
          <w:color w:val="0F6FC6" w:themeColor="accent1"/>
          <w:lang w:val="zh-CN"/>
          <w14:textFill>
            <w14:solidFill>
              <w14:schemeClr w14:val="accent1"/>
            </w14:solidFill>
          </w14:textFill>
        </w:rPr>
        <w:t>区域分布：</w:t>
      </w:r>
      <w:r>
        <w:rPr>
          <w:rFonts w:hint="eastAsia"/>
        </w:rPr>
        <w:t>学校</w:t>
      </w:r>
      <w:r>
        <w:t>2017届</w:t>
      </w:r>
      <w:r>
        <w:rPr>
          <w:rFonts w:hint="eastAsia"/>
        </w:rPr>
        <w:t>毕业生主要选择在江苏省内就业</w:t>
      </w:r>
      <w:r>
        <w:t>（99.92</w:t>
      </w:r>
      <w:r>
        <w:rPr>
          <w:rFonts w:hint="eastAsia"/>
        </w:rPr>
        <w:t>%</w:t>
      </w:r>
      <w:r>
        <w:t>）</w:t>
      </w:r>
      <w:r>
        <w:rPr>
          <w:rFonts w:hint="eastAsia"/>
        </w:rPr>
        <w:t>，服务地方经济发展；省外就业</w:t>
      </w:r>
      <w:r>
        <w:t>地区</w:t>
      </w:r>
      <w:r>
        <w:rPr>
          <w:rFonts w:hint="eastAsia"/>
        </w:rPr>
        <w:t>仅包括北京市（0.08</w:t>
      </w:r>
      <w:r>
        <w:t>%</w:t>
      </w:r>
      <w:r>
        <w:rPr>
          <w:rFonts w:hint="eastAsia"/>
        </w:rPr>
        <w:t>）。</w:t>
      </w:r>
    </w:p>
    <w:p>
      <w:pPr>
        <w:pStyle w:val="131"/>
        <w:spacing w:line="460" w:lineRule="exact"/>
        <w:ind w:firstLine="482"/>
        <w:rPr>
          <w:rStyle w:val="34"/>
          <w:b w:val="0"/>
          <w:bCs w:val="0"/>
        </w:rPr>
      </w:pPr>
      <w:r>
        <w:rPr>
          <w:rFonts w:hint="eastAsia"/>
          <w:b/>
          <w:color w:val="0F6FC6" w:themeColor="accent1"/>
          <w14:textFill>
            <w14:solidFill>
              <w14:schemeClr w14:val="accent1"/>
            </w14:solidFill>
          </w14:textFill>
        </w:rPr>
        <w:t>省内就业城市</w:t>
      </w:r>
      <w:r>
        <w:rPr>
          <w:b/>
          <w:color w:val="0F6FC6" w:themeColor="accent1"/>
          <w14:textFill>
            <w14:solidFill>
              <w14:schemeClr w14:val="accent1"/>
            </w14:solidFill>
          </w14:textFill>
        </w:rPr>
        <w:t>：</w:t>
      </w:r>
      <w:r>
        <w:rPr>
          <w:rFonts w:hint="eastAsia"/>
        </w:rPr>
        <w:t>在江苏省内就业的毕业生主要</w:t>
      </w:r>
      <w:r>
        <w:t>流向</w:t>
      </w:r>
      <w:r>
        <w:rPr>
          <w:rFonts w:hint="eastAsia"/>
        </w:rPr>
        <w:t>了盐城</w:t>
      </w:r>
      <w:r>
        <w:t>市</w:t>
      </w:r>
      <w:r>
        <w:rPr>
          <w:rFonts w:hint="eastAsia"/>
        </w:rPr>
        <w:t>（</w:t>
      </w:r>
      <w:r>
        <w:t>95.48%）</w:t>
      </w:r>
      <w:r>
        <w:rPr>
          <w:rFonts w:hint="eastAsia"/>
        </w:rPr>
        <w:t>，其次为淮安</w:t>
      </w:r>
      <w:r>
        <w:t>市（1.48%）。</w:t>
      </w:r>
    </w:p>
    <w:p>
      <w:pPr>
        <w:tabs>
          <w:tab w:val="left" w:pos="5970"/>
        </w:tabs>
        <w:ind w:firstLine="0" w:firstLineChars="0"/>
        <w:jc w:val="center"/>
      </w:pPr>
      <w:r>
        <w:drawing>
          <wp:inline distT="0" distB="0" distL="0" distR="0">
            <wp:extent cx="4981575" cy="152654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37"/>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5</w:t>
      </w:r>
      <w:r>
        <w:fldChar w:fldCharType="end"/>
      </w:r>
      <w:r>
        <w:rPr>
          <w:rStyle w:val="34"/>
          <w:b/>
          <w:bCs w:val="0"/>
        </w:rPr>
        <w:t xml:space="preserve">  2017届</w:t>
      </w:r>
      <w:r>
        <w:rPr>
          <w:rStyle w:val="34"/>
          <w:rFonts w:hint="eastAsia"/>
          <w:b/>
          <w:bCs w:val="0"/>
        </w:rPr>
        <w:t>毕业生省内</w:t>
      </w:r>
      <w:r>
        <w:rPr>
          <w:rStyle w:val="34"/>
          <w:b/>
          <w:bCs w:val="0"/>
        </w:rPr>
        <w:t>就业</w:t>
      </w:r>
      <w:r>
        <w:rPr>
          <w:rStyle w:val="34"/>
          <w:rFonts w:hint="eastAsia"/>
          <w:b/>
          <w:bCs w:val="0"/>
        </w:rPr>
        <w:t>城市</w:t>
      </w:r>
      <w:r>
        <w:rPr>
          <w:rStyle w:val="34"/>
          <w:b/>
          <w:bCs w:val="0"/>
        </w:rPr>
        <w:t>分布</w:t>
      </w:r>
    </w:p>
    <w:p>
      <w:pPr>
        <w:pStyle w:val="139"/>
      </w:pPr>
      <w:r>
        <w:rPr>
          <w:rFonts w:hint="eastAsia"/>
        </w:rPr>
        <w:t>数据来源：江苏省高校毕业生就业管理信息系统。</w:t>
      </w:r>
    </w:p>
    <w:p>
      <w:pPr>
        <w:pStyle w:val="135"/>
        <w:spacing w:before="163" w:line="460" w:lineRule="exact"/>
      </w:pPr>
      <w:bookmarkStart w:id="52" w:name="_Toc521402018"/>
      <w:r>
        <w:rPr>
          <w:rFonts w:hint="eastAsia"/>
        </w:rPr>
        <w:t>（二）就业单位分布</w:t>
      </w:r>
      <w:bookmarkEnd w:id="52"/>
    </w:p>
    <w:p>
      <w:pPr>
        <w:pStyle w:val="131"/>
        <w:spacing w:line="460" w:lineRule="exact"/>
      </w:pPr>
      <w:r>
        <w:drawing>
          <wp:anchor distT="0" distB="0" distL="114300" distR="114300" simplePos="0" relativeHeight="251737088" behindDoc="0" locked="0" layoutInCell="1" allowOverlap="1">
            <wp:simplePos x="0" y="0"/>
            <wp:positionH relativeFrom="column">
              <wp:posOffset>3051175</wp:posOffset>
            </wp:positionH>
            <wp:positionV relativeFrom="paragraph">
              <wp:posOffset>605155</wp:posOffset>
            </wp:positionV>
            <wp:extent cx="2437130" cy="2061845"/>
            <wp:effectExtent l="0" t="0" r="0" b="0"/>
            <wp:wrapNone/>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rPr>
        <w:drawing>
          <wp:anchor distT="0" distB="0" distL="114300" distR="114300" simplePos="0" relativeHeight="251736064" behindDoc="0" locked="0" layoutInCell="1" allowOverlap="1">
            <wp:simplePos x="0" y="0"/>
            <wp:positionH relativeFrom="column">
              <wp:posOffset>-269240</wp:posOffset>
            </wp:positionH>
            <wp:positionV relativeFrom="paragraph">
              <wp:posOffset>859155</wp:posOffset>
            </wp:positionV>
            <wp:extent cx="3267075" cy="1889125"/>
            <wp:effectExtent l="0" t="0" r="0" b="0"/>
            <wp:wrapNone/>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rPr>
        <w:t>学校2017届毕业生主要流向单位类型为公办幼儿园，占比</w:t>
      </w:r>
      <w:r>
        <w:t>达到27.73%；</w:t>
      </w:r>
      <w:r>
        <w:rPr>
          <w:rFonts w:hint="eastAsia"/>
        </w:rPr>
        <w:t>其次为民办幼儿园（</w:t>
      </w:r>
      <w:r>
        <w:t>26.95</w:t>
      </w:r>
      <w:r>
        <w:rPr>
          <w:rFonts w:hint="eastAsia"/>
        </w:rPr>
        <w:t>%</w:t>
      </w:r>
      <w:r>
        <w:t>）</w:t>
      </w:r>
      <w:r>
        <w:rPr>
          <w:rFonts w:hint="eastAsia"/>
        </w:rPr>
        <w:t>；就业单位</w:t>
      </w:r>
      <w:r>
        <w:t>规模主要集中在50</w:t>
      </w:r>
      <w:r>
        <w:rPr>
          <w:rFonts w:hint="eastAsia"/>
        </w:rPr>
        <w:t>人及以下（</w:t>
      </w:r>
      <w:r>
        <w:t>30.06</w:t>
      </w:r>
      <w:r>
        <w:rPr>
          <w:rFonts w:hint="eastAsia"/>
        </w:rPr>
        <w:t>%），</w:t>
      </w:r>
      <w:r>
        <w:t>其次是5</w:t>
      </w:r>
      <w:r>
        <w:rPr>
          <w:rFonts w:hint="eastAsia"/>
        </w:rPr>
        <w:t>1-</w:t>
      </w:r>
      <w:r>
        <w:t>1</w:t>
      </w:r>
      <w:r>
        <w:rPr>
          <w:rFonts w:hint="eastAsia"/>
        </w:rPr>
        <w:t>00人（</w:t>
      </w:r>
      <w:r>
        <w:t>22.20%</w:t>
      </w:r>
      <w:r>
        <w:rPr>
          <w:rFonts w:hint="eastAsia"/>
        </w:rPr>
        <w:t>）和101-</w:t>
      </w:r>
      <w:r>
        <w:t>2</w:t>
      </w:r>
      <w:r>
        <w:rPr>
          <w:rFonts w:hint="eastAsia"/>
        </w:rPr>
        <w:t>00人</w:t>
      </w:r>
      <w:r>
        <w:t>（14.34%）</w:t>
      </w:r>
      <w:r>
        <w:rPr>
          <w:rFonts w:hint="eastAsia"/>
        </w:rPr>
        <w:t>。</w:t>
      </w:r>
    </w:p>
    <w:p>
      <w:pPr>
        <w:ind w:firstLine="0" w:firstLineChars="0"/>
        <w:jc w:val="center"/>
      </w:pPr>
    </w:p>
    <w:p>
      <w:pPr>
        <w:pStyle w:val="137"/>
      </w:pPr>
    </w:p>
    <w:p>
      <w:pPr>
        <w:pStyle w:val="137"/>
      </w:pPr>
    </w:p>
    <w:p>
      <w:pPr>
        <w:pStyle w:val="137"/>
      </w:pPr>
    </w:p>
    <w:p>
      <w:pPr>
        <w:pStyle w:val="137"/>
        <w:jc w:val="left"/>
      </w:pPr>
    </w:p>
    <w:p>
      <w:pPr>
        <w:pStyle w:val="137"/>
        <w:jc w:val="left"/>
      </w:pPr>
    </w:p>
    <w:p>
      <w:pPr>
        <w:pStyle w:val="137"/>
        <w:jc w:val="left"/>
        <w:rPr>
          <w:rStyle w:val="34"/>
          <w:b/>
          <w:bCs w:val="0"/>
        </w:rPr>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6</w:t>
      </w:r>
      <w:r>
        <w:fldChar w:fldCharType="end"/>
      </w:r>
      <w:r>
        <w:rPr>
          <w:rStyle w:val="34"/>
          <w:b/>
          <w:bCs w:val="0"/>
        </w:rPr>
        <w:t xml:space="preserve">  </w:t>
      </w:r>
      <w:r>
        <w:rPr>
          <w:rStyle w:val="34"/>
          <w:rFonts w:hint="eastAsia"/>
          <w:b/>
          <w:bCs w:val="0"/>
        </w:rPr>
        <w:t xml:space="preserve">2017届毕业生就业单位类型分布          </w:t>
      </w: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7</w:t>
      </w:r>
      <w:r>
        <w:fldChar w:fldCharType="end"/>
      </w:r>
      <w:r>
        <w:rPr>
          <w:rStyle w:val="34"/>
          <w:b/>
          <w:bCs w:val="0"/>
        </w:rPr>
        <w:t xml:space="preserve">  </w:t>
      </w:r>
      <w:r>
        <w:rPr>
          <w:rStyle w:val="34"/>
          <w:rFonts w:hint="eastAsia"/>
          <w:b/>
          <w:bCs w:val="0"/>
        </w:rPr>
        <w:t>2017届毕业生就业单位规模分布</w:t>
      </w:r>
    </w:p>
    <w:p>
      <w:pPr>
        <w:pStyle w:val="139"/>
      </w:pPr>
      <w:r>
        <w:rPr>
          <w:rFonts w:hint="eastAsia"/>
        </w:rPr>
        <w:t>来源：第三方机构新锦成-</w:t>
      </w:r>
      <w:r>
        <w:rPr>
          <w:rFonts w:hint="eastAsia" w:ascii="Times New Roman" w:hAnsi="Times New Roman"/>
        </w:rPr>
        <w:t>2017</w:t>
      </w:r>
      <w:r>
        <w:rPr>
          <w:rFonts w:hint="eastAsia"/>
        </w:rPr>
        <w:t>届毕业生就业与培养质量调查。</w:t>
      </w:r>
    </w:p>
    <w:p>
      <w:pPr>
        <w:pStyle w:val="131"/>
      </w:pPr>
      <w:r>
        <w:rPr>
          <w:rFonts w:hint="eastAsia"/>
        </w:rPr>
        <w:t>学校2017届毕业生所在</w:t>
      </w:r>
      <w:r>
        <w:t>幼儿园的级别</w:t>
      </w:r>
      <w:r>
        <w:rPr>
          <w:rFonts w:hint="eastAsia"/>
        </w:rPr>
        <w:t>主要为省优质幼儿园，占比</w:t>
      </w:r>
      <w:r>
        <w:t>达到47.50%；</w:t>
      </w:r>
      <w:r>
        <w:rPr>
          <w:rFonts w:hint="eastAsia"/>
        </w:rPr>
        <w:t>其次为市优质幼儿园（</w:t>
      </w:r>
      <w:r>
        <w:t>29.64</w:t>
      </w:r>
      <w:r>
        <w:rPr>
          <w:rFonts w:hint="eastAsia"/>
        </w:rPr>
        <w:t>%</w:t>
      </w:r>
      <w:r>
        <w:t>）</w:t>
      </w:r>
      <w:r>
        <w:rPr>
          <w:rFonts w:hint="eastAsia"/>
        </w:rPr>
        <w:t>；就业于</w:t>
      </w:r>
      <w:r>
        <w:t>幼儿园的毕业生19.64</w:t>
      </w:r>
      <w:r>
        <w:rPr>
          <w:rFonts w:hint="eastAsia"/>
        </w:rPr>
        <w:t>%为事业</w:t>
      </w:r>
      <w:r>
        <w:t>编制</w:t>
      </w:r>
      <w:r>
        <w:rPr>
          <w:rFonts w:hint="eastAsia"/>
        </w:rPr>
        <w:t>。</w:t>
      </w:r>
    </w:p>
    <w:p>
      <w:pPr>
        <w:ind w:firstLine="0" w:firstLineChars="0"/>
        <w:jc w:val="center"/>
      </w:pPr>
      <w:r>
        <w:drawing>
          <wp:anchor distT="0" distB="0" distL="114300" distR="114300" simplePos="0" relativeHeight="251753472" behindDoc="0" locked="0" layoutInCell="1" allowOverlap="1">
            <wp:simplePos x="0" y="0"/>
            <wp:positionH relativeFrom="column">
              <wp:posOffset>3072130</wp:posOffset>
            </wp:positionH>
            <wp:positionV relativeFrom="paragraph">
              <wp:posOffset>27305</wp:posOffset>
            </wp:positionV>
            <wp:extent cx="2538095" cy="1933575"/>
            <wp:effectExtent l="0" t="0" r="0" b="0"/>
            <wp:wrapNone/>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eastAsia" w:ascii="Times New Roman" w:hAnsi="Times New Roman"/>
        </w:rPr>
        <w:drawing>
          <wp:anchor distT="0" distB="0" distL="114300" distR="114300" simplePos="0" relativeHeight="251752448" behindDoc="0" locked="0" layoutInCell="1" allowOverlap="1">
            <wp:simplePos x="0" y="0"/>
            <wp:positionH relativeFrom="column">
              <wp:posOffset>-270510</wp:posOffset>
            </wp:positionH>
            <wp:positionV relativeFrom="paragraph">
              <wp:posOffset>73660</wp:posOffset>
            </wp:positionV>
            <wp:extent cx="3267075" cy="1733550"/>
            <wp:effectExtent l="0" t="0" r="0" b="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pPr>
        <w:pStyle w:val="137"/>
      </w:pPr>
    </w:p>
    <w:p>
      <w:pPr>
        <w:pStyle w:val="137"/>
      </w:pPr>
    </w:p>
    <w:p>
      <w:pPr>
        <w:pStyle w:val="137"/>
      </w:pPr>
    </w:p>
    <w:p>
      <w:pPr>
        <w:pStyle w:val="137"/>
      </w:pPr>
    </w:p>
    <w:p>
      <w:pPr>
        <w:pStyle w:val="137"/>
      </w:pPr>
    </w:p>
    <w:p>
      <w:pPr>
        <w:pStyle w:val="137"/>
        <w:jc w:val="left"/>
        <w:rPr>
          <w:rStyle w:val="34"/>
          <w:b/>
          <w:bCs w:val="0"/>
        </w:rPr>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8</w:t>
      </w:r>
      <w:r>
        <w:fldChar w:fldCharType="end"/>
      </w:r>
      <w:r>
        <w:rPr>
          <w:rStyle w:val="34"/>
          <w:b/>
          <w:bCs w:val="0"/>
        </w:rPr>
        <w:t xml:space="preserve">  </w:t>
      </w:r>
      <w:r>
        <w:rPr>
          <w:rStyle w:val="34"/>
          <w:rFonts w:hint="eastAsia"/>
          <w:b/>
          <w:bCs w:val="0"/>
        </w:rPr>
        <w:t xml:space="preserve">2017届毕业生所在幼儿园的级别  </w:t>
      </w: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9</w:t>
      </w:r>
      <w:r>
        <w:fldChar w:fldCharType="end"/>
      </w:r>
      <w:r>
        <w:rPr>
          <w:rStyle w:val="34"/>
          <w:b/>
          <w:bCs w:val="0"/>
        </w:rPr>
        <w:t xml:space="preserve">  </w:t>
      </w:r>
      <w:r>
        <w:rPr>
          <w:rStyle w:val="34"/>
          <w:rFonts w:hint="eastAsia"/>
          <w:b/>
          <w:bCs w:val="0"/>
        </w:rPr>
        <w:t>2017届幼儿园</w:t>
      </w:r>
      <w:r>
        <w:rPr>
          <w:rStyle w:val="34"/>
          <w:b/>
          <w:bCs w:val="0"/>
        </w:rPr>
        <w:t>就业</w:t>
      </w:r>
      <w:r>
        <w:rPr>
          <w:rStyle w:val="34"/>
          <w:rFonts w:hint="eastAsia"/>
          <w:b/>
          <w:bCs w:val="0"/>
        </w:rPr>
        <w:t>毕业生是否为事业</w:t>
      </w:r>
      <w:r>
        <w:rPr>
          <w:rStyle w:val="34"/>
          <w:b/>
          <w:bCs w:val="0"/>
        </w:rPr>
        <w:t>编制</w:t>
      </w:r>
    </w:p>
    <w:p>
      <w:pPr>
        <w:pStyle w:val="139"/>
      </w:pPr>
      <w:r>
        <w:rPr>
          <w:rFonts w:hint="eastAsia"/>
        </w:rPr>
        <w:t>数据来源：第三方机构新锦成-</w:t>
      </w:r>
      <w:r>
        <w:rPr>
          <w:rFonts w:hint="eastAsia" w:ascii="Times New Roman" w:hAnsi="Times New Roman"/>
        </w:rPr>
        <w:t>2017</w:t>
      </w:r>
      <w:r>
        <w:rPr>
          <w:rFonts w:hint="eastAsia"/>
        </w:rPr>
        <w:t>届毕业生就业与培养质量调查。</w:t>
      </w:r>
    </w:p>
    <w:p>
      <w:pPr>
        <w:pStyle w:val="135"/>
        <w:spacing w:before="163"/>
      </w:pPr>
      <w:bookmarkStart w:id="53" w:name="_Toc427050515"/>
      <w:bookmarkStart w:id="54" w:name="_Toc521402019"/>
      <w:r>
        <w:rPr>
          <w:rFonts w:hint="eastAsia"/>
        </w:rPr>
        <w:t>（三）就业行业</w:t>
      </w:r>
      <w:bookmarkEnd w:id="53"/>
      <w:r>
        <w:rPr>
          <w:rFonts w:hint="eastAsia"/>
        </w:rPr>
        <w:t>分布</w:t>
      </w:r>
      <w:bookmarkEnd w:id="54"/>
    </w:p>
    <w:p>
      <w:pPr>
        <w:pStyle w:val="131"/>
      </w:pPr>
      <w:r>
        <w:rPr>
          <w:rFonts w:hint="eastAsia"/>
        </w:rPr>
        <w:t>2017届毕业生就业行业主要集中在“教育</w:t>
      </w:r>
      <w:r>
        <w:rPr>
          <w:rFonts w:asciiTheme="minorEastAsia" w:hAnsiTheme="minorEastAsia" w:eastAsiaTheme="minorEastAsia"/>
        </w:rPr>
        <w:t>”</w:t>
      </w:r>
      <w:r>
        <w:rPr>
          <w:rFonts w:hint="eastAsia" w:asciiTheme="minorEastAsia" w:hAnsiTheme="minorEastAsia" w:eastAsiaTheme="minorEastAsia"/>
        </w:rPr>
        <w:t>行业（</w:t>
      </w:r>
      <w:r>
        <w:t>51.31%）</w:t>
      </w:r>
      <w:r>
        <w:rPr>
          <w:rFonts w:hint="eastAsia"/>
        </w:rPr>
        <w:t>，其次为“建筑</w:t>
      </w:r>
      <w:r>
        <w:t>业</w:t>
      </w:r>
      <w:r>
        <w:rPr>
          <w:rFonts w:hint="eastAsia"/>
        </w:rPr>
        <w:t>”</w:t>
      </w:r>
      <w:r>
        <w:t>（8.32%）</w:t>
      </w:r>
      <w:r>
        <w:rPr>
          <w:rFonts w:hint="eastAsia"/>
        </w:rPr>
        <w:t>、“制造业”（7</w:t>
      </w:r>
      <w:r>
        <w:t>.83%</w:t>
      </w:r>
      <w:r>
        <w:rPr>
          <w:rFonts w:hint="eastAsia"/>
        </w:rPr>
        <w:t>）和“居民服务、修理和其他服务业”（7.83%）；这一</w:t>
      </w:r>
      <w:r>
        <w:t>行业</w:t>
      </w:r>
      <w:r>
        <w:rPr>
          <w:rFonts w:hint="eastAsia"/>
        </w:rPr>
        <w:t>流向与学校</w:t>
      </w:r>
      <w:r>
        <w:t>专业</w:t>
      </w:r>
      <w:r>
        <w:rPr>
          <w:rFonts w:hint="eastAsia"/>
        </w:rPr>
        <w:t>设置</w:t>
      </w:r>
      <w:r>
        <w:t>及</w:t>
      </w:r>
      <w:r>
        <w:rPr>
          <w:rFonts w:hint="eastAsia"/>
        </w:rPr>
        <w:t>人才</w:t>
      </w:r>
      <w:r>
        <w:t>培养</w:t>
      </w:r>
      <w:r>
        <w:rPr>
          <w:rFonts w:hint="eastAsia"/>
        </w:rPr>
        <w:t>定位相符合</w:t>
      </w:r>
      <w:r>
        <w:t>。</w:t>
      </w:r>
    </w:p>
    <w:p>
      <w:pPr>
        <w:ind w:firstLine="0" w:firstLineChars="0"/>
        <w:jc w:val="center"/>
      </w:pPr>
      <w:r>
        <w:rPr>
          <w:rFonts w:hint="eastAsia"/>
        </w:rPr>
        <w:drawing>
          <wp:inline distT="0" distB="0" distL="0" distR="0">
            <wp:extent cx="5048250" cy="215265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37"/>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10</w:t>
      </w:r>
      <w:r>
        <w:fldChar w:fldCharType="end"/>
      </w:r>
      <w:r>
        <w:rPr>
          <w:rStyle w:val="34"/>
          <w:b/>
          <w:bCs w:val="0"/>
        </w:rPr>
        <w:t xml:space="preserve">  2017届</w:t>
      </w:r>
      <w:r>
        <w:rPr>
          <w:rStyle w:val="34"/>
          <w:rFonts w:hint="eastAsia"/>
          <w:b/>
          <w:bCs w:val="0"/>
        </w:rPr>
        <w:t>毕业生就业量</w:t>
      </w:r>
      <w:r>
        <w:rPr>
          <w:rStyle w:val="34"/>
          <w:b/>
          <w:bCs w:val="0"/>
        </w:rPr>
        <w:t>最大的前十个</w:t>
      </w:r>
      <w:r>
        <w:rPr>
          <w:rStyle w:val="34"/>
          <w:rFonts w:hint="eastAsia"/>
          <w:b/>
          <w:bCs w:val="0"/>
        </w:rPr>
        <w:t>行业</w:t>
      </w:r>
      <w:r>
        <w:rPr>
          <w:rStyle w:val="34"/>
          <w:b/>
          <w:bCs w:val="0"/>
        </w:rPr>
        <w:t>分布</w:t>
      </w:r>
    </w:p>
    <w:p>
      <w:pPr>
        <w:pStyle w:val="139"/>
      </w:pPr>
      <w:r>
        <w:rPr>
          <w:rFonts w:hint="eastAsia"/>
        </w:rPr>
        <w:t>数据来源：江苏省高校毕业生就业管理信息系统。</w:t>
      </w:r>
    </w:p>
    <w:p>
      <w:pPr>
        <w:pStyle w:val="135"/>
        <w:spacing w:before="0" w:beforeLines="0"/>
      </w:pPr>
      <w:bookmarkStart w:id="55" w:name="_Toc427050516"/>
      <w:bookmarkStart w:id="56" w:name="_Toc521402020"/>
      <w:r>
        <w:rPr>
          <w:rFonts w:hint="eastAsia"/>
        </w:rPr>
        <w:t>（四）就业职业</w:t>
      </w:r>
      <w:bookmarkEnd w:id="55"/>
      <w:r>
        <w:rPr>
          <w:rFonts w:hint="eastAsia"/>
        </w:rPr>
        <w:t>分布</w:t>
      </w:r>
      <w:bookmarkEnd w:id="56"/>
    </w:p>
    <w:p>
      <w:pPr>
        <w:pStyle w:val="131"/>
      </w:pPr>
      <w:r>
        <w:t>毕业生</w:t>
      </w:r>
      <w:r>
        <w:rPr>
          <w:rFonts w:hint="eastAsia"/>
        </w:rPr>
        <w:t>所</w:t>
      </w:r>
      <w:r>
        <w:t>从事</w:t>
      </w:r>
      <w:r>
        <w:rPr>
          <w:rFonts w:hint="eastAsia"/>
        </w:rPr>
        <w:t>的</w:t>
      </w:r>
      <w:r>
        <w:t>职业</w:t>
      </w:r>
      <w:r>
        <w:rPr>
          <w:rFonts w:hint="eastAsia"/>
        </w:rPr>
        <w:t>主要</w:t>
      </w:r>
      <w:r>
        <w:t>为</w:t>
      </w:r>
      <w:r>
        <w:rPr>
          <w:rFonts w:hint="eastAsia"/>
        </w:rPr>
        <w:t>“办事人员和有关</w:t>
      </w:r>
      <w:r>
        <w:t>人员</w:t>
      </w:r>
      <w:r>
        <w:rPr>
          <w:rFonts w:hint="eastAsia"/>
        </w:rPr>
        <w:t>”</w:t>
      </w:r>
      <w:r>
        <w:t>，</w:t>
      </w:r>
      <w:r>
        <w:rPr>
          <w:rFonts w:hint="eastAsia"/>
        </w:rPr>
        <w:t>占比</w:t>
      </w:r>
      <w:r>
        <w:t>为51.31%</w:t>
      </w:r>
      <w:r>
        <w:rPr>
          <w:rFonts w:hint="eastAsia"/>
        </w:rPr>
        <w:t>；其次为“教学人员”（</w:t>
      </w:r>
      <w:r>
        <w:t>48.37</w:t>
      </w:r>
      <w:r>
        <w:rPr>
          <w:rFonts w:hint="eastAsia"/>
        </w:rPr>
        <w:t>%）。</w:t>
      </w:r>
    </w:p>
    <w:p>
      <w:pPr>
        <w:pStyle w:val="137"/>
        <w:rPr>
          <w:rStyle w:val="34"/>
          <w:b/>
          <w:bCs w:val="0"/>
        </w:rPr>
      </w:pPr>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6</w:t>
      </w:r>
      <w:r>
        <w:fldChar w:fldCharType="end"/>
      </w:r>
      <w:r>
        <w:rPr>
          <w:rStyle w:val="34"/>
          <w:b/>
          <w:bCs w:val="0"/>
        </w:rPr>
        <w:t xml:space="preserve">  </w:t>
      </w:r>
      <w:r>
        <w:rPr>
          <w:rStyle w:val="34"/>
          <w:rFonts w:hint="eastAsia"/>
          <w:b/>
          <w:bCs w:val="0"/>
        </w:rPr>
        <w:t>2017届毕业生就业职业分布</w:t>
      </w:r>
    </w:p>
    <w:tbl>
      <w:tblPr>
        <w:tblStyle w:val="110"/>
        <w:tblW w:w="8778" w:type="dxa"/>
        <w:jc w:val="center"/>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3670"/>
        <w:gridCol w:w="2261"/>
        <w:gridCol w:w="2847"/>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5" w:hRule="atLeast"/>
          <w:jc w:val="center"/>
        </w:trPr>
        <w:tc>
          <w:tcPr>
            <w:tcW w:w="3670"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职业</w:t>
            </w:r>
          </w:p>
        </w:tc>
        <w:tc>
          <w:tcPr>
            <w:tcW w:w="2261"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占比</w:t>
            </w:r>
          </w:p>
        </w:tc>
        <w:tc>
          <w:tcPr>
            <w:tcW w:w="2847"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spacing w:line="240" w:lineRule="auto"/>
              <w:ind w:firstLine="0" w:firstLineChars="0"/>
              <w:jc w:val="center"/>
              <w:rPr>
                <w:rFonts w:ascii="Times New Roman" w:hAnsi="Times New Roman" w:eastAsia="宋体" w:cs="Times New Roman"/>
                <w:b/>
                <w:bCs/>
                <w:color w:val="FFFFFF"/>
                <w:sz w:val="21"/>
                <w:szCs w:val="21"/>
              </w:rPr>
            </w:pPr>
            <w:r>
              <w:rPr>
                <w:rFonts w:ascii="Times New Roman" w:hAnsi="Times New Roman" w:eastAsia="宋体" w:cs="Times New Roman"/>
                <w:b/>
                <w:bCs/>
                <w:color w:val="FFFFFF"/>
                <w:sz w:val="21"/>
                <w:szCs w:val="21"/>
              </w:rPr>
              <w:t>　</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670"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2"/>
              </w:rPr>
            </w:pPr>
            <w:r>
              <w:rPr>
                <w:rFonts w:ascii="Times New Roman" w:hAnsi="Times New Roman" w:cs="Times New Roman"/>
                <w:b w:val="0"/>
                <w:bCs/>
                <w:color w:val="000000"/>
                <w:sz w:val="21"/>
                <w:szCs w:val="22"/>
              </w:rPr>
              <w:t>办事人员和有关人员</w:t>
            </w:r>
          </w:p>
        </w:tc>
        <w:tc>
          <w:tcPr>
            <w:tcW w:w="2261"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2"/>
              </w:rPr>
            </w:pPr>
            <w:r>
              <w:rPr>
                <w:rFonts w:ascii="Times New Roman" w:hAnsi="Times New Roman" w:cs="Times New Roman"/>
                <w:color w:val="000000"/>
                <w:sz w:val="21"/>
                <w:szCs w:val="22"/>
              </w:rPr>
              <w:t>51.31%</w:t>
            </w:r>
          </w:p>
        </w:tc>
        <w:tc>
          <w:tcPr>
            <w:tcW w:w="2847" w:type="dxa"/>
            <w:vMerge w:val="restart"/>
            <w:shd w:val="clear" w:color="auto" w:fill="C7E2FA" w:themeFill="accent1" w:themeFillTint="33"/>
            <w:vAlign w:val="center"/>
          </w:tcPr>
          <w:p>
            <w:pPr>
              <w:spacing w:line="240" w:lineRule="auto"/>
              <w:ind w:firstLine="0" w:firstLineChars="0"/>
              <w:jc w:val="right"/>
              <w:rPr>
                <w:rFonts w:ascii="宋体" w:hAnsi="宋体" w:eastAsia="宋体" w:cs="宋体"/>
                <w:color w:val="000000"/>
                <w:sz w:val="22"/>
                <w:szCs w:val="22"/>
              </w:rPr>
            </w:pPr>
            <w:r>
              <w:drawing>
                <wp:inline distT="0" distB="0" distL="0" distR="0">
                  <wp:extent cx="1676400" cy="1007745"/>
                  <wp:effectExtent l="0" t="0" r="0" b="1905"/>
                  <wp:docPr id="449" name="图表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670" w:type="dxa"/>
            <w:vAlign w:val="center"/>
          </w:tcPr>
          <w:p>
            <w:pPr>
              <w:spacing w:line="240" w:lineRule="auto"/>
              <w:ind w:firstLine="0" w:firstLineChars="0"/>
              <w:jc w:val="center"/>
              <w:rPr>
                <w:rFonts w:ascii="Times New Roman" w:hAnsi="Times New Roman" w:cs="Times New Roman"/>
                <w:b w:val="0"/>
                <w:bCs/>
                <w:color w:val="000000"/>
                <w:sz w:val="21"/>
                <w:szCs w:val="22"/>
              </w:rPr>
            </w:pPr>
            <w:r>
              <w:rPr>
                <w:rFonts w:ascii="Times New Roman" w:hAnsi="Times New Roman" w:cs="Times New Roman"/>
                <w:b w:val="0"/>
                <w:bCs/>
                <w:color w:val="000000"/>
                <w:sz w:val="21"/>
                <w:szCs w:val="22"/>
              </w:rPr>
              <w:t>教学人员</w:t>
            </w:r>
          </w:p>
        </w:tc>
        <w:tc>
          <w:tcPr>
            <w:tcW w:w="2261" w:type="dxa"/>
            <w:vAlign w:val="center"/>
          </w:tcPr>
          <w:p>
            <w:pPr>
              <w:spacing w:line="240" w:lineRule="auto"/>
              <w:ind w:firstLine="0" w:firstLineChars="0"/>
              <w:jc w:val="center"/>
              <w:rPr>
                <w:rFonts w:ascii="Times New Roman" w:hAnsi="Times New Roman" w:cs="Times New Roman"/>
                <w:color w:val="000000"/>
                <w:sz w:val="21"/>
                <w:szCs w:val="22"/>
              </w:rPr>
            </w:pPr>
            <w:r>
              <w:rPr>
                <w:rFonts w:ascii="Times New Roman" w:hAnsi="Times New Roman" w:cs="Times New Roman"/>
                <w:color w:val="000000"/>
                <w:sz w:val="21"/>
                <w:szCs w:val="22"/>
              </w:rPr>
              <w:t>48.37%</w:t>
            </w:r>
          </w:p>
        </w:tc>
        <w:tc>
          <w:tcPr>
            <w:tcW w:w="2847" w:type="dxa"/>
            <w:vMerge w:val="continue"/>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670"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2"/>
              </w:rPr>
            </w:pPr>
            <w:r>
              <w:rPr>
                <w:rFonts w:ascii="Times New Roman" w:hAnsi="Times New Roman" w:cs="Times New Roman"/>
                <w:b w:val="0"/>
                <w:bCs/>
                <w:color w:val="000000"/>
                <w:sz w:val="21"/>
                <w:szCs w:val="22"/>
              </w:rPr>
              <w:t>科学研究人员</w:t>
            </w:r>
          </w:p>
        </w:tc>
        <w:tc>
          <w:tcPr>
            <w:tcW w:w="2261"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2"/>
              </w:rPr>
            </w:pPr>
            <w:r>
              <w:rPr>
                <w:rFonts w:ascii="Times New Roman" w:hAnsi="Times New Roman" w:cs="Times New Roman"/>
                <w:color w:val="000000"/>
                <w:sz w:val="21"/>
                <w:szCs w:val="22"/>
              </w:rPr>
              <w:t>0.08%</w:t>
            </w:r>
          </w:p>
        </w:tc>
        <w:tc>
          <w:tcPr>
            <w:tcW w:w="2847" w:type="dxa"/>
            <w:vMerge w:val="continue"/>
            <w:shd w:val="clear" w:color="auto" w:fill="C7E2FA" w:themeFill="accent1" w:themeFillTint="33"/>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670" w:type="dxa"/>
            <w:vAlign w:val="center"/>
          </w:tcPr>
          <w:p>
            <w:pPr>
              <w:spacing w:line="240" w:lineRule="auto"/>
              <w:ind w:firstLine="0" w:firstLineChars="0"/>
              <w:jc w:val="center"/>
              <w:rPr>
                <w:rFonts w:ascii="Times New Roman" w:hAnsi="Times New Roman" w:cs="Times New Roman"/>
                <w:b w:val="0"/>
                <w:bCs/>
                <w:color w:val="000000"/>
                <w:sz w:val="21"/>
                <w:szCs w:val="22"/>
              </w:rPr>
            </w:pPr>
            <w:r>
              <w:rPr>
                <w:rFonts w:ascii="Times New Roman" w:hAnsi="Times New Roman" w:cs="Times New Roman"/>
                <w:b w:val="0"/>
                <w:bCs/>
                <w:color w:val="000000"/>
                <w:sz w:val="21"/>
                <w:szCs w:val="22"/>
              </w:rPr>
              <w:t>生产和运输设备操作人员</w:t>
            </w:r>
          </w:p>
        </w:tc>
        <w:tc>
          <w:tcPr>
            <w:tcW w:w="2261" w:type="dxa"/>
            <w:vAlign w:val="center"/>
          </w:tcPr>
          <w:p>
            <w:pPr>
              <w:spacing w:line="240" w:lineRule="auto"/>
              <w:ind w:firstLine="0" w:firstLineChars="0"/>
              <w:jc w:val="center"/>
              <w:rPr>
                <w:rFonts w:ascii="Times New Roman" w:hAnsi="Times New Roman" w:cs="Times New Roman"/>
                <w:color w:val="000000"/>
                <w:sz w:val="21"/>
                <w:szCs w:val="22"/>
              </w:rPr>
            </w:pPr>
            <w:r>
              <w:rPr>
                <w:rFonts w:ascii="Times New Roman" w:hAnsi="Times New Roman" w:cs="Times New Roman"/>
                <w:color w:val="000000"/>
                <w:sz w:val="21"/>
                <w:szCs w:val="22"/>
              </w:rPr>
              <w:t>0.08%</w:t>
            </w:r>
          </w:p>
        </w:tc>
        <w:tc>
          <w:tcPr>
            <w:tcW w:w="2847" w:type="dxa"/>
            <w:vMerge w:val="continue"/>
            <w:vAlign w:val="center"/>
          </w:tcPr>
          <w:p>
            <w:pPr>
              <w:spacing w:line="240" w:lineRule="auto"/>
              <w:ind w:firstLine="0" w:firstLineChars="0"/>
              <w:jc w:val="right"/>
              <w:rPr>
                <w:rFonts w:ascii="宋体" w:hAnsi="宋体" w:eastAsia="宋体" w:cs="宋体"/>
                <w:color w:val="000000"/>
                <w:sz w:val="22"/>
                <w:szCs w:val="22"/>
              </w:rPr>
            </w:pP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3670" w:type="dxa"/>
            <w:shd w:val="clear" w:color="auto" w:fill="C7E2FA" w:themeFill="accent1" w:themeFillTint="33"/>
            <w:vAlign w:val="center"/>
          </w:tcPr>
          <w:p>
            <w:pPr>
              <w:spacing w:line="240" w:lineRule="auto"/>
              <w:ind w:firstLine="0" w:firstLineChars="0"/>
              <w:jc w:val="center"/>
              <w:rPr>
                <w:rFonts w:ascii="Times New Roman" w:hAnsi="Times New Roman" w:cs="Times New Roman"/>
                <w:b w:val="0"/>
                <w:bCs/>
                <w:color w:val="000000"/>
                <w:sz w:val="21"/>
                <w:szCs w:val="22"/>
              </w:rPr>
            </w:pPr>
            <w:r>
              <w:rPr>
                <w:rFonts w:ascii="Times New Roman" w:hAnsi="Times New Roman" w:cs="Times New Roman"/>
                <w:b w:val="0"/>
                <w:bCs/>
                <w:color w:val="000000"/>
                <w:sz w:val="21"/>
                <w:szCs w:val="22"/>
              </w:rPr>
              <w:t>其他人员</w:t>
            </w:r>
          </w:p>
        </w:tc>
        <w:tc>
          <w:tcPr>
            <w:tcW w:w="2261" w:type="dxa"/>
            <w:shd w:val="clear" w:color="auto" w:fill="C7E2FA" w:themeFill="accent1" w:themeFillTint="33"/>
            <w:vAlign w:val="center"/>
          </w:tcPr>
          <w:p>
            <w:pPr>
              <w:spacing w:line="240" w:lineRule="auto"/>
              <w:ind w:firstLine="0" w:firstLineChars="0"/>
              <w:jc w:val="center"/>
              <w:rPr>
                <w:rFonts w:ascii="Times New Roman" w:hAnsi="Times New Roman" w:cs="Times New Roman"/>
                <w:color w:val="000000"/>
                <w:sz w:val="21"/>
                <w:szCs w:val="22"/>
              </w:rPr>
            </w:pPr>
            <w:r>
              <w:rPr>
                <w:rFonts w:ascii="Times New Roman" w:hAnsi="Times New Roman" w:cs="Times New Roman"/>
                <w:color w:val="000000"/>
                <w:sz w:val="21"/>
                <w:szCs w:val="22"/>
              </w:rPr>
              <w:t>0.16%</w:t>
            </w:r>
          </w:p>
        </w:tc>
        <w:tc>
          <w:tcPr>
            <w:tcW w:w="2847" w:type="dxa"/>
            <w:vMerge w:val="continue"/>
            <w:shd w:val="clear" w:color="auto" w:fill="C7E2FA" w:themeFill="accent1" w:themeFillTint="33"/>
            <w:vAlign w:val="center"/>
          </w:tcPr>
          <w:p>
            <w:pPr>
              <w:spacing w:line="240" w:lineRule="auto"/>
              <w:ind w:firstLine="0" w:firstLineChars="0"/>
              <w:jc w:val="right"/>
              <w:rPr>
                <w:rFonts w:ascii="宋体" w:hAnsi="宋体" w:eastAsia="宋体" w:cs="宋体"/>
                <w:color w:val="000000"/>
                <w:sz w:val="22"/>
                <w:szCs w:val="22"/>
              </w:rPr>
            </w:pPr>
          </w:p>
        </w:tc>
      </w:tr>
    </w:tbl>
    <w:p>
      <w:pPr>
        <w:pStyle w:val="139"/>
      </w:pPr>
      <w:r>
        <w:t>数据来源：</w:t>
      </w:r>
      <w:r>
        <w:rPr>
          <w:rFonts w:hint="eastAsia"/>
        </w:rPr>
        <w:t>第三方机构新锦成-</w:t>
      </w:r>
      <w:r>
        <w:rPr>
          <w:rFonts w:hint="eastAsia" w:ascii="Times New Roman" w:hAnsi="Times New Roman"/>
        </w:rPr>
        <w:t>2017</w:t>
      </w:r>
      <w:r>
        <w:rPr>
          <w:rFonts w:hint="eastAsia"/>
        </w:rPr>
        <w:t>届毕业生就业与培养质量调查。</w:t>
      </w:r>
    </w:p>
    <w:p>
      <w:pPr>
        <w:pStyle w:val="133"/>
        <w:spacing w:before="163" w:after="163"/>
      </w:pPr>
      <w:bookmarkStart w:id="57" w:name="_Toc443998742"/>
      <w:bookmarkStart w:id="58" w:name="_Toc443997615"/>
      <w:bookmarkStart w:id="59" w:name="_Toc443997311"/>
      <w:bookmarkStart w:id="60" w:name="_Toc521402021"/>
      <w:r>
        <w:rPr>
          <w:rFonts w:hint="eastAsia"/>
        </w:rPr>
        <w:t>四、</w:t>
      </w:r>
      <w:bookmarkEnd w:id="57"/>
      <w:bookmarkEnd w:id="58"/>
      <w:bookmarkEnd w:id="59"/>
      <w:r>
        <w:rPr>
          <w:rFonts w:hint="eastAsia"/>
        </w:rPr>
        <w:t>升学</w:t>
      </w:r>
      <w:r>
        <w:t>情况</w:t>
      </w:r>
      <w:bookmarkEnd w:id="60"/>
    </w:p>
    <w:p>
      <w:pPr>
        <w:pStyle w:val="131"/>
      </w:pPr>
      <w:r>
        <w:rPr>
          <w:rFonts w:hint="eastAsia"/>
        </w:rPr>
        <w:t>2017届</w:t>
      </w:r>
      <w:r>
        <w:t>毕业生中，</w:t>
      </w:r>
      <w:r>
        <w:rPr>
          <w:rFonts w:hint="eastAsia"/>
        </w:rPr>
        <w:t>有1</w:t>
      </w:r>
      <w:r>
        <w:t>92</w:t>
      </w:r>
      <w:r>
        <w:rPr>
          <w:rFonts w:hint="eastAsia"/>
        </w:rPr>
        <w:t>名</w:t>
      </w:r>
      <w:r>
        <w:t>毕业生</w:t>
      </w:r>
      <w:r>
        <w:rPr>
          <w:rFonts w:hint="eastAsia"/>
        </w:rPr>
        <w:t>的毕业</w:t>
      </w:r>
      <w:r>
        <w:t>去向为</w:t>
      </w:r>
      <w:r>
        <w:rPr>
          <w:rFonts w:hint="eastAsia"/>
        </w:rPr>
        <w:t>升学</w:t>
      </w:r>
      <w:r>
        <w:t>深造，</w:t>
      </w:r>
      <w:r>
        <w:rPr>
          <w:rFonts w:hint="eastAsia"/>
        </w:rPr>
        <w:t>升学率为</w:t>
      </w:r>
      <w:r>
        <w:t>12.03%</w:t>
      </w:r>
      <w:r>
        <w:rPr>
          <w:rFonts w:hint="eastAsia"/>
        </w:rPr>
        <w:t>；进</w:t>
      </w:r>
      <w:r>
        <w:t>一步调查其升学</w:t>
      </w:r>
      <w:r>
        <w:rPr>
          <w:rFonts w:hint="eastAsia"/>
        </w:rPr>
        <w:t>原因</w:t>
      </w:r>
      <w:r>
        <w:t>、升学专业一致</w:t>
      </w:r>
      <w:r>
        <w:rPr>
          <w:rFonts w:hint="eastAsia"/>
        </w:rPr>
        <w:t>性及</w:t>
      </w:r>
      <w:r>
        <w:t>升学录取结果满意度</w:t>
      </w:r>
      <w:r>
        <w:rPr>
          <w:rFonts w:hint="eastAsia"/>
        </w:rPr>
        <w:t>，</w:t>
      </w:r>
      <w:r>
        <w:t>具体内容如下。</w:t>
      </w:r>
    </w:p>
    <w:p>
      <w:pPr>
        <w:pStyle w:val="131"/>
        <w:spacing w:before="163" w:beforeLines="50" w:after="163" w:afterLines="50"/>
        <w:ind w:firstLine="482"/>
      </w:pPr>
      <w:r>
        <w:rPr>
          <w:rFonts w:hint="eastAsia"/>
          <w:b/>
          <w:color w:val="0F6FC6" w:themeColor="accent1"/>
          <w14:textFill>
            <w14:solidFill>
              <w14:schemeClr w14:val="accent1"/>
            </w14:solidFill>
          </w14:textFill>
        </w:rPr>
        <w:t>升学原因：</w:t>
      </w:r>
      <w:r>
        <w:t>首要</w:t>
      </w:r>
      <w:r>
        <w:rPr>
          <w:rFonts w:hint="eastAsia"/>
        </w:rPr>
        <w:t>原因是为了“增加择业资本、站在更高的求职起点</w:t>
      </w:r>
      <w:r>
        <w:rPr>
          <w:rFonts w:asciiTheme="minorEastAsia" w:hAnsiTheme="minorEastAsia" w:eastAsiaTheme="minorEastAsia"/>
        </w:rPr>
        <w:t>”</w:t>
      </w:r>
      <w:r>
        <w:rPr>
          <w:rFonts w:hint="eastAsia"/>
        </w:rPr>
        <w:t>（</w:t>
      </w:r>
      <w:r>
        <w:t>45.45%）</w:t>
      </w:r>
      <w:r>
        <w:rPr>
          <w:rFonts w:hint="eastAsia"/>
        </w:rPr>
        <w:t>，其次是“提升综合能力”（</w:t>
      </w:r>
      <w:r>
        <w:t>30.00%）</w:t>
      </w:r>
      <w:r>
        <w:rPr>
          <w:rFonts w:hint="eastAsia"/>
        </w:rPr>
        <w:t>和“对专业感</w:t>
      </w:r>
      <w:r>
        <w:t>兴趣、深入学习</w:t>
      </w:r>
      <w:r>
        <w:rPr>
          <w:rFonts w:hint="eastAsia"/>
        </w:rPr>
        <w:t>”（</w:t>
      </w:r>
      <w:r>
        <w:t>16.36%）</w:t>
      </w:r>
      <w:r>
        <w:rPr>
          <w:rFonts w:hint="eastAsia"/>
        </w:rPr>
        <w:t>；</w:t>
      </w:r>
      <w:r>
        <w:t>而因</w:t>
      </w:r>
      <w:r>
        <w:rPr>
          <w:rFonts w:asciiTheme="minorEastAsia" w:hAnsiTheme="minorEastAsia" w:eastAsiaTheme="minorEastAsia"/>
        </w:rPr>
        <w:t>“</w:t>
      </w:r>
      <w:r>
        <w:rPr>
          <w:rFonts w:hint="eastAsia" w:asciiTheme="minorEastAsia" w:hAnsiTheme="minorEastAsia" w:eastAsiaTheme="minorEastAsia"/>
        </w:rPr>
        <w:t>延缓</w:t>
      </w:r>
      <w:r>
        <w:rPr>
          <w:rFonts w:asciiTheme="minorEastAsia" w:hAnsiTheme="minorEastAsia" w:eastAsiaTheme="minorEastAsia"/>
        </w:rPr>
        <w:t>面对就业的困</w:t>
      </w:r>
      <w:r>
        <w:rPr>
          <w:rFonts w:hint="eastAsia" w:asciiTheme="minorEastAsia" w:hAnsiTheme="minorEastAsia" w:eastAsiaTheme="minorEastAsia"/>
        </w:rPr>
        <w:t>难</w:t>
      </w:r>
      <w:r>
        <w:rPr>
          <w:rFonts w:asciiTheme="minorEastAsia" w:hAnsiTheme="minorEastAsia" w:eastAsiaTheme="minorEastAsia"/>
        </w:rPr>
        <w:t>”</w:t>
      </w:r>
      <w:r>
        <w:rPr>
          <w:rFonts w:hint="eastAsia"/>
        </w:rPr>
        <w:t>选择</w:t>
      </w:r>
      <w:r>
        <w:t>升学的毕业生占比相对较低，</w:t>
      </w:r>
      <w:r>
        <w:rPr>
          <w:rFonts w:hint="eastAsia"/>
        </w:rPr>
        <w:t>可见</w:t>
      </w:r>
      <w:r>
        <w:t>谋求</w:t>
      </w:r>
      <w:r>
        <w:rPr>
          <w:rFonts w:hint="eastAsia"/>
        </w:rPr>
        <w:t>个人</w:t>
      </w:r>
      <w:r>
        <w:t>事业发展的</w:t>
      </w:r>
      <w:r>
        <w:rPr>
          <w:rFonts w:hint="eastAsia"/>
        </w:rPr>
        <w:t>更大</w:t>
      </w:r>
      <w:r>
        <w:t>空间</w:t>
      </w:r>
      <w:r>
        <w:rPr>
          <w:rFonts w:hint="eastAsia"/>
        </w:rPr>
        <w:t>为</w:t>
      </w:r>
      <w:r>
        <w:t>毕业生的升学动力。</w:t>
      </w:r>
    </w:p>
    <w:p>
      <w:pPr>
        <w:pStyle w:val="131"/>
        <w:spacing w:before="163" w:beforeLines="50" w:after="163" w:afterLines="50"/>
      </w:pPr>
      <w:r>
        <w:rPr>
          <w:rFonts w:hint="eastAsia"/>
        </w:rPr>
        <w:drawing>
          <wp:inline distT="0" distB="0" distL="0" distR="0">
            <wp:extent cx="5048250" cy="1495425"/>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37"/>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11</w:t>
      </w:r>
      <w:r>
        <w:fldChar w:fldCharType="end"/>
      </w:r>
      <w:r>
        <w:rPr>
          <w:rFonts w:hint="eastAsia"/>
        </w:rPr>
        <w:t xml:space="preserve">  2017届毕业生升学原因</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ind w:firstLine="482"/>
        <w:rPr>
          <w:rFonts w:asciiTheme="minorEastAsia" w:hAnsiTheme="minorEastAsia" w:eastAsiaTheme="minorEastAsia"/>
        </w:rPr>
      </w:pPr>
      <w:r>
        <w:rPr>
          <w:rFonts w:hint="eastAsia"/>
          <w:b/>
          <w:color w:val="0F6FC6" w:themeColor="accent1"/>
          <w14:textFill>
            <w14:solidFill>
              <w14:schemeClr w14:val="accent1"/>
            </w14:solidFill>
          </w14:textFill>
        </w:rPr>
        <w:t>升学专业一致性：</w:t>
      </w:r>
      <w:r>
        <w:rPr>
          <w:rFonts w:hint="eastAsia"/>
        </w:rPr>
        <w:t>升学专业与原专业一致或相关的比例为</w:t>
      </w:r>
      <w:r>
        <w:t>86.36</w:t>
      </w:r>
      <w:r>
        <w:rPr>
          <w:rFonts w:hint="eastAsia"/>
        </w:rPr>
        <w:t>%，大部分毕业生仍在本专业或相关专业继续深造；毕业生</w:t>
      </w:r>
      <w:r>
        <w:t>转换专业升学的</w:t>
      </w:r>
      <w:r>
        <w:rPr>
          <w:rFonts w:hint="eastAsia"/>
        </w:rPr>
        <w:t>主要</w:t>
      </w:r>
      <w:r>
        <w:t>原因</w:t>
      </w:r>
      <w:r>
        <w:rPr>
          <w:rFonts w:hint="eastAsia"/>
        </w:rPr>
        <w:t>为</w:t>
      </w:r>
      <w:r>
        <w:rPr>
          <w:rFonts w:asciiTheme="minorEastAsia" w:hAnsiTheme="minorEastAsia" w:eastAsiaTheme="minorEastAsia"/>
        </w:rPr>
        <w:t>“</w:t>
      </w:r>
      <w:r>
        <w:rPr>
          <w:rFonts w:hint="eastAsia" w:asciiTheme="minorEastAsia" w:hAnsiTheme="minorEastAsia" w:eastAsiaTheme="minorEastAsia"/>
        </w:rPr>
        <w:t>出于</w:t>
      </w:r>
      <w:r>
        <w:rPr>
          <w:rFonts w:asciiTheme="minorEastAsia" w:hAnsiTheme="minorEastAsia" w:eastAsiaTheme="minorEastAsia"/>
        </w:rPr>
        <w:t>个人兴趣”</w:t>
      </w:r>
      <w:r>
        <w:rPr>
          <w:rFonts w:hint="eastAsia" w:asciiTheme="minorEastAsia" w:hAnsiTheme="minorEastAsia" w:eastAsiaTheme="minorEastAsia"/>
        </w:rPr>
        <w:t>（</w:t>
      </w:r>
      <w:r>
        <w:rPr>
          <w:rFonts w:cs="Times New Roman" w:eastAsiaTheme="minorEastAsia"/>
        </w:rPr>
        <w:t>33.33%</w:t>
      </w:r>
      <w:r>
        <w:rPr>
          <w:rFonts w:hint="eastAsia" w:asciiTheme="minorEastAsia" w:hAnsiTheme="minorEastAsia" w:eastAsiaTheme="minorEastAsia"/>
        </w:rPr>
        <w:t>）和“就业</w:t>
      </w:r>
      <w:r>
        <w:rPr>
          <w:rFonts w:asciiTheme="minorEastAsia" w:hAnsiTheme="minorEastAsia" w:eastAsiaTheme="minorEastAsia"/>
        </w:rPr>
        <w:t>前景好</w:t>
      </w:r>
      <w:r>
        <w:rPr>
          <w:rFonts w:hint="eastAsia" w:asciiTheme="minorEastAsia" w:hAnsiTheme="minorEastAsia" w:eastAsiaTheme="minorEastAsia"/>
        </w:rPr>
        <w:t>”（</w:t>
      </w:r>
      <w:r>
        <w:rPr>
          <w:rFonts w:cs="Times New Roman" w:eastAsiaTheme="minorEastAsia"/>
        </w:rPr>
        <w:t>26.67%</w:t>
      </w:r>
      <w:r>
        <w:rPr>
          <w:rFonts w:hint="eastAsia" w:asciiTheme="minorEastAsia" w:hAnsiTheme="minorEastAsia" w:eastAsiaTheme="minorEastAsia"/>
        </w:rPr>
        <w:t>）。</w:t>
      </w:r>
    </w:p>
    <w:p>
      <w:pPr>
        <w:pStyle w:val="131"/>
        <w:rPr>
          <w:rFonts w:asciiTheme="minorEastAsia" w:hAnsiTheme="minorEastAsia" w:eastAsiaTheme="minorEastAsia"/>
        </w:rPr>
      </w:pPr>
    </w:p>
    <w:p>
      <w:pPr>
        <w:pStyle w:val="131"/>
        <w:rPr>
          <w:rFonts w:asciiTheme="minorEastAsia" w:hAnsiTheme="minorEastAsia" w:eastAsiaTheme="minorEastAsia"/>
        </w:rPr>
      </w:pPr>
    </w:p>
    <w:p>
      <w:pPr>
        <w:pStyle w:val="131"/>
        <w:rPr>
          <w:rFonts w:asciiTheme="minorEastAsia" w:hAnsiTheme="minorEastAsia" w:eastAsiaTheme="minorEastAsia"/>
        </w:rPr>
      </w:pPr>
      <w:r>
        <w:rPr>
          <w:color w:val="0F6FC6" w:themeColor="accent1"/>
          <w14:textFill>
            <w14:solidFill>
              <w14:schemeClr w14:val="accent1"/>
            </w14:solidFill>
          </w14:textFill>
        </w:rPr>
        <w:drawing>
          <wp:anchor distT="0" distB="0" distL="114300" distR="114300" simplePos="0" relativeHeight="251756544" behindDoc="0" locked="0" layoutInCell="1" allowOverlap="1">
            <wp:simplePos x="0" y="0"/>
            <wp:positionH relativeFrom="column">
              <wp:posOffset>1552575</wp:posOffset>
            </wp:positionH>
            <wp:positionV relativeFrom="paragraph">
              <wp:posOffset>-232410</wp:posOffset>
            </wp:positionV>
            <wp:extent cx="2381250" cy="1866900"/>
            <wp:effectExtent l="0" t="0" r="0" b="0"/>
            <wp:wrapNone/>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pStyle w:val="131"/>
        <w:rPr>
          <w:rFonts w:asciiTheme="minorEastAsia" w:hAnsiTheme="minorEastAsia" w:eastAsiaTheme="minorEastAsia"/>
        </w:rPr>
      </w:pPr>
    </w:p>
    <w:p>
      <w:pPr>
        <w:pStyle w:val="131"/>
        <w:ind w:firstLine="0" w:firstLineChars="0"/>
        <w:jc w:val="center"/>
      </w:pPr>
    </w:p>
    <w:p>
      <w:pPr>
        <w:pStyle w:val="131"/>
        <w:ind w:firstLine="0" w:firstLineChars="0"/>
        <w:jc w:val="center"/>
      </w:pPr>
    </w:p>
    <w:p>
      <w:pPr>
        <w:pStyle w:val="137"/>
        <w:jc w:val="left"/>
      </w:pPr>
    </w:p>
    <w:p>
      <w:pPr>
        <w:pStyle w:val="137"/>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12</w:t>
      </w:r>
      <w:r>
        <w:fldChar w:fldCharType="end"/>
      </w:r>
      <w:r>
        <w:rPr>
          <w:rFonts w:hint="eastAsia"/>
        </w:rPr>
        <w:t xml:space="preserve">  2017届</w:t>
      </w:r>
      <w:r>
        <w:t>毕业生</w:t>
      </w:r>
      <w:r>
        <w:rPr>
          <w:rFonts w:hint="eastAsia"/>
        </w:rPr>
        <w:t>升学</w:t>
      </w:r>
      <w:r>
        <w:t>专业一致性</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spacing w:after="120"/>
        <w:ind w:firstLine="482"/>
      </w:pPr>
      <w:r>
        <w:rPr>
          <w:rFonts w:hint="eastAsia"/>
          <w:b/>
          <w:color w:val="0F6FC6" w:themeColor="accent1"/>
          <w14:textFill>
            <w14:solidFill>
              <w14:schemeClr w14:val="accent1"/>
            </w14:solidFill>
          </w14:textFill>
        </w:rPr>
        <w:t>升学录取</w:t>
      </w:r>
      <w:r>
        <w:rPr>
          <w:b/>
          <w:color w:val="0F6FC6" w:themeColor="accent1"/>
          <w14:textFill>
            <w14:solidFill>
              <w14:schemeClr w14:val="accent1"/>
            </w14:solidFill>
          </w14:textFill>
        </w:rPr>
        <w:t>结果满意度</w:t>
      </w:r>
      <w:r>
        <w:rPr>
          <w:rFonts w:hint="eastAsia"/>
          <w:b/>
          <w:color w:val="0F6FC6" w:themeColor="accent1"/>
          <w14:textFill>
            <w14:solidFill>
              <w14:schemeClr w14:val="accent1"/>
            </w14:solidFill>
          </w14:textFill>
        </w:rPr>
        <w:t>：</w:t>
      </w:r>
      <w:r>
        <w:rPr>
          <w:rFonts w:hint="eastAsia"/>
        </w:rPr>
        <w:t>选择</w:t>
      </w:r>
      <w:r>
        <w:t>国内</w:t>
      </w:r>
      <w:r>
        <w:rPr>
          <w:rFonts w:hint="eastAsia"/>
        </w:rPr>
        <w:t>升学深造的毕业生对其录取结果满意度</w:t>
      </w:r>
      <w:r>
        <w:t>较高</w:t>
      </w:r>
      <w:r>
        <w:rPr>
          <w:rFonts w:hint="eastAsia"/>
        </w:rPr>
        <w:t>；其中“很满意”占比</w:t>
      </w:r>
      <w:r>
        <w:t>为44.55%</w:t>
      </w:r>
      <w:r>
        <w:rPr>
          <w:rFonts w:hint="eastAsia"/>
        </w:rPr>
        <w:t>，“</w:t>
      </w:r>
      <w:r>
        <w:t>比较满意</w:t>
      </w:r>
      <w:r>
        <w:rPr>
          <w:rFonts w:hint="eastAsia"/>
        </w:rPr>
        <w:t>”</w:t>
      </w:r>
      <w:r>
        <w:t>占</w:t>
      </w:r>
      <w:r>
        <w:rPr>
          <w:rFonts w:hint="eastAsia"/>
        </w:rPr>
        <w:t>比</w:t>
      </w:r>
      <w:r>
        <w:t>为</w:t>
      </w:r>
      <w:r>
        <w:rPr>
          <w:rFonts w:hint="eastAsia"/>
        </w:rPr>
        <w:t>4</w:t>
      </w:r>
      <w:r>
        <w:t>3.64%。</w:t>
      </w:r>
    </w:p>
    <w:p>
      <w:pPr>
        <w:ind w:firstLine="0" w:firstLineChars="0"/>
        <w:jc w:val="center"/>
      </w:pPr>
      <w:r>
        <w:drawing>
          <wp:inline distT="0" distB="0" distL="0" distR="0">
            <wp:extent cx="3169285" cy="163830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37"/>
        <w:rPr>
          <w:rStyle w:val="34"/>
          <w:b/>
          <w:bCs w:val="0"/>
        </w:rPr>
      </w:pPr>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13</w:t>
      </w:r>
      <w:r>
        <w:fldChar w:fldCharType="end"/>
      </w:r>
      <w:r>
        <w:rPr>
          <w:rFonts w:hint="eastAsia"/>
        </w:rPr>
        <w:t xml:space="preserve">  2017届毕业生升学录取结果满意度</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3"/>
        <w:spacing w:before="163" w:after="163"/>
      </w:pPr>
      <w:bookmarkStart w:id="61" w:name="_Toc443997312"/>
      <w:bookmarkStart w:id="62" w:name="_Toc443997616"/>
      <w:bookmarkStart w:id="63" w:name="_Toc443998743"/>
      <w:bookmarkStart w:id="64" w:name="_Toc435088698"/>
      <w:bookmarkStart w:id="65" w:name="_Toc440017542"/>
      <w:bookmarkStart w:id="66" w:name="_Toc427050518"/>
      <w:bookmarkStart w:id="67" w:name="_Toc521402022"/>
      <w:r>
        <w:rPr>
          <w:rFonts w:hint="eastAsia"/>
        </w:rPr>
        <w:t>五、自主创业</w:t>
      </w:r>
      <w:bookmarkEnd w:id="61"/>
      <w:bookmarkEnd w:id="62"/>
      <w:bookmarkEnd w:id="63"/>
      <w:bookmarkEnd w:id="64"/>
      <w:bookmarkEnd w:id="65"/>
      <w:bookmarkEnd w:id="66"/>
      <w:r>
        <w:rPr>
          <w:rStyle w:val="40"/>
        </w:rPr>
        <w:footnoteReference w:id="1"/>
      </w:r>
      <w:bookmarkEnd w:id="67"/>
    </w:p>
    <w:p>
      <w:pPr>
        <w:pStyle w:val="131"/>
      </w:pPr>
      <w:r>
        <w:rPr>
          <w:rFonts w:hint="eastAsia"/>
          <w:color w:val="000000" w:themeColor="text1"/>
          <w14:textFill>
            <w14:solidFill>
              <w14:schemeClr w14:val="tx1"/>
            </w14:solidFill>
          </w14:textFill>
        </w:rPr>
        <w:t>针对参与本次调研的2</w:t>
      </w:r>
      <w:r>
        <w:rPr>
          <w:color w:val="000000" w:themeColor="text1"/>
          <w14:textFill>
            <w14:solidFill>
              <w14:schemeClr w14:val="tx1"/>
            </w14:solidFill>
          </w14:textFill>
        </w:rPr>
        <w:t>017</w:t>
      </w:r>
      <w:r>
        <w:rPr>
          <w:rFonts w:hint="eastAsia"/>
          <w:color w:val="000000" w:themeColor="text1"/>
          <w14:textFill>
            <w14:solidFill>
              <w14:schemeClr w14:val="tx1"/>
            </w14:solidFill>
          </w14:textFill>
        </w:rPr>
        <w:t>届毕业生中毕业去向为自主创业的学生，</w:t>
      </w:r>
      <w:r>
        <w:rPr>
          <w:rFonts w:hint="eastAsia"/>
        </w:rPr>
        <w:t>进一步</w:t>
      </w:r>
      <w:r>
        <w:t>调查其</w:t>
      </w:r>
      <w:r>
        <w:rPr>
          <w:rFonts w:hint="eastAsia"/>
        </w:rPr>
        <w:t>创业</w:t>
      </w:r>
      <w:r>
        <w:t>行业、</w:t>
      </w:r>
      <w:r>
        <w:rPr>
          <w:rFonts w:hint="eastAsia"/>
        </w:rPr>
        <w:t>创业</w:t>
      </w:r>
      <w:r>
        <w:t>行业与其所学专业的一致性</w:t>
      </w:r>
      <w:r>
        <w:rPr>
          <w:rFonts w:hint="eastAsia"/>
        </w:rPr>
        <w:t>、</w:t>
      </w:r>
      <w:r>
        <w:t>创业原因等。</w:t>
      </w:r>
      <w:r>
        <w:rPr>
          <w:rFonts w:hint="eastAsia"/>
          <w:color w:val="auto"/>
        </w:rPr>
        <w:t>2017届</w:t>
      </w:r>
      <w:r>
        <w:t>毕业生</w:t>
      </w:r>
      <w:r>
        <w:rPr>
          <w:rFonts w:hint="eastAsia"/>
        </w:rPr>
        <w:t>创业行业呈多元化</w:t>
      </w:r>
      <w:r>
        <w:t>分布</w:t>
      </w:r>
      <w:r>
        <w:rPr>
          <w:rFonts w:hint="eastAsia"/>
        </w:rPr>
        <w:t>，主要集中在</w:t>
      </w:r>
      <w:r>
        <w:rPr>
          <w:rFonts w:asciiTheme="minorEastAsia" w:hAnsiTheme="minorEastAsia" w:eastAsiaTheme="minorEastAsia"/>
        </w:rPr>
        <w:t>“</w:t>
      </w:r>
      <w:r>
        <w:rPr>
          <w:rFonts w:hint="eastAsia" w:asciiTheme="minorEastAsia" w:hAnsiTheme="minorEastAsia" w:eastAsiaTheme="minorEastAsia"/>
        </w:rPr>
        <w:t>教育</w:t>
      </w:r>
      <w:r>
        <w:rPr>
          <w:rFonts w:asciiTheme="minorEastAsia" w:hAnsiTheme="minorEastAsia" w:eastAsiaTheme="minorEastAsia"/>
        </w:rPr>
        <w:t>”</w:t>
      </w:r>
      <w:r>
        <w:rPr>
          <w:rFonts w:hint="eastAsia"/>
        </w:rPr>
        <w:t>行业和</w:t>
      </w:r>
      <w:r>
        <w:rPr>
          <w:rFonts w:asciiTheme="minorEastAsia" w:hAnsiTheme="minorEastAsia" w:eastAsiaTheme="minorEastAsia"/>
        </w:rPr>
        <w:t>“</w:t>
      </w:r>
      <w:r>
        <w:rPr>
          <w:rFonts w:hint="eastAsia" w:asciiTheme="minorEastAsia" w:hAnsiTheme="minorEastAsia" w:eastAsiaTheme="minorEastAsia"/>
        </w:rPr>
        <w:t>文化、</w:t>
      </w:r>
      <w:r>
        <w:rPr>
          <w:rFonts w:asciiTheme="minorEastAsia" w:hAnsiTheme="minorEastAsia" w:eastAsiaTheme="minorEastAsia"/>
        </w:rPr>
        <w:t>体育和娱乐业”</w:t>
      </w:r>
      <w:r>
        <w:rPr>
          <w:rFonts w:hint="eastAsia"/>
        </w:rPr>
        <w:t>；其创业领域与所学专业相关或一般的比例为</w:t>
      </w:r>
      <w:r>
        <w:t>38.46</w:t>
      </w:r>
      <w:r>
        <w:rPr>
          <w:rFonts w:hint="eastAsia"/>
        </w:rPr>
        <w:t>%。在</w:t>
      </w:r>
      <w:r>
        <w:t>创业的主要原因</w:t>
      </w:r>
      <w:r>
        <w:rPr>
          <w:rFonts w:hint="eastAsia"/>
        </w:rPr>
        <w:t>方面，</w:t>
      </w:r>
      <w:r>
        <w:rPr>
          <w:rFonts w:asciiTheme="minorEastAsia" w:hAnsiTheme="minorEastAsia" w:eastAsiaTheme="minorEastAsia"/>
        </w:rPr>
        <w:t>“</w:t>
      </w:r>
      <w:r>
        <w:rPr>
          <w:rFonts w:hint="eastAsia" w:asciiTheme="minorEastAsia" w:hAnsiTheme="minorEastAsia" w:eastAsiaTheme="minorEastAsia"/>
        </w:rPr>
        <w:t>希望</w:t>
      </w:r>
      <w:r>
        <w:rPr>
          <w:rFonts w:asciiTheme="minorEastAsia" w:hAnsiTheme="minorEastAsia" w:eastAsiaTheme="minorEastAsia"/>
        </w:rPr>
        <w:t>通过创业</w:t>
      </w:r>
      <w:r>
        <w:rPr>
          <w:rFonts w:hint="eastAsia" w:asciiTheme="minorEastAsia" w:hAnsiTheme="minorEastAsia" w:eastAsiaTheme="minorEastAsia"/>
        </w:rPr>
        <w:t>实现</w:t>
      </w:r>
      <w:r>
        <w:rPr>
          <w:rFonts w:asciiTheme="minorEastAsia" w:hAnsiTheme="minorEastAsia" w:eastAsiaTheme="minorEastAsia"/>
        </w:rPr>
        <w:t>个人理想”</w:t>
      </w:r>
      <w:r>
        <w:rPr>
          <w:rFonts w:hint="eastAsia" w:asciiTheme="minorEastAsia" w:hAnsiTheme="minorEastAsia" w:eastAsiaTheme="minorEastAsia"/>
        </w:rPr>
        <w:t>（</w:t>
      </w:r>
      <w:r>
        <w:rPr>
          <w:rFonts w:cs="Times New Roman" w:eastAsiaTheme="minorEastAsia"/>
        </w:rPr>
        <w:t>92.31</w:t>
      </w:r>
      <w:r>
        <w:rPr>
          <w:rFonts w:hint="eastAsia" w:cs="Times New Roman"/>
        </w:rPr>
        <w:t>%</w:t>
      </w:r>
      <w:r>
        <w:rPr>
          <w:rFonts w:hint="eastAsia" w:asciiTheme="minorEastAsia" w:hAnsiTheme="minorEastAsia" w:eastAsiaTheme="minorEastAsia"/>
        </w:rPr>
        <w:t>）为毕业生主要创业的原因，</w:t>
      </w:r>
      <w:r>
        <w:rPr>
          <w:rFonts w:asciiTheme="minorEastAsia" w:hAnsiTheme="minorEastAsia" w:eastAsiaTheme="minorEastAsia"/>
        </w:rPr>
        <w:t>其次</w:t>
      </w:r>
      <w:r>
        <w:rPr>
          <w:rFonts w:hint="eastAsia" w:asciiTheme="minorEastAsia" w:hAnsiTheme="minorEastAsia" w:eastAsiaTheme="minorEastAsia"/>
        </w:rPr>
        <w:t>为</w:t>
      </w:r>
      <w:r>
        <w:rPr>
          <w:rFonts w:asciiTheme="minorEastAsia" w:hAnsiTheme="minorEastAsia" w:eastAsiaTheme="minorEastAsia"/>
        </w:rPr>
        <w:t>“</w:t>
      </w:r>
      <w:r>
        <w:rPr>
          <w:rFonts w:hint="eastAsia" w:asciiTheme="minorEastAsia" w:hAnsiTheme="minorEastAsia" w:eastAsiaTheme="minorEastAsia"/>
        </w:rPr>
        <w:t>对</w:t>
      </w:r>
      <w:r>
        <w:rPr>
          <w:rFonts w:asciiTheme="minorEastAsia" w:hAnsiTheme="minorEastAsia" w:eastAsiaTheme="minorEastAsia"/>
        </w:rPr>
        <w:t>创业充满兴趣、激情”</w:t>
      </w:r>
      <w:r>
        <w:rPr>
          <w:rFonts w:hint="eastAsia" w:asciiTheme="minorEastAsia" w:hAnsiTheme="minorEastAsia" w:eastAsiaTheme="minorEastAsia"/>
        </w:rPr>
        <w:t>（</w:t>
      </w:r>
      <w:r>
        <w:rPr>
          <w:rFonts w:cs="Times New Roman" w:eastAsiaTheme="minorEastAsia"/>
        </w:rPr>
        <w:t>61.54</w:t>
      </w:r>
      <w:r>
        <w:rPr>
          <w:rFonts w:cs="Times New Roman"/>
        </w:rPr>
        <w:t>%</w:t>
      </w:r>
      <w:r>
        <w:rPr>
          <w:rFonts w:hint="eastAsia" w:asciiTheme="minorEastAsia" w:hAnsiTheme="minorEastAsia" w:eastAsiaTheme="minorEastAsia"/>
        </w:rPr>
        <w:t>）。</w:t>
      </w:r>
      <w:r>
        <w:rPr>
          <w:rFonts w:hint="eastAsia"/>
        </w:rPr>
        <w:t>毕业生</w:t>
      </w:r>
      <w:r>
        <w:t>认为对创业</w:t>
      </w:r>
      <w:r>
        <w:rPr>
          <w:rFonts w:hint="eastAsia"/>
        </w:rPr>
        <w:t>帮助</w:t>
      </w:r>
      <w:r>
        <w:t>最大的在校活动为</w:t>
      </w:r>
      <w:r>
        <w:rPr>
          <w:rFonts w:asciiTheme="minorEastAsia" w:hAnsiTheme="minorEastAsia" w:eastAsiaTheme="minorEastAsia"/>
        </w:rPr>
        <w:t>“</w:t>
      </w:r>
      <w:r>
        <w:rPr>
          <w:rFonts w:hint="eastAsia" w:asciiTheme="minorEastAsia" w:hAnsiTheme="minorEastAsia" w:eastAsiaTheme="minorEastAsia"/>
        </w:rPr>
        <w:t>社会</w:t>
      </w:r>
      <w:r>
        <w:rPr>
          <w:rFonts w:asciiTheme="minorEastAsia" w:hAnsiTheme="minorEastAsia" w:eastAsiaTheme="minorEastAsia"/>
        </w:rPr>
        <w:t>实践活动”</w:t>
      </w:r>
      <w:r>
        <w:rPr>
          <w:rFonts w:hint="eastAsia" w:asciiTheme="minorEastAsia" w:hAnsiTheme="minorEastAsia" w:eastAsiaTheme="minorEastAsia"/>
        </w:rPr>
        <w:t>（</w:t>
      </w:r>
      <w:r>
        <w:rPr>
          <w:rFonts w:hint="eastAsia" w:cs="Times New Roman" w:eastAsiaTheme="minorEastAsia"/>
        </w:rPr>
        <w:t>6</w:t>
      </w:r>
      <w:r>
        <w:rPr>
          <w:rFonts w:cs="Times New Roman" w:eastAsiaTheme="minorEastAsia"/>
        </w:rPr>
        <w:t>1.54</w:t>
      </w:r>
      <w:r>
        <w:rPr>
          <w:rFonts w:cs="Times New Roman"/>
        </w:rPr>
        <w:t>%</w:t>
      </w:r>
      <w:r>
        <w:rPr>
          <w:rFonts w:hint="eastAsia" w:asciiTheme="minorEastAsia" w:hAnsiTheme="minorEastAsia" w:eastAsiaTheme="minorEastAsia"/>
        </w:rPr>
        <w:t>），</w:t>
      </w:r>
      <w:r>
        <w:rPr>
          <w:rFonts w:asciiTheme="minorEastAsia" w:hAnsiTheme="minorEastAsia" w:eastAsiaTheme="minorEastAsia"/>
        </w:rPr>
        <w:t>其次为“</w:t>
      </w:r>
      <w:r>
        <w:rPr>
          <w:rFonts w:hint="eastAsia" w:asciiTheme="minorEastAsia" w:hAnsiTheme="minorEastAsia" w:eastAsiaTheme="minorEastAsia"/>
        </w:rPr>
        <w:t>学生社团</w:t>
      </w:r>
      <w:r>
        <w:rPr>
          <w:rFonts w:asciiTheme="minorEastAsia" w:hAnsiTheme="minorEastAsia" w:eastAsiaTheme="minorEastAsia"/>
        </w:rPr>
        <w:t>活动”</w:t>
      </w:r>
      <w:r>
        <w:rPr>
          <w:rFonts w:hint="eastAsia" w:asciiTheme="minorEastAsia" w:hAnsiTheme="minorEastAsia" w:eastAsiaTheme="minorEastAsia"/>
        </w:rPr>
        <w:t>（</w:t>
      </w:r>
      <w:r>
        <w:rPr>
          <w:rFonts w:cs="Times New Roman" w:eastAsiaTheme="minorEastAsia"/>
        </w:rPr>
        <w:t>38.46</w:t>
      </w:r>
      <w:r>
        <w:rPr>
          <w:rFonts w:cs="Times New Roman"/>
        </w:rPr>
        <w:t>%</w:t>
      </w:r>
      <w:r>
        <w:rPr>
          <w:rFonts w:hint="eastAsia" w:asciiTheme="minorEastAsia" w:hAnsiTheme="minorEastAsia" w:eastAsiaTheme="minorEastAsia"/>
        </w:rPr>
        <w:t>）和</w:t>
      </w:r>
      <w:r>
        <w:rPr>
          <w:rFonts w:asciiTheme="minorEastAsia" w:hAnsiTheme="minorEastAsia" w:eastAsiaTheme="minorEastAsia"/>
        </w:rPr>
        <w:t>“</w:t>
      </w:r>
      <w:r>
        <w:rPr>
          <w:rFonts w:hint="eastAsia" w:asciiTheme="minorEastAsia" w:hAnsiTheme="minorEastAsia" w:eastAsiaTheme="minorEastAsia"/>
        </w:rPr>
        <w:t>顶岗实习/假期</w:t>
      </w:r>
      <w:r>
        <w:rPr>
          <w:rFonts w:asciiTheme="minorEastAsia" w:hAnsiTheme="minorEastAsia" w:eastAsiaTheme="minorEastAsia"/>
        </w:rPr>
        <w:t>实习</w:t>
      </w:r>
      <w:r>
        <w:rPr>
          <w:rFonts w:hint="eastAsia" w:asciiTheme="minorEastAsia" w:hAnsiTheme="minorEastAsia" w:eastAsiaTheme="minorEastAsia"/>
        </w:rPr>
        <w:t>/课外</w:t>
      </w:r>
      <w:r>
        <w:rPr>
          <w:rFonts w:asciiTheme="minorEastAsia" w:hAnsiTheme="minorEastAsia" w:eastAsiaTheme="minorEastAsia"/>
        </w:rPr>
        <w:t>兼职”</w:t>
      </w:r>
      <w:r>
        <w:rPr>
          <w:rFonts w:hint="eastAsia" w:asciiTheme="minorEastAsia" w:hAnsiTheme="minorEastAsia" w:eastAsiaTheme="minorEastAsia"/>
        </w:rPr>
        <w:t>（</w:t>
      </w:r>
      <w:r>
        <w:rPr>
          <w:rFonts w:cs="Times New Roman" w:eastAsiaTheme="minorEastAsia"/>
        </w:rPr>
        <w:t>23.08</w:t>
      </w:r>
      <w:r>
        <w:rPr>
          <w:rFonts w:cs="Times New Roman"/>
        </w:rPr>
        <w:t>%</w:t>
      </w:r>
      <w:r>
        <w:rPr>
          <w:rFonts w:hint="eastAsia" w:asciiTheme="minorEastAsia" w:hAnsiTheme="minorEastAsia" w:eastAsiaTheme="minorEastAsia"/>
        </w:rPr>
        <w:t>）。</w:t>
      </w:r>
    </w:p>
    <w:p>
      <w:pPr>
        <w:spacing w:before="100" w:after="200" w:line="276" w:lineRule="auto"/>
        <w:ind w:firstLine="0" w:firstLineChars="0"/>
        <w:rPr>
          <w:rFonts w:ascii="Times New Roman" w:hAnsi="Times New Roman" w:eastAsia="宋体"/>
          <w:color w:val="000000"/>
          <w:szCs w:val="24"/>
        </w:rPr>
      </w:pPr>
      <w:bookmarkStart w:id="68" w:name="_Toc421972548"/>
      <w:r>
        <w:br w:type="page"/>
      </w:r>
    </w:p>
    <w:bookmarkEnd w:id="68"/>
    <w:p>
      <w:pPr>
        <w:pStyle w:val="146"/>
        <w:spacing w:before="0" w:beforeLines="0" w:after="326"/>
      </w:pPr>
      <w:bookmarkStart w:id="69" w:name="_Toc521402023"/>
      <w:bookmarkStart w:id="70" w:name="_Toc443998756"/>
      <w:bookmarkStart w:id="71" w:name="_Toc443997629"/>
      <w:bookmarkStart w:id="72" w:name="_Toc443997325"/>
      <w:bookmarkStart w:id="73" w:name="_Toc401122308"/>
      <w:r>
        <w:rPr>
          <w:rFonts w:hint="eastAsia"/>
        </w:rPr>
        <w:t>第二篇：学校</w:t>
      </w:r>
      <w:r>
        <w:t>就</w:t>
      </w:r>
      <w:r>
        <w:rPr>
          <w:rFonts w:hint="eastAsia"/>
        </w:rPr>
        <w:t>业创业工作举措</w:t>
      </w:r>
      <w:bookmarkEnd w:id="69"/>
    </w:p>
    <w:p>
      <w:pPr>
        <w:pStyle w:val="133"/>
        <w:spacing w:before="163" w:after="163"/>
      </w:pPr>
      <w:bookmarkStart w:id="74" w:name="_Toc521402024"/>
      <w:r>
        <w:rPr>
          <w:rFonts w:hint="eastAsia"/>
        </w:rPr>
        <w:t>一、完善就业服务机制，全校协同推进就业工作</w:t>
      </w:r>
      <w:bookmarkEnd w:id="74"/>
    </w:p>
    <w:p>
      <w:pPr>
        <w:pStyle w:val="131"/>
      </w:pPr>
      <w:r>
        <w:rPr>
          <w:rFonts w:hint="eastAsia"/>
        </w:rPr>
        <w:t>优化顶层设计，落实校院两级“一把手”工程。我校党政领导高度重视毕业生就业工作，成立了由校长任</w:t>
      </w:r>
      <w:r>
        <w:rPr>
          <w:rFonts w:hint="eastAsia"/>
          <w:lang w:eastAsia="zh-CN"/>
        </w:rPr>
        <w:t>组</w:t>
      </w:r>
      <w:bookmarkStart w:id="131" w:name="_GoBack"/>
      <w:bookmarkEnd w:id="131"/>
      <w:r>
        <w:rPr>
          <w:rFonts w:hint="eastAsia"/>
        </w:rPr>
        <w:t>长、分管副校长任副组长的就业工作协调领导小组，具体工作由招生与就业处负责，各处室和相关责任老师具体落实，分工明确，责任到人。明确校院（系）两级及相关单位工作职责，建立健全就业创业工作考核机制。</w:t>
      </w:r>
    </w:p>
    <w:p>
      <w:pPr>
        <w:pStyle w:val="133"/>
        <w:spacing w:before="163" w:after="163"/>
      </w:pPr>
      <w:bookmarkStart w:id="75" w:name="_Toc521402025"/>
      <w:r>
        <w:rPr>
          <w:rFonts w:hint="eastAsia"/>
        </w:rPr>
        <w:t>二、强化课程建设，加强毕业生就业指导工作</w:t>
      </w:r>
      <w:bookmarkEnd w:id="75"/>
    </w:p>
    <w:p>
      <w:pPr>
        <w:pStyle w:val="131"/>
      </w:pPr>
      <w:r>
        <w:rPr>
          <w:rFonts w:hint="eastAsia"/>
        </w:rPr>
        <w:t>学校开设《职业生涯规划》、《大学生就业创业指导》等课程，对学生进行职业规划和就业指导，为毕业生提供就业政策、知识、技能培训服务，内容涉及就业政策、职业知识、就业形势等，帮助毕业生建立科学的职业观、择业观、就业观，打造就业竞争力。</w:t>
      </w:r>
    </w:p>
    <w:p>
      <w:pPr>
        <w:pStyle w:val="133"/>
        <w:spacing w:before="163" w:after="163"/>
      </w:pPr>
      <w:bookmarkStart w:id="76" w:name="_Toc521402026"/>
      <w:r>
        <w:rPr>
          <w:rFonts w:hint="eastAsia"/>
        </w:rPr>
        <w:t>三、以师资队伍建设为突破点，推动提高工作能力</w:t>
      </w:r>
      <w:bookmarkEnd w:id="76"/>
    </w:p>
    <w:p>
      <w:pPr>
        <w:pStyle w:val="131"/>
      </w:pPr>
      <w:r>
        <w:rPr>
          <w:rFonts w:hint="eastAsia"/>
        </w:rPr>
        <w:t>启动专业教师赴幼儿园及相关单位参与毕业生实习实训工作，实地参与幼儿园及相关单位的课程教学，推动实现指导教师队伍职业化、专业化、专家化。</w:t>
      </w:r>
    </w:p>
    <w:p>
      <w:pPr>
        <w:pStyle w:val="133"/>
        <w:spacing w:before="163" w:after="163"/>
        <w:rPr>
          <w:rStyle w:val="136"/>
          <w:b/>
          <w:caps/>
        </w:rPr>
      </w:pPr>
      <w:bookmarkStart w:id="77" w:name="_Toc521402027"/>
      <w:r>
        <w:rPr>
          <w:rStyle w:val="136"/>
          <w:rFonts w:hint="eastAsia"/>
          <w:b/>
          <w:caps/>
        </w:rPr>
        <w:t>四、构建就业平台，实施“互联网+”精准就业信息服务</w:t>
      </w:r>
      <w:bookmarkEnd w:id="77"/>
    </w:p>
    <w:p>
      <w:pPr>
        <w:pStyle w:val="131"/>
      </w:pPr>
      <w:r>
        <w:rPr>
          <w:rFonts w:hint="eastAsia"/>
        </w:rPr>
        <w:t>学校建立“互联网+”，以江苏91JOB智慧就业平台为依托，学校招生就业网、手机APP、微信等多个就业信息渠道推介就业信息，实现就业信息全覆盖。</w:t>
      </w:r>
    </w:p>
    <w:p>
      <w:pPr>
        <w:pStyle w:val="133"/>
        <w:spacing w:before="163" w:after="163"/>
        <w:rPr>
          <w:rStyle w:val="136"/>
          <w:b/>
          <w:caps/>
        </w:rPr>
      </w:pPr>
      <w:bookmarkStart w:id="78" w:name="_Toc521402028"/>
      <w:r>
        <w:rPr>
          <w:rStyle w:val="136"/>
          <w:rFonts w:hint="eastAsia"/>
          <w:b/>
          <w:caps/>
        </w:rPr>
        <w:t>五、明确</w:t>
      </w:r>
      <w:r>
        <w:rPr>
          <w:rStyle w:val="136"/>
          <w:b/>
          <w:caps/>
        </w:rPr>
        <w:t>毕业生</w:t>
      </w:r>
      <w:r>
        <w:rPr>
          <w:rStyle w:val="136"/>
          <w:rFonts w:hint="eastAsia"/>
          <w:b/>
          <w:caps/>
        </w:rPr>
        <w:t>培养</w:t>
      </w:r>
      <w:r>
        <w:rPr>
          <w:rStyle w:val="136"/>
          <w:b/>
          <w:caps/>
        </w:rPr>
        <w:t>定位，坚定</w:t>
      </w:r>
      <w:r>
        <w:rPr>
          <w:rStyle w:val="136"/>
          <w:rFonts w:hint="eastAsia"/>
          <w:b/>
          <w:caps/>
        </w:rPr>
        <w:t>未来职业方向</w:t>
      </w:r>
      <w:bookmarkEnd w:id="78"/>
    </w:p>
    <w:p>
      <w:pPr>
        <w:pStyle w:val="63"/>
        <w:widowControl w:val="0"/>
        <w:ind w:firstLine="480"/>
        <w:contextualSpacing/>
        <w:jc w:val="both"/>
        <w:rPr>
          <w:rFonts w:ascii="Times New Roman" w:hAnsi="Times New Roman" w:eastAsia="宋体"/>
          <w:color w:val="000000"/>
          <w:szCs w:val="24"/>
        </w:rPr>
      </w:pPr>
      <w:r>
        <w:rPr>
          <w:rFonts w:hint="eastAsia" w:ascii="Times New Roman" w:hAnsi="Times New Roman" w:eastAsia="宋体"/>
          <w:color w:val="000000"/>
          <w:szCs w:val="24"/>
        </w:rPr>
        <w:t>召开小学及幼儿园负责人、骨干教师、学科带头人的联谊会，了解、沟通、制定系列培养标准。聘请一线教师开讲座。以产业为导向，跟踪调查毕业生</w:t>
      </w:r>
      <w:r>
        <w:rPr>
          <w:rFonts w:ascii="Times New Roman" w:hAnsi="Times New Roman" w:eastAsia="宋体"/>
          <w:color w:val="000000"/>
          <w:szCs w:val="24"/>
        </w:rPr>
        <w:t>3-5</w:t>
      </w:r>
      <w:r>
        <w:rPr>
          <w:rFonts w:hint="eastAsia" w:ascii="Times New Roman" w:hAnsi="Times New Roman" w:eastAsia="宋体"/>
          <w:color w:val="000000"/>
          <w:szCs w:val="24"/>
        </w:rPr>
        <w:t>年内持续发展的状况。以专业生涯规划为引领，相关部门共同制定培养目标，坚定毕业生终身从教的职业坚守。不断拓展实习基地，确保每个实习基地每年不多于</w:t>
      </w:r>
      <w:r>
        <w:rPr>
          <w:rFonts w:ascii="Times New Roman" w:hAnsi="Times New Roman" w:eastAsia="宋体"/>
          <w:color w:val="000000"/>
          <w:szCs w:val="24"/>
        </w:rPr>
        <w:t>15</w:t>
      </w:r>
      <w:r>
        <w:rPr>
          <w:rFonts w:hint="eastAsia" w:ascii="Times New Roman" w:hAnsi="Times New Roman" w:eastAsia="宋体"/>
          <w:color w:val="000000"/>
          <w:szCs w:val="24"/>
        </w:rPr>
        <w:t>个实习生标准。进一步明确毕业生就业方向的定位，鼓励</w:t>
      </w:r>
      <w:r>
        <w:rPr>
          <w:rFonts w:ascii="Times New Roman" w:hAnsi="Times New Roman" w:eastAsia="宋体"/>
          <w:color w:val="000000"/>
          <w:szCs w:val="24"/>
        </w:rPr>
        <w:t>优秀毕业生到</w:t>
      </w:r>
      <w:r>
        <w:rPr>
          <w:rFonts w:hint="eastAsia" w:ascii="Times New Roman" w:hAnsi="Times New Roman" w:eastAsia="宋体"/>
          <w:color w:val="000000"/>
          <w:szCs w:val="24"/>
        </w:rPr>
        <w:t>乡镇、农村的小学、幼儿园</w:t>
      </w:r>
      <w:r>
        <w:rPr>
          <w:rFonts w:ascii="Times New Roman" w:hAnsi="Times New Roman" w:eastAsia="宋体"/>
          <w:color w:val="000000"/>
          <w:szCs w:val="24"/>
        </w:rPr>
        <w:t>从教</w:t>
      </w:r>
      <w:r>
        <w:rPr>
          <w:rFonts w:hint="eastAsia" w:ascii="Times New Roman" w:hAnsi="Times New Roman" w:eastAsia="宋体"/>
          <w:color w:val="000000"/>
          <w:szCs w:val="24"/>
        </w:rPr>
        <w:t>，</w:t>
      </w:r>
      <w:r>
        <w:rPr>
          <w:rFonts w:ascii="Times New Roman" w:hAnsi="Times New Roman" w:eastAsia="宋体"/>
          <w:color w:val="000000"/>
          <w:szCs w:val="24"/>
        </w:rPr>
        <w:t>回馈</w:t>
      </w:r>
      <w:r>
        <w:rPr>
          <w:rFonts w:hint="eastAsia" w:ascii="Times New Roman" w:hAnsi="Times New Roman" w:eastAsia="宋体"/>
          <w:color w:val="000000"/>
          <w:szCs w:val="24"/>
        </w:rPr>
        <w:t>社会。</w:t>
      </w:r>
    </w:p>
    <w:p>
      <w:pPr>
        <w:pStyle w:val="133"/>
        <w:spacing w:before="163" w:after="163"/>
      </w:pPr>
      <w:bookmarkStart w:id="79" w:name="_Toc521402029"/>
      <w:r>
        <w:rPr>
          <w:rFonts w:hint="eastAsia"/>
        </w:rPr>
        <w:t>六、加强创新创业工作，推进创业带动就业</w:t>
      </w:r>
      <w:bookmarkEnd w:id="79"/>
    </w:p>
    <w:p>
      <w:pPr>
        <w:pStyle w:val="63"/>
        <w:widowControl w:val="0"/>
        <w:ind w:firstLine="480"/>
        <w:contextualSpacing/>
        <w:jc w:val="both"/>
        <w:rPr>
          <w:rFonts w:ascii="Times New Roman" w:hAnsi="Times New Roman" w:eastAsia="宋体"/>
          <w:color w:val="000000"/>
          <w:szCs w:val="24"/>
        </w:rPr>
      </w:pPr>
      <w:r>
        <w:rPr>
          <w:rFonts w:hint="eastAsia" w:ascii="Times New Roman" w:hAnsi="Times New Roman" w:eastAsia="宋体"/>
          <w:color w:val="000000"/>
          <w:szCs w:val="24"/>
        </w:rPr>
        <w:t>组建创新创业教育师资队伍建立由校外专家、成功创业人士、优秀校友构成的创新创业教育指导与服务队伍，提升职业规划、就业、创业指导的专业化水平。</w:t>
      </w:r>
    </w:p>
    <w:p>
      <w:pPr>
        <w:pStyle w:val="133"/>
        <w:spacing w:before="163" w:after="163"/>
        <w:rPr>
          <w:rFonts w:ascii="Times New Roman" w:hAnsi="Times New Roman" w:eastAsia="宋体"/>
          <w:color w:val="000000"/>
          <w:szCs w:val="24"/>
        </w:rPr>
      </w:pPr>
      <w:bookmarkStart w:id="80" w:name="_Toc521402030"/>
      <w:r>
        <w:rPr>
          <w:rFonts w:hint="eastAsia"/>
        </w:rPr>
        <w:t>七、</w:t>
      </w:r>
      <w:r>
        <w:rPr>
          <w:rStyle w:val="136"/>
          <w:rFonts w:hint="eastAsia"/>
          <w:b/>
          <w:caps/>
        </w:rPr>
        <w:t>针对创新举措做好困难学生就业帮扶工作</w:t>
      </w:r>
      <w:bookmarkEnd w:id="80"/>
    </w:p>
    <w:p>
      <w:pPr>
        <w:pStyle w:val="131"/>
      </w:pPr>
      <w:r>
        <w:rPr>
          <w:rFonts w:hint="eastAsia"/>
        </w:rPr>
        <w:t>关心困难毕业生群体的就业工作，学校高度重视，由校长亲自挂帅，部署落实。学校制定了“明确培训目标，组建专家团队、精心设计课程、创新培训模式、筛选培训对象、强化过程管理、追踪后续服务”等一整套工作方案，建立了困难学生动态帮扶档案，在各类招聘洽谈活动中给予重点推荐、实行教师重点跟踪、保证就业。</w:t>
      </w:r>
    </w:p>
    <w:p>
      <w:pPr>
        <w:pStyle w:val="133"/>
        <w:spacing w:before="163" w:after="163"/>
      </w:pPr>
      <w:bookmarkStart w:id="81" w:name="_Toc521402031"/>
      <w:r>
        <w:rPr>
          <w:rFonts w:hint="eastAsia"/>
        </w:rPr>
        <w:t>八、加强高校创业就业的培养</w:t>
      </w:r>
      <w:bookmarkEnd w:id="81"/>
    </w:p>
    <w:p>
      <w:pPr>
        <w:pStyle w:val="131"/>
      </w:pPr>
      <w:r>
        <w:rPr>
          <w:rFonts w:hint="eastAsia"/>
        </w:rPr>
        <w:t>高校学生通常会将大多数的时间运用于智能手机软件方面，而许多研究表明不同类型的软件可以有效促进学生创新能力、信息获取能力出现跟风现象，造成资源和资金的浪费，并且如果不合理把握市场信息，一旦事业失败将影响创业者的信心，也会对创业指导部门的作用失去信任。所以在进行创新过程中，必须随时对市场信息进行分析和掌握，降低失误出现概率。另一方面，创业者也应当根据自身条件选择合适的项目和方向，根据不同的经验和专业等需求，以及当前市场中出现的新兴行业逐渐丰富培训内容，提高培训内容的针对性。创业培训方式要求具有灵活和多样的特点，所以在日常工作中除了开设传统的全日制集中培训方式外，还可以邀请成功创业者现身说法，从而提高创业指导的有效性和真实性，促进工作质量的提升。</w:t>
      </w:r>
    </w:p>
    <w:p>
      <w:pPr>
        <w:pStyle w:val="131"/>
      </w:pPr>
    </w:p>
    <w:p>
      <w:pPr>
        <w:pStyle w:val="133"/>
        <w:spacing w:before="163" w:after="163"/>
      </w:pPr>
      <w:bookmarkStart w:id="82" w:name="_Toc521402032"/>
      <w:r>
        <w:rPr>
          <w:rFonts w:hint="eastAsia"/>
        </w:rPr>
        <w:t>九、实现创业指导与再就业有机结合</w:t>
      </w:r>
      <w:bookmarkEnd w:id="82"/>
    </w:p>
    <w:p>
      <w:pPr>
        <w:pStyle w:val="131"/>
      </w:pPr>
      <w:r>
        <w:rPr>
          <w:rFonts w:hint="eastAsia"/>
        </w:rPr>
        <w:t>经过全面的培训和指导后，创业者的创业素质得到明显提升，而在实际创业中是否成功还受实际环境和外部环境的影响。首先受创业资金落实情况的影响，针对这一问题政府部门应当加大政策支持和创业资金的投入。政府相关部门与社会各界之间联系与合作，从而提供更多的筹资渠道，帮助创业者成功创业。另外国家应当对中小企业的发展提供支持，建立资金信贷支持系统，从而促进创业指导工作的顺利开展。其次创业者也应当对当前的创业优惠政策进行了解，从而减轻创业过程中的困难。为实现创业指导和再就业的良好结合，还可以扩大社会保障体制的覆盖范围，保证非国有企业、私营企业、个体业主都能在相应工作领域和市场经济中实现稳定发展。</w:t>
      </w:r>
    </w:p>
    <w:p>
      <w:pPr>
        <w:pStyle w:val="133"/>
        <w:spacing w:before="163" w:after="163"/>
      </w:pPr>
      <w:bookmarkStart w:id="83" w:name="_Toc521402033"/>
      <w:r>
        <w:rPr>
          <w:rFonts w:hint="eastAsia"/>
        </w:rPr>
        <w:t>十、改善创业指导服务行为</w:t>
      </w:r>
      <w:bookmarkEnd w:id="83"/>
    </w:p>
    <w:p>
      <w:pPr>
        <w:pStyle w:val="131"/>
      </w:pPr>
      <w:r>
        <w:rPr>
          <w:rFonts w:hint="eastAsia"/>
        </w:rPr>
        <w:t>创业指导特点对创业指导行为有重要影响，从而职业创业指导的工作人员应当对这一职业有正确认识，同时以高度的责任感和使命感以及热情的态度投入到工作中，为创业者提供科学有效的指导。创业指导人员在工作中起着重要作用，为提高工作质量，工作人员必须随时学习，对各个地区的市场发展情况进行详细了解，掌握当前国家相关政策，除此之外还要具备与创业者共同参与讨论相关问题的能力。创业指导工作的开展涉及方方面面，所以必须提高指导人员的综合素质，为创业者营造良好的氛围，利用优质和高效服务为创业人员提供充分的服务，从而提高创业成功率，缓解当前社会就业压力。</w:t>
      </w:r>
    </w:p>
    <w:p>
      <w:pPr>
        <w:pStyle w:val="131"/>
      </w:pPr>
    </w:p>
    <w:p>
      <w:pPr>
        <w:pStyle w:val="146"/>
        <w:spacing w:before="0" w:beforeLines="0" w:after="326"/>
      </w:pPr>
      <w:bookmarkStart w:id="84" w:name="_Toc521402034"/>
      <w:r>
        <w:rPr>
          <w:rFonts w:hint="eastAsia"/>
        </w:rPr>
        <w:t>第三</w:t>
      </w:r>
      <w:r>
        <w:t>篇：</w:t>
      </w:r>
      <w:r>
        <w:rPr>
          <w:rFonts w:hint="eastAsia"/>
        </w:rPr>
        <w:t>就业质量相关分析</w:t>
      </w:r>
      <w:bookmarkEnd w:id="70"/>
      <w:bookmarkEnd w:id="71"/>
      <w:bookmarkEnd w:id="72"/>
      <w:bookmarkEnd w:id="84"/>
    </w:p>
    <w:p>
      <w:pPr>
        <w:pStyle w:val="131"/>
      </w:pPr>
      <w:r>
        <w:rPr>
          <w:rFonts w:hint="eastAsia"/>
        </w:rPr>
        <w:t>毕业生</w:t>
      </w:r>
      <w:r>
        <w:t>对自身就业质量评价</w:t>
      </w:r>
      <w:r>
        <w:rPr>
          <w:rFonts w:hint="eastAsia"/>
        </w:rPr>
        <w:t>指标主要由四个</w:t>
      </w:r>
      <w:r>
        <w:t>方面组成</w:t>
      </w:r>
      <w:r>
        <w:rPr>
          <w:rFonts w:hint="eastAsia"/>
        </w:rPr>
        <w:t>：</w:t>
      </w:r>
      <w:r>
        <w:t>一是</w:t>
      </w:r>
      <w:r>
        <w:rPr>
          <w:rFonts w:hint="eastAsia"/>
        </w:rPr>
        <w:t>毕业生</w:t>
      </w:r>
      <w:r>
        <w:t>的</w:t>
      </w:r>
      <w:r>
        <w:rPr>
          <w:rFonts w:hint="eastAsia"/>
        </w:rPr>
        <w:t>薪酬情况；</w:t>
      </w:r>
      <w:r>
        <w:t>二是</w:t>
      </w:r>
      <w:r>
        <w:rPr>
          <w:rFonts w:hint="eastAsia"/>
        </w:rPr>
        <w:t>毕业生目前</w:t>
      </w:r>
      <w:r>
        <w:t>工作</w:t>
      </w:r>
      <w:r>
        <w:rPr>
          <w:rFonts w:hint="eastAsia"/>
        </w:rPr>
        <w:t>与所学专业的相关情况；</w:t>
      </w:r>
      <w:r>
        <w:t>三是</w:t>
      </w:r>
      <w:r>
        <w:rPr>
          <w:rFonts w:hint="eastAsia"/>
        </w:rPr>
        <w:t>毕业生</w:t>
      </w:r>
      <w:r>
        <w:t>认为</w:t>
      </w:r>
      <w:r>
        <w:rPr>
          <w:rFonts w:hint="eastAsia"/>
        </w:rPr>
        <w:t>目前</w:t>
      </w:r>
      <w:r>
        <w:t>工作与自身职业期待</w:t>
      </w:r>
      <w:r>
        <w:rPr>
          <w:rFonts w:hint="eastAsia"/>
        </w:rPr>
        <w:t>的</w:t>
      </w:r>
      <w:r>
        <w:t>吻合情况</w:t>
      </w:r>
      <w:r>
        <w:rPr>
          <w:rFonts w:hint="eastAsia"/>
        </w:rPr>
        <w:t>；</w:t>
      </w:r>
      <w:r>
        <w:t>四是</w:t>
      </w:r>
      <w:r>
        <w:rPr>
          <w:rFonts w:hint="eastAsia"/>
        </w:rPr>
        <w:t>毕业生对目前工作的满意度。相关统计分析结果</w:t>
      </w:r>
      <w:r>
        <w:t>如下所示</w:t>
      </w:r>
      <w:r>
        <w:rPr>
          <w:rFonts w:hint="eastAsia"/>
        </w:rPr>
        <w:t>。</w:t>
      </w:r>
    </w:p>
    <w:p>
      <w:pPr>
        <w:pStyle w:val="133"/>
        <w:spacing w:before="163" w:after="163" w:line="240" w:lineRule="auto"/>
      </w:pPr>
      <w:bookmarkStart w:id="85" w:name="_Toc443997326"/>
      <w:bookmarkStart w:id="86" w:name="_Toc443998757"/>
      <w:bookmarkStart w:id="87" w:name="_Toc443997630"/>
      <w:bookmarkStart w:id="88" w:name="_Toc521402035"/>
      <w:r>
        <w:rPr>
          <w:rFonts w:hint="eastAsia"/>
        </w:rPr>
        <w:t>一</w:t>
      </w:r>
      <w:r>
        <w:t>、</w:t>
      </w:r>
      <w:r>
        <w:rPr>
          <w:rFonts w:hint="eastAsia"/>
        </w:rPr>
        <w:t>薪酬</w:t>
      </w:r>
      <w:r>
        <w:t>水平</w:t>
      </w:r>
      <w:bookmarkEnd w:id="85"/>
      <w:bookmarkEnd w:id="86"/>
      <w:bookmarkEnd w:id="87"/>
      <w:bookmarkEnd w:id="88"/>
    </w:p>
    <w:p>
      <w:pPr>
        <w:pStyle w:val="131"/>
        <w:ind w:firstLine="482"/>
      </w:pPr>
      <w:r>
        <w:rPr>
          <w:rFonts w:hint="eastAsia"/>
          <w:b/>
          <w:color w:val="0F6FC6" w:themeColor="accent1"/>
          <w14:textFill>
            <w14:solidFill>
              <w14:schemeClr w14:val="accent1"/>
            </w14:solidFill>
          </w14:textFill>
        </w:rPr>
        <w:t>薪酬</w:t>
      </w:r>
      <w:r>
        <w:rPr>
          <w:b/>
          <w:color w:val="0F6FC6" w:themeColor="accent1"/>
          <w14:textFill>
            <w14:solidFill>
              <w14:schemeClr w14:val="accent1"/>
            </w14:solidFill>
          </w14:textFill>
        </w:rPr>
        <w:t>区间：</w:t>
      </w:r>
      <w:r>
        <w:rPr>
          <w:rFonts w:hint="eastAsia"/>
        </w:rPr>
        <w:t>学校</w:t>
      </w:r>
      <w:r>
        <w:t>2017届</w:t>
      </w:r>
      <w:r>
        <w:rPr>
          <w:rFonts w:hint="eastAsia"/>
        </w:rPr>
        <w:t>毕业生税前月均收入为</w:t>
      </w:r>
      <w:r>
        <w:t>2833.45</w:t>
      </w:r>
      <w:r>
        <w:rPr>
          <w:rFonts w:hint="eastAsia"/>
        </w:rPr>
        <w:t>元；月薪区间</w:t>
      </w:r>
      <w:r>
        <w:t>主要集中</w:t>
      </w:r>
      <w:r>
        <w:rPr>
          <w:rFonts w:hint="eastAsia"/>
        </w:rPr>
        <w:t>在</w:t>
      </w:r>
      <w:r>
        <w:t>20</w:t>
      </w:r>
      <w:r>
        <w:rPr>
          <w:rFonts w:hint="eastAsia" w:cs="宋体" w:eastAsiaTheme="minorEastAsia"/>
          <w:color w:val="000000" w:themeColor="text1"/>
          <w:szCs w:val="21"/>
          <w14:textFill>
            <w14:solidFill>
              <w14:schemeClr w14:val="tx1"/>
            </w14:solidFill>
          </w14:textFill>
        </w:rPr>
        <w:t>01-3</w:t>
      </w:r>
      <w:r>
        <w:rPr>
          <w:rFonts w:cs="宋体" w:eastAsiaTheme="minorEastAsia"/>
          <w:color w:val="000000" w:themeColor="text1"/>
          <w:szCs w:val="21"/>
          <w14:textFill>
            <w14:solidFill>
              <w14:schemeClr w14:val="tx1"/>
            </w14:solidFill>
          </w14:textFill>
        </w:rPr>
        <w:t>0</w:t>
      </w:r>
      <w:r>
        <w:rPr>
          <w:rFonts w:hint="eastAsia" w:cs="宋体" w:eastAsiaTheme="minorEastAsia"/>
          <w:color w:val="000000" w:themeColor="text1"/>
          <w:szCs w:val="21"/>
          <w14:textFill>
            <w14:solidFill>
              <w14:schemeClr w14:val="tx1"/>
            </w14:solidFill>
          </w14:textFill>
        </w:rPr>
        <w:t>0</w:t>
      </w:r>
      <w:r>
        <w:rPr>
          <w:rFonts w:hint="eastAsia"/>
        </w:rPr>
        <w:t>0元（</w:t>
      </w:r>
      <w:r>
        <w:t>42.01</w:t>
      </w:r>
      <w:r>
        <w:rPr>
          <w:rFonts w:hint="eastAsia"/>
        </w:rPr>
        <w:t>%），其次为</w:t>
      </w:r>
      <w:r>
        <w:t>2000</w:t>
      </w:r>
      <w:r>
        <w:rPr>
          <w:rFonts w:hint="eastAsia"/>
        </w:rPr>
        <w:t>元</w:t>
      </w:r>
      <w:r>
        <w:t>及以下</w:t>
      </w:r>
      <w:r>
        <w:rPr>
          <w:rFonts w:hint="eastAsia"/>
        </w:rPr>
        <w:t>（</w:t>
      </w:r>
      <w:r>
        <w:t>31.76%）</w:t>
      </w:r>
      <w:r>
        <w:rPr>
          <w:rFonts w:hint="eastAsia"/>
        </w:rPr>
        <w:t>。</w:t>
      </w:r>
    </w:p>
    <w:p>
      <w:pPr>
        <w:pStyle w:val="131"/>
        <w:ind w:firstLine="0" w:firstLineChars="0"/>
        <w:jc w:val="center"/>
      </w:pPr>
      <w:r>
        <w:rPr>
          <w:rFonts w:hint="eastAsia"/>
          <w:color w:val="E5F4E0" w:themeColor="accent5" w:themeTint="33"/>
          <w14:textFill>
            <w14:solidFill>
              <w14:schemeClr w14:val="accent5">
                <w14:lumMod w14:val="20000"/>
                <w14:lumOff w14:val="80000"/>
              </w14:schemeClr>
            </w14:solidFill>
          </w14:textFill>
        </w:rPr>
        <mc:AlternateContent>
          <mc:Choice Requires="wps">
            <w:drawing>
              <wp:anchor distT="0" distB="0" distL="114300" distR="114300" simplePos="0" relativeHeight="251697152" behindDoc="0" locked="0" layoutInCell="1" allowOverlap="1">
                <wp:simplePos x="0" y="0"/>
                <wp:positionH relativeFrom="column">
                  <wp:posOffset>2133600</wp:posOffset>
                </wp:positionH>
                <wp:positionV relativeFrom="paragraph">
                  <wp:posOffset>255270</wp:posOffset>
                </wp:positionV>
                <wp:extent cx="22225" cy="1871980"/>
                <wp:effectExtent l="0" t="0" r="34925" b="13970"/>
                <wp:wrapNone/>
                <wp:docPr id="10" name="直接连接符 10"/>
                <wp:cNvGraphicFramePr/>
                <a:graphic xmlns:a="http://schemas.openxmlformats.org/drawingml/2006/main">
                  <a:graphicData uri="http://schemas.microsoft.com/office/word/2010/wordprocessingShape">
                    <wps:wsp>
                      <wps:cNvCnPr/>
                      <wps:spPr>
                        <a:xfrm flipH="1" flipV="1">
                          <a:off x="0" y="0"/>
                          <a:ext cx="22225" cy="1871980"/>
                        </a:xfrm>
                        <a:prstGeom prst="line">
                          <a:avLst/>
                        </a:prstGeom>
                        <a:ln w="19050">
                          <a:solidFill>
                            <a:schemeClr val="accent3"/>
                          </a:solidFill>
                          <a:prstDash val="dashDot"/>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x y;margin-left:168pt;margin-top:20.1pt;height:147.4pt;width:1.75pt;z-index:251697152;mso-width-relative:page;mso-height-relative:page;" filled="f" stroked="t" coordsize="21600,21600" o:gfxdata="UEsDBAoAAAAAAIdO4kAAAAAAAAAAAAAAAAAEAAAAZHJzL1BLAwQUAAAACACHTuJALbZjGtoAAAAK&#10;AQAADwAAAGRycy9kb3ducmV2LnhtbE2PzU7DMBCE70i8g7VIXBC1m/QHQjaVACGhqhxoeQA3XpKo&#10;8Tqy3aa8Pe4JbrOa0ew35epse3EiHzrHCNOJAkFcO9Nxg/C1e7t/ABGiZqN7x4TwQwFW1fVVqQvj&#10;Rv6k0zY2IpVwKDRCG+NQSBnqlqwOEzcQJ+/beatjOn0jjddjKre9zJRaSKs7Th9aPdBLS/Vhe7QI&#10;7x+HevP6vFzL4Gd+MxrKgrlDvL2ZqicQkc7xLwwX/IQOVWLauyObIHqEPF+kLRFhpjIQKZDnj3MQ&#10;+4uYK5BVKf9PqH4BUEsDBBQAAAAIAIdO4kDAuI9b3wEAAIADAAAOAAAAZHJzL2Uyb0RvYy54bWyt&#10;U0uOEzEQ3SNxB8t70p1IA5lWOiMxrYEFgkh89hW33W3JP7lMOrkEF0BiByuW7Oc2DMeg7ITw2yF6&#10;USrX51XVq+rV1d4atpMRtXctn89qzqQTvtduaPnrVzcPlpxhAteD8U62/CCRX63v31tNoZELP3rT&#10;y8gIxGEzhZaPKYWmqlCM0gLOfJCOnMpHC4mecaj6CBOhW1Mt6vphNfnYh+iFRCRrd3TydcFXSor0&#10;QimUiZmWU2+pyFjkNstqvYJmiBBGLU5twD90YUE7KnqG6iABexv1X1BWi+jRqzQT3lZeKS1kmYGm&#10;mdd/TPNyhCDLLEQOhjNN+P9gxfPdJjLd0+6IHgeWdnT3/svXdx+/3X4geff5EyMP0TQFbCj62m3i&#10;6YVhE/PMexUtU0aHp4TCi/Yma9lHE7J9oftwplvuExNkXNB3wZkgz3z5aH65LHWqI2BODhHTE+kt&#10;y0rLjXaZDWhg9wwTNUGhP0Ky2fkbbUzZqHFsItTL+oKmEkCHpQwkUm2gUdENnIEZ6GJFigUSvdF9&#10;Ts9AGIfttYlsB/lqHnd1d5kZoHK/heXaHeB4jOtJ63w6XpTVic7aaNvyZZ2/U75xBJOZPHKXta3v&#10;D4XSYqc1l0Knk8x39Ou7ZP/8cd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22YxraAAAACgEA&#10;AA8AAAAAAAAAAQAgAAAAIgAAAGRycy9kb3ducmV2LnhtbFBLAQIUABQAAAAIAIdO4kDAuI9b3wEA&#10;AIADAAAOAAAAAAAAAAEAIAAAACkBAABkcnMvZTJvRG9jLnhtbFBLBQYAAAAABgAGAFkBAAB6BQAA&#10;AAA=&#10;">
                <v:fill on="f" focussize="0,0"/>
                <v:stroke weight="1.5pt" color="#0BD0D9 [3206]" miterlimit="8" joinstyle="miter" dashstyle="dashDot"/>
                <v:imagedata o:title=""/>
                <o:lock v:ext="edit" aspectratio="f"/>
              </v:line>
            </w:pict>
          </mc:Fallback>
        </mc:AlternateContent>
      </w:r>
      <w:r>
        <w:rPr>
          <w:rFonts w:hint="eastAsia"/>
          <w:color w:val="E5F4E0" w:themeColor="accent5" w:themeTint="33"/>
          <w14:textFill>
            <w14:solidFill>
              <w14:schemeClr w14:val="accent5">
                <w14:lumMod w14:val="20000"/>
                <w14:lumOff w14:val="80000"/>
              </w14:schemeClr>
            </w14:solidFill>
          </w14:textFill>
        </w:rPr>
        <mc:AlternateContent>
          <mc:Choice Requires="wps">
            <w:drawing>
              <wp:anchor distT="0" distB="0" distL="114300" distR="114300" simplePos="0" relativeHeight="251724800" behindDoc="0" locked="0" layoutInCell="1" allowOverlap="1">
                <wp:simplePos x="0" y="0"/>
                <wp:positionH relativeFrom="column">
                  <wp:posOffset>2310765</wp:posOffset>
                </wp:positionH>
                <wp:positionV relativeFrom="paragraph">
                  <wp:posOffset>276225</wp:posOffset>
                </wp:positionV>
                <wp:extent cx="1695450" cy="352425"/>
                <wp:effectExtent l="152400" t="0" r="19050" b="295275"/>
                <wp:wrapNone/>
                <wp:docPr id="34" name="圆角矩形标注 34"/>
                <wp:cNvGraphicFramePr/>
                <a:graphic xmlns:a="http://schemas.openxmlformats.org/drawingml/2006/main">
                  <a:graphicData uri="http://schemas.microsoft.com/office/word/2010/wordprocessingShape">
                    <wps:wsp>
                      <wps:cNvSpPr/>
                      <wps:spPr>
                        <a:xfrm>
                          <a:off x="0" y="0"/>
                          <a:ext cx="1695450" cy="352425"/>
                        </a:xfrm>
                        <a:prstGeom prst="wedgeRoundRectCallout">
                          <a:avLst>
                            <a:gd name="adj1" fmla="val -55864"/>
                            <a:gd name="adj2" fmla="val 115466"/>
                            <a:gd name="adj3" fmla="val 16667"/>
                          </a:avLst>
                        </a:prstGeom>
                        <a:solidFill>
                          <a:schemeClr val="bg1"/>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月均收入为</w:t>
                            </w:r>
                            <w:r>
                              <w:rPr>
                                <w:rFonts w:ascii="Times New Roman" w:hAnsi="Times New Roman" w:cs="Times New Roman"/>
                                <w:color w:val="000000" w:themeColor="text1"/>
                                <w:sz w:val="21"/>
                                <w:szCs w:val="21"/>
                                <w14:textFill>
                                  <w14:solidFill>
                                    <w14:schemeClr w14:val="tx1"/>
                                  </w14:solidFill>
                                </w14:textFill>
                              </w:rPr>
                              <w:t>2833.45</w:t>
                            </w:r>
                            <w:r>
                              <w:rPr>
                                <w:rFonts w:hint="eastAsia"/>
                                <w:color w:val="000000" w:themeColor="text1"/>
                                <w:sz w:val="21"/>
                                <w:szCs w:val="21"/>
                                <w14:textFill>
                                  <w14:solidFill>
                                    <w14:schemeClr w14:val="tx1"/>
                                  </w14:solidFill>
                                </w14:textFill>
                              </w:rPr>
                              <w:t>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1.95pt;margin-top:21.75pt;height:27.75pt;width:133.5pt;z-index:251724800;v-text-anchor:middle;mso-width-relative:page;mso-height-relative:page;" fillcolor="#FFFFFF [3212]" filled="t" stroked="t" coordsize="21600,21600" o:gfxdata="UEsDBAoAAAAAAIdO4kAAAAAAAAAAAAAAAAAEAAAAZHJzL1BLAwQUAAAACACHTuJAc67XgdoAAAAJ&#10;AQAADwAAAGRycy9kb3ducmV2LnhtbE2Py07EMAxF90j8Q2QkdkwyFKppqTtCiIdYjBADErDLNKYt&#10;NE6VZB79e8IKlraPrs+tlgc7iB350DtGmM8UCOLGmZ5bhNeXu7MFiBA1Gz04JoSJAizr46NKl8bt&#10;+Zl269iKFMKh1AhdjGMpZWg6sjrM3Eicbp/OWx3T6FtpvN6ncDvIc6VyaXXP6UOnR7rpqPleby3C&#10;x9OXU/76fVpMt9R2bw/2cZXfI56ezNUViEiH+AfDr35Shzo5bdyWTRADQpZnRUIRLrJLEAnIM5UW&#10;G4SiUCDrSv5vUP8AUEsDBBQAAAAIAIdO4kC+E7CXtAIAAEcFAAAOAAAAZHJzL2Uyb0RvYy54bWyt&#10;VM1uEzEQviPxDpbv7WbT3W0adVNFqYKQKqhaEGfH6/1B/sN2sikPAHfOSCAuwJkzj9PCYzD2btsN&#10;cELk4MzsjMfffPNzfLIVHG2YsY2SOY73RxgxSVXRyCrHz58t9yYYWUdkQbiSLMdXzOKT2cMHx62e&#10;srGqFS+YQRBE2mmrc1w7p6dRZGnNBLH7SjMJxlIZQRyopooKQ1qILng0Ho2yqFWm0EZRZi18Pe2M&#10;eBbilyWj7mlZWuYQzzFgc+E04Vz5M5odk2lliK4b2sMg/4BCkEbCo3ehTokjaG2aP0KJhhplVen2&#10;qRKRKsuGspADZBOPfsvmsiaahVyAHKvvaLL/Lyx9sjk3qClyfJBgJImAGl2/f/Pz87sfH75ef/90&#10;8/HtzbcvCIzAVKvtFC5c6nPTaxZEn/a2NML/Q0JoG9i9umOXbR2i8DHOjtIkhSJQsB2k42Sc+qDR&#10;/W1trHvElEBeyHHLiopdqLUsLqCOC8K5WrvAMtmcWRfoLnrMpHgZY1QKDtXbEI720nSSBdBQk4HT&#10;eOgUx2mSZX0PDJwOdpyyLDvsgfbvAuRbqB6EVbwplg3nQTHVasENAhA5XoZff3nHjUvUAiXp5DAF&#10;Qgh0fsmJA1FoqIWVFUaEVzBS1JmQ8s5tO3xktMyWi5AF4Npx8yBPia07MMHUJSsaB1PHG5Hjycj/&#10;eohcQj18lbu6esltV9u+2CtVXEGzGNVNkdV02cALZ8S6c2KAeKgtrAL3FI6SK8hP9RJGtTKv//bd&#10;+0M3gxWjFsYQcn+1JoZhxB9L6POjOEn83AYlSQ/HoJihZTW0yLVYKOAdWgHQBdH7O34rlkaJF7Ax&#10;5v5VMBFJ4e2O5V5ZuG49wM6hbD4PbjCrmrgzeampD+7rLNV87VTZON/CnqiOnV6BaQ2d3W8Wvw6G&#10;evC633+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Ou14HaAAAACQEAAA8AAAAAAAAAAQAgAAAA&#10;IgAAAGRycy9kb3ducmV2LnhtbFBLAQIUABQAAAAIAIdO4kC+E7CXtAIAAEcFAAAOAAAAAAAAAAEA&#10;IAAAACkBAABkcnMvZTJvRG9jLnhtbFBLBQYAAAAABgAGAFkBAABPBgAAAAA=&#10;" adj="-1267,35741,14400">
                <v:fill on="t" focussize="0,0"/>
                <v:stroke weight="1.25pt" color="#0F6FC6 [3204]" miterlimit="8" joinstyle="miter"/>
                <v:imagedata o:title=""/>
                <o:lock v:ext="edit" aspectratio="f"/>
                <v:textbox>
                  <w:txbxContent>
                    <w:p>
                      <w:pPr>
                        <w:spacing w:line="240" w:lineRule="auto"/>
                        <w:ind w:firstLine="0" w:firstLineChars="0"/>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月均收入为</w:t>
                      </w:r>
                      <w:r>
                        <w:rPr>
                          <w:rFonts w:ascii="Times New Roman" w:hAnsi="Times New Roman" w:cs="Times New Roman"/>
                          <w:color w:val="000000" w:themeColor="text1"/>
                          <w:sz w:val="21"/>
                          <w:szCs w:val="21"/>
                          <w14:textFill>
                            <w14:solidFill>
                              <w14:schemeClr w14:val="tx1"/>
                            </w14:solidFill>
                          </w14:textFill>
                        </w:rPr>
                        <w:t>2833.45</w:t>
                      </w:r>
                      <w:r>
                        <w:rPr>
                          <w:rFonts w:hint="eastAsia"/>
                          <w:color w:val="000000" w:themeColor="text1"/>
                          <w:sz w:val="21"/>
                          <w:szCs w:val="21"/>
                          <w14:textFill>
                            <w14:solidFill>
                              <w14:schemeClr w14:val="tx1"/>
                            </w14:solidFill>
                          </w14:textFill>
                        </w:rPr>
                        <w:t>元</w:t>
                      </w:r>
                    </w:p>
                  </w:txbxContent>
                </v:textbox>
              </v:shape>
            </w:pict>
          </mc:Fallback>
        </mc:AlternateContent>
      </w:r>
      <w:r>
        <w:rPr>
          <w:rFonts w:hint="eastAsia"/>
        </w:rPr>
        <w:drawing>
          <wp:inline distT="0" distB="0" distL="0" distR="0">
            <wp:extent cx="5057775" cy="2447925"/>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1</w:t>
      </w:r>
      <w:r>
        <w:fldChar w:fldCharType="end"/>
      </w:r>
      <w:r>
        <w:rPr>
          <w:rStyle w:val="34"/>
          <w:b/>
          <w:bCs w:val="0"/>
        </w:rPr>
        <w:t xml:space="preserve">  2017届</w:t>
      </w:r>
      <w:r>
        <w:rPr>
          <w:rStyle w:val="34"/>
          <w:rFonts w:hint="eastAsia"/>
          <w:b/>
          <w:bCs w:val="0"/>
        </w:rPr>
        <w:t>毕业生薪酬</w:t>
      </w:r>
      <w:r>
        <w:rPr>
          <w:rStyle w:val="34"/>
          <w:b/>
          <w:bCs w:val="0"/>
        </w:rPr>
        <w:t>区间</w:t>
      </w:r>
      <w:r>
        <w:rPr>
          <w:rStyle w:val="34"/>
          <w:rFonts w:hint="eastAsia"/>
          <w:b/>
          <w:bCs w:val="0"/>
        </w:rPr>
        <w:t>分布</w:t>
      </w:r>
    </w:p>
    <w:p>
      <w:pPr>
        <w:pStyle w:val="139"/>
      </w:pPr>
      <w:r>
        <w:rPr>
          <w:rFonts w:hint="eastAsia"/>
        </w:rPr>
        <w:t>注</w:t>
      </w:r>
      <w:r>
        <w:t>：</w:t>
      </w:r>
      <w:r>
        <w:rPr>
          <w:rFonts w:hint="eastAsia"/>
        </w:rPr>
        <w:t>薪酬包括能折算为现金的工资、福利等。</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ind w:firstLine="482"/>
      </w:pPr>
      <w:r>
        <w:rPr>
          <w:rFonts w:hint="eastAsia"/>
          <w:b/>
          <w:color w:val="0F6FC6" w:themeColor="accent1"/>
          <w14:textFill>
            <w14:solidFill>
              <w14:schemeClr w14:val="accent1"/>
            </w14:solidFill>
          </w14:textFill>
        </w:rPr>
        <w:t>省内主要就业城市月均收入</w:t>
      </w:r>
      <w:r>
        <w:rPr>
          <w:b/>
          <w:color w:val="0F6FC6" w:themeColor="accent1"/>
          <w14:textFill>
            <w14:solidFill>
              <w14:schemeClr w14:val="accent1"/>
            </w14:solidFill>
          </w14:textFill>
        </w:rPr>
        <w:t>：</w:t>
      </w:r>
      <w:r>
        <w:rPr>
          <w:rFonts w:hint="eastAsia"/>
        </w:rPr>
        <w:t>无锡市月均收入水平相对</w:t>
      </w:r>
      <w:r>
        <w:t>较高（3825.00</w:t>
      </w:r>
      <w:r>
        <w:rPr>
          <w:rFonts w:hint="eastAsia"/>
        </w:rPr>
        <w:t>元</w:t>
      </w:r>
      <w:r>
        <w:t>）</w:t>
      </w:r>
      <w:r>
        <w:rPr>
          <w:rFonts w:hint="eastAsia"/>
        </w:rPr>
        <w:t>，南京市</w:t>
      </w:r>
      <w:r>
        <w:t>（3770.00</w:t>
      </w:r>
      <w:r>
        <w:rPr>
          <w:rFonts w:hint="eastAsia"/>
        </w:rPr>
        <w:t>元</w:t>
      </w:r>
      <w:r>
        <w:t>）</w:t>
      </w:r>
      <w:r>
        <w:rPr>
          <w:rFonts w:hint="eastAsia"/>
        </w:rPr>
        <w:t>次之；而在</w:t>
      </w:r>
      <w:r>
        <w:rPr>
          <w:rFonts w:hint="eastAsia" w:asciiTheme="minorEastAsia" w:hAnsiTheme="minorEastAsia" w:eastAsiaTheme="minorEastAsia"/>
        </w:rPr>
        <w:t>盐城市</w:t>
      </w:r>
      <w:r>
        <w:rPr>
          <w:rFonts w:hint="eastAsia"/>
        </w:rPr>
        <w:t>就业</w:t>
      </w:r>
      <w:r>
        <w:t>的毕业生月均收入水平相对较低，为2542.07</w:t>
      </w:r>
      <w:r>
        <w:rPr>
          <w:rFonts w:hint="eastAsia"/>
        </w:rPr>
        <w:t>元</w:t>
      </w:r>
      <w:r>
        <w:t>。</w:t>
      </w:r>
    </w:p>
    <w:p>
      <w:pPr>
        <w:pStyle w:val="131"/>
        <w:ind w:firstLine="0" w:firstLineChars="0"/>
        <w:jc w:val="center"/>
      </w:pPr>
      <w:r>
        <w:rPr>
          <w:rFonts w:hint="eastAsia"/>
        </w:rPr>
        <w:drawing>
          <wp:inline distT="0" distB="0" distL="0" distR="0">
            <wp:extent cx="4956810" cy="176212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2</w:t>
      </w:r>
      <w:r>
        <w:fldChar w:fldCharType="end"/>
      </w:r>
      <w:r>
        <w:rPr>
          <w:rStyle w:val="34"/>
          <w:b/>
          <w:bCs w:val="0"/>
        </w:rPr>
        <w:t xml:space="preserve">  2017届</w:t>
      </w:r>
      <w:r>
        <w:rPr>
          <w:rStyle w:val="34"/>
          <w:rFonts w:hint="eastAsia"/>
          <w:b/>
          <w:bCs w:val="0"/>
        </w:rPr>
        <w:t>毕业生省内主要就业城市月均收入水平（单位</w:t>
      </w:r>
      <w:r>
        <w:rPr>
          <w:rStyle w:val="34"/>
          <w:b/>
          <w:bCs w:val="0"/>
        </w:rPr>
        <w:t>：</w:t>
      </w:r>
      <w:r>
        <w:rPr>
          <w:rStyle w:val="34"/>
          <w:rFonts w:hint="eastAsia"/>
          <w:b/>
          <w:bCs w:val="0"/>
        </w:rPr>
        <w:t>元</w:t>
      </w:r>
      <w:r>
        <w:rPr>
          <w:rStyle w:val="34"/>
          <w:b/>
          <w:bCs w:val="0"/>
        </w:rPr>
        <w:t>）</w:t>
      </w:r>
    </w:p>
    <w:p>
      <w:pPr>
        <w:pStyle w:val="139"/>
      </w:pPr>
      <w:r>
        <w:rPr>
          <w:rFonts w:hint="eastAsia"/>
        </w:rPr>
        <w:t>注：</w:t>
      </w:r>
      <w:r>
        <w:t>主要就业</w:t>
      </w:r>
      <w:r>
        <w:rPr>
          <w:rFonts w:hint="eastAsia"/>
        </w:rPr>
        <w:t>城市指</w:t>
      </w:r>
      <w:r>
        <w:t>样本人数</w:t>
      </w:r>
      <w:r>
        <w:rPr>
          <w:rFonts w:hint="eastAsia"/>
        </w:rPr>
        <w:t>≥</w:t>
      </w:r>
      <w:r>
        <w:rPr>
          <w:rFonts w:ascii="Times New Roman" w:hAnsi="Times New Roman"/>
        </w:rPr>
        <w:t>10</w:t>
      </w:r>
      <w:r>
        <w:rPr>
          <w:rFonts w:hint="eastAsia"/>
        </w:rPr>
        <w:t>人的</w:t>
      </w:r>
      <w:r>
        <w:t>就业</w:t>
      </w:r>
      <w:r>
        <w:rPr>
          <w:rFonts w:hint="eastAsia"/>
        </w:rPr>
        <w:t>城市</w:t>
      </w:r>
      <w:r>
        <w:t>。</w:t>
      </w:r>
    </w:p>
    <w:p>
      <w:pPr>
        <w:pStyle w:val="139"/>
      </w:pPr>
      <w:r>
        <w:rPr>
          <w:rFonts w:hint="eastAsia"/>
        </w:rPr>
        <w:t>数据来源：第三方机构新锦成</w:t>
      </w:r>
      <w:r>
        <w:t>-</w:t>
      </w:r>
      <w:r>
        <w:rPr>
          <w:rFonts w:ascii="Times New Roman" w:hAnsi="Times New Roman"/>
        </w:rPr>
        <w:t>2017</w:t>
      </w:r>
      <w:r>
        <w:t>届</w:t>
      </w:r>
      <w:r>
        <w:rPr>
          <w:rFonts w:hint="eastAsia"/>
        </w:rPr>
        <w:t>毕业生就业与培养质量调查。</w:t>
      </w:r>
    </w:p>
    <w:p>
      <w:pPr>
        <w:pStyle w:val="131"/>
        <w:ind w:firstLine="482"/>
      </w:pPr>
      <w:r>
        <w:rPr>
          <w:rFonts w:hint="eastAsia"/>
          <w:b/>
          <w:color w:val="0F6FC6" w:themeColor="accent1"/>
          <w14:textFill>
            <w14:solidFill>
              <w14:schemeClr w14:val="accent1"/>
            </w14:solidFill>
          </w14:textFill>
        </w:rPr>
        <w:t>主要就业单位及</w:t>
      </w:r>
      <w:r>
        <w:rPr>
          <w:b/>
          <w:color w:val="0F6FC6" w:themeColor="accent1"/>
          <w14:textFill>
            <w14:solidFill>
              <w14:schemeClr w14:val="accent1"/>
            </w14:solidFill>
          </w14:textFill>
        </w:rPr>
        <w:t>行业</w:t>
      </w:r>
      <w:r>
        <w:rPr>
          <w:rFonts w:hint="eastAsia"/>
          <w:b/>
          <w:color w:val="0F6FC6" w:themeColor="accent1"/>
          <w14:textFill>
            <w14:solidFill>
              <w14:schemeClr w14:val="accent1"/>
            </w14:solidFill>
          </w14:textFill>
        </w:rPr>
        <w:t>领域</w:t>
      </w:r>
      <w:r>
        <w:rPr>
          <w:b/>
          <w:color w:val="0F6FC6" w:themeColor="accent1"/>
          <w14:textFill>
            <w14:solidFill>
              <w14:schemeClr w14:val="accent1"/>
            </w14:solidFill>
          </w14:textFill>
        </w:rPr>
        <w:t>月薪：</w:t>
      </w:r>
      <w:r>
        <w:rPr>
          <w:rFonts w:hint="eastAsia"/>
          <w:color w:val="auto"/>
        </w:rPr>
        <w:t>在</w:t>
      </w:r>
      <w:r>
        <w:rPr>
          <w:rFonts w:hint="eastAsia"/>
        </w:rPr>
        <w:t>“国有企业”就业</w:t>
      </w:r>
      <w:r>
        <w:t>的毕业生薪酬</w:t>
      </w:r>
      <w:r>
        <w:rPr>
          <w:rFonts w:hint="eastAsia"/>
        </w:rPr>
        <w:t>优势</w:t>
      </w:r>
      <w:r>
        <w:t>较高，</w:t>
      </w:r>
      <w:r>
        <w:rPr>
          <w:rFonts w:hint="eastAsia"/>
        </w:rPr>
        <w:t>月均收入为</w:t>
      </w:r>
      <w:r>
        <w:t>3431.82</w:t>
      </w:r>
      <w:r>
        <w:rPr>
          <w:rFonts w:hint="eastAsia"/>
        </w:rPr>
        <w:t>元；而在</w:t>
      </w:r>
      <w:r>
        <w:rPr>
          <w:rFonts w:asciiTheme="minorEastAsia" w:hAnsiTheme="minorEastAsia" w:eastAsiaTheme="minorEastAsia"/>
        </w:rPr>
        <w:t>“</w:t>
      </w:r>
      <w:r>
        <w:rPr>
          <w:rFonts w:hint="eastAsia" w:asciiTheme="minorEastAsia" w:hAnsiTheme="minorEastAsia" w:eastAsiaTheme="minorEastAsia"/>
        </w:rPr>
        <w:t>部队</w:t>
      </w:r>
      <w:r>
        <w:rPr>
          <w:rFonts w:asciiTheme="minorEastAsia" w:hAnsiTheme="minorEastAsia" w:eastAsiaTheme="minorEastAsia"/>
        </w:rPr>
        <w:t>”</w:t>
      </w:r>
      <w:r>
        <w:rPr>
          <w:rFonts w:hint="eastAsia"/>
        </w:rPr>
        <w:t>就业</w:t>
      </w:r>
      <w:r>
        <w:t>的毕业生月均收入水平相对较低，为2552.60</w:t>
      </w:r>
      <w:r>
        <w:rPr>
          <w:rFonts w:hint="eastAsia"/>
        </w:rPr>
        <w:t>元</w:t>
      </w:r>
      <w:r>
        <w:t>。</w:t>
      </w:r>
      <w:r>
        <w:rPr>
          <w:rFonts w:hint="eastAsia"/>
        </w:rPr>
        <w:t>在“制造</w:t>
      </w:r>
      <w:r>
        <w:t>业</w:t>
      </w:r>
      <w:r>
        <w:rPr>
          <w:rFonts w:hint="eastAsia"/>
        </w:rPr>
        <w:t>”、“文化、</w:t>
      </w:r>
      <w:r>
        <w:t>体育和娱乐业</w:t>
      </w:r>
      <w:r>
        <w:rPr>
          <w:rFonts w:hint="eastAsia"/>
        </w:rPr>
        <w:t>”就业</w:t>
      </w:r>
      <w:r>
        <w:t>的毕业生薪酬</w:t>
      </w:r>
      <w:r>
        <w:rPr>
          <w:rFonts w:hint="eastAsia"/>
        </w:rPr>
        <w:t>优势</w:t>
      </w:r>
      <w:r>
        <w:t>较高，</w:t>
      </w:r>
      <w:r>
        <w:rPr>
          <w:rFonts w:hint="eastAsia"/>
        </w:rPr>
        <w:t>月均收入均处于</w:t>
      </w:r>
      <w:r>
        <w:t>4300.00</w:t>
      </w:r>
      <w:r>
        <w:rPr>
          <w:rFonts w:hint="eastAsia"/>
        </w:rPr>
        <w:t>元以上；而在</w:t>
      </w:r>
      <w:r>
        <w:rPr>
          <w:rFonts w:asciiTheme="minorEastAsia" w:hAnsiTheme="minorEastAsia" w:eastAsiaTheme="minorEastAsia"/>
        </w:rPr>
        <w:t>“</w:t>
      </w:r>
      <w:r>
        <w:rPr>
          <w:rFonts w:hint="eastAsia" w:asciiTheme="minorEastAsia" w:hAnsiTheme="minorEastAsia" w:eastAsiaTheme="minorEastAsia"/>
        </w:rPr>
        <w:t>教育</w:t>
      </w:r>
      <w:r>
        <w:rPr>
          <w:rFonts w:asciiTheme="minorEastAsia" w:hAnsiTheme="minorEastAsia" w:eastAsiaTheme="minorEastAsia"/>
        </w:rPr>
        <w:t>”</w:t>
      </w:r>
      <w:r>
        <w:rPr>
          <w:rFonts w:hint="eastAsia" w:asciiTheme="minorEastAsia" w:hAnsiTheme="minorEastAsia" w:eastAsiaTheme="minorEastAsia"/>
        </w:rPr>
        <w:t>领域</w:t>
      </w:r>
      <w:r>
        <w:rPr>
          <w:rFonts w:hint="eastAsia"/>
        </w:rPr>
        <w:t>就业</w:t>
      </w:r>
      <w:r>
        <w:t>的毕业生月均收入水平相对较低，为2592.11</w:t>
      </w:r>
      <w:r>
        <w:rPr>
          <w:rFonts w:hint="eastAsia"/>
        </w:rPr>
        <w:t>元</w:t>
      </w:r>
      <w:r>
        <w:t>。</w:t>
      </w:r>
    </w:p>
    <w:p>
      <w:pPr>
        <w:pStyle w:val="131"/>
        <w:ind w:firstLine="0" w:firstLineChars="0"/>
        <w:jc w:val="center"/>
      </w:pPr>
      <w:r>
        <w:rPr>
          <w:rFonts w:hint="eastAsia"/>
        </w:rPr>
        <w:drawing>
          <wp:anchor distT="0" distB="0" distL="114300" distR="114300" simplePos="0" relativeHeight="251742208" behindDoc="0" locked="0" layoutInCell="1" allowOverlap="1">
            <wp:simplePos x="0" y="0"/>
            <wp:positionH relativeFrom="column">
              <wp:posOffset>2606040</wp:posOffset>
            </wp:positionH>
            <wp:positionV relativeFrom="paragraph">
              <wp:posOffset>131445</wp:posOffset>
            </wp:positionV>
            <wp:extent cx="3143250" cy="2352675"/>
            <wp:effectExtent l="0" t="0" r="0" b="0"/>
            <wp:wrapNone/>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hint="eastAsia"/>
        </w:rPr>
        <w:drawing>
          <wp:anchor distT="0" distB="0" distL="114300" distR="114300" simplePos="0" relativeHeight="251741184" behindDoc="0" locked="0" layoutInCell="1" allowOverlap="1">
            <wp:simplePos x="0" y="0"/>
            <wp:positionH relativeFrom="column">
              <wp:posOffset>-346710</wp:posOffset>
            </wp:positionH>
            <wp:positionV relativeFrom="paragraph">
              <wp:posOffset>83820</wp:posOffset>
            </wp:positionV>
            <wp:extent cx="2962275" cy="2400300"/>
            <wp:effectExtent l="0" t="0" r="0" b="0"/>
            <wp:wrapNone/>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pStyle w:val="131"/>
        <w:ind w:firstLine="0" w:firstLineChars="0"/>
        <w:jc w:val="center"/>
      </w:pPr>
    </w:p>
    <w:p>
      <w:pPr>
        <w:pStyle w:val="131"/>
        <w:ind w:firstLine="0" w:firstLineChars="0"/>
        <w:jc w:val="center"/>
      </w:pPr>
    </w:p>
    <w:p>
      <w:pPr>
        <w:pStyle w:val="131"/>
        <w:ind w:firstLine="0" w:firstLineChars="0"/>
        <w:jc w:val="center"/>
      </w:pPr>
    </w:p>
    <w:p>
      <w:pPr>
        <w:pStyle w:val="131"/>
        <w:ind w:firstLine="0" w:firstLineChars="0"/>
        <w:jc w:val="center"/>
      </w:pPr>
    </w:p>
    <w:p>
      <w:pPr>
        <w:pStyle w:val="131"/>
        <w:ind w:firstLine="0" w:firstLineChars="0"/>
        <w:jc w:val="center"/>
      </w:pPr>
    </w:p>
    <w:p>
      <w:pPr>
        <w:pStyle w:val="137"/>
      </w:pPr>
    </w:p>
    <w:p>
      <w:pPr>
        <w:pStyle w:val="137"/>
      </w:pP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3</w:t>
      </w:r>
      <w:r>
        <w:fldChar w:fldCharType="end"/>
      </w:r>
      <w:r>
        <w:rPr>
          <w:rStyle w:val="34"/>
          <w:b/>
          <w:bCs w:val="0"/>
        </w:rPr>
        <w:t xml:space="preserve">  2017届</w:t>
      </w:r>
      <w:r>
        <w:rPr>
          <w:rStyle w:val="34"/>
          <w:rFonts w:hint="eastAsia"/>
          <w:b/>
          <w:bCs w:val="0"/>
        </w:rPr>
        <w:t>毕业生主要</w:t>
      </w:r>
      <w:r>
        <w:rPr>
          <w:rStyle w:val="34"/>
          <w:b/>
          <w:bCs w:val="0"/>
        </w:rPr>
        <w:t>就业</w:t>
      </w:r>
      <w:r>
        <w:rPr>
          <w:rStyle w:val="34"/>
          <w:rFonts w:hint="eastAsia"/>
          <w:b/>
          <w:bCs w:val="0"/>
        </w:rPr>
        <w:t>单位（左图）及</w:t>
      </w:r>
      <w:r>
        <w:rPr>
          <w:rStyle w:val="34"/>
          <w:b/>
          <w:bCs w:val="0"/>
        </w:rPr>
        <w:t>行业</w:t>
      </w:r>
      <w:r>
        <w:rPr>
          <w:rStyle w:val="34"/>
          <w:rFonts w:hint="eastAsia"/>
          <w:b/>
          <w:bCs w:val="0"/>
        </w:rPr>
        <w:t>（右图）月均</w:t>
      </w:r>
      <w:r>
        <w:rPr>
          <w:rStyle w:val="34"/>
          <w:b/>
          <w:bCs w:val="0"/>
        </w:rPr>
        <w:t>收入水平</w:t>
      </w:r>
      <w:r>
        <w:rPr>
          <w:rStyle w:val="34"/>
          <w:rFonts w:hint="eastAsia"/>
          <w:b/>
          <w:bCs w:val="0"/>
        </w:rPr>
        <w:t>（单位</w:t>
      </w:r>
      <w:r>
        <w:rPr>
          <w:rStyle w:val="34"/>
          <w:b/>
          <w:bCs w:val="0"/>
        </w:rPr>
        <w:t>：</w:t>
      </w:r>
      <w:r>
        <w:rPr>
          <w:rStyle w:val="34"/>
          <w:rFonts w:hint="eastAsia"/>
          <w:b/>
          <w:bCs w:val="0"/>
        </w:rPr>
        <w:t>元</w:t>
      </w:r>
      <w:r>
        <w:rPr>
          <w:rStyle w:val="34"/>
          <w:b/>
          <w:bCs w:val="0"/>
        </w:rPr>
        <w:t>）</w:t>
      </w:r>
    </w:p>
    <w:p>
      <w:pPr>
        <w:pStyle w:val="139"/>
      </w:pPr>
      <w:r>
        <w:rPr>
          <w:rFonts w:hint="eastAsia"/>
        </w:rPr>
        <w:t>注：</w:t>
      </w:r>
      <w:r>
        <w:rPr>
          <w:rFonts w:hint="eastAsia" w:ascii="Times New Roman" w:hAnsi="Times New Roman"/>
        </w:rPr>
        <w:t>1</w:t>
      </w:r>
      <w:r>
        <w:rPr>
          <w:rFonts w:hint="eastAsia"/>
        </w:rPr>
        <w:t>.</w:t>
      </w:r>
      <w:r>
        <w:t>主要就业</w:t>
      </w:r>
      <w:r>
        <w:rPr>
          <w:rFonts w:hint="eastAsia"/>
        </w:rPr>
        <w:t>单位指</w:t>
      </w:r>
      <w:r>
        <w:t>样本人数</w:t>
      </w:r>
      <w:r>
        <w:rPr>
          <w:rFonts w:hint="eastAsia"/>
        </w:rPr>
        <w:t>≥</w:t>
      </w:r>
      <w:r>
        <w:rPr>
          <w:rFonts w:ascii="Times New Roman" w:hAnsi="Times New Roman"/>
        </w:rPr>
        <w:t>2</w:t>
      </w:r>
      <w:r>
        <w:rPr>
          <w:rFonts w:hint="eastAsia" w:ascii="Times New Roman" w:hAnsi="Times New Roman"/>
        </w:rPr>
        <w:t>0</w:t>
      </w:r>
      <w:r>
        <w:rPr>
          <w:rFonts w:hint="eastAsia"/>
        </w:rPr>
        <w:t>人的</w:t>
      </w:r>
      <w:r>
        <w:t>就业</w:t>
      </w:r>
      <w:r>
        <w:rPr>
          <w:rFonts w:hint="eastAsia"/>
        </w:rPr>
        <w:t>单位。</w:t>
      </w:r>
    </w:p>
    <w:p>
      <w:pPr>
        <w:pStyle w:val="139"/>
        <w:ind w:firstLine="360" w:firstLineChars="200"/>
      </w:pPr>
      <w:r>
        <w:rPr>
          <w:rFonts w:ascii="Times New Roman" w:hAnsi="Times New Roman"/>
        </w:rPr>
        <w:t>2</w:t>
      </w:r>
      <w:r>
        <w:t>.主要就业行业</w:t>
      </w:r>
      <w:r>
        <w:rPr>
          <w:rFonts w:hint="eastAsia"/>
        </w:rPr>
        <w:t>指</w:t>
      </w:r>
      <w:r>
        <w:t>样本人数</w:t>
      </w:r>
      <w:r>
        <w:rPr>
          <w:rFonts w:hint="eastAsia"/>
        </w:rPr>
        <w:t>≥</w:t>
      </w:r>
      <w:r>
        <w:rPr>
          <w:rFonts w:ascii="Times New Roman" w:hAnsi="Times New Roman"/>
        </w:rPr>
        <w:t>1</w:t>
      </w:r>
      <w:r>
        <w:rPr>
          <w:rFonts w:hint="eastAsia" w:ascii="Times New Roman" w:hAnsi="Times New Roman"/>
        </w:rPr>
        <w:t>0</w:t>
      </w:r>
      <w:r>
        <w:rPr>
          <w:rFonts w:hint="eastAsia"/>
        </w:rPr>
        <w:t>人的</w:t>
      </w:r>
      <w:r>
        <w:t>就业行业。</w:t>
      </w:r>
    </w:p>
    <w:p>
      <w:pPr>
        <w:pStyle w:val="139"/>
      </w:pPr>
      <w:r>
        <w:rPr>
          <w:rFonts w:hint="eastAsia"/>
        </w:rPr>
        <w:t>数据来源：第三方机构新锦成</w:t>
      </w:r>
      <w:r>
        <w:t>-</w:t>
      </w:r>
      <w:r>
        <w:rPr>
          <w:rFonts w:ascii="Times New Roman" w:hAnsi="Times New Roman"/>
        </w:rPr>
        <w:t>2017</w:t>
      </w:r>
      <w:r>
        <w:t>届</w:t>
      </w:r>
      <w:r>
        <w:rPr>
          <w:rFonts w:hint="eastAsia"/>
        </w:rPr>
        <w:t>毕业生就业与培养质量调查。</w:t>
      </w:r>
    </w:p>
    <w:p>
      <w:pPr>
        <w:spacing w:before="100" w:after="200" w:line="276" w:lineRule="auto"/>
        <w:ind w:firstLine="0" w:firstLineChars="0"/>
        <w:rPr>
          <w:rFonts w:ascii="Times New Roman" w:hAnsi="Times New Roman"/>
          <w:caps/>
          <w:color w:val="7CCA62" w:themeColor="accent5"/>
          <w:sz w:val="18"/>
          <w14:textFill>
            <w14:solidFill>
              <w14:schemeClr w14:val="accent5"/>
            </w14:solidFill>
          </w14:textFill>
        </w:rPr>
      </w:pPr>
      <w:r>
        <w:rPr>
          <w:color w:val="7CCA62" w:themeColor="accent5"/>
          <w14:textFill>
            <w14:solidFill>
              <w14:schemeClr w14:val="accent5"/>
            </w14:solidFill>
          </w14:textFill>
        </w:rPr>
        <w:br w:type="page"/>
      </w:r>
    </w:p>
    <w:p>
      <w:pPr>
        <w:pStyle w:val="133"/>
        <w:spacing w:before="163" w:after="163"/>
      </w:pPr>
      <w:bookmarkStart w:id="89" w:name="_Toc443998760"/>
      <w:bookmarkStart w:id="90" w:name="_Toc443997633"/>
      <w:bookmarkStart w:id="91" w:name="_Toc443997329"/>
      <w:bookmarkStart w:id="92" w:name="_Toc521402036"/>
      <w:r>
        <w:rPr>
          <w:rFonts w:hint="eastAsia"/>
        </w:rPr>
        <w:t>二</w:t>
      </w:r>
      <w:r>
        <w:t>、</w:t>
      </w:r>
      <w:r>
        <w:rPr>
          <w:rFonts w:hint="eastAsia"/>
        </w:rPr>
        <w:t>专业相关</w:t>
      </w:r>
      <w:r>
        <w:t>度</w:t>
      </w:r>
      <w:bookmarkEnd w:id="89"/>
      <w:bookmarkEnd w:id="90"/>
      <w:bookmarkEnd w:id="91"/>
      <w:bookmarkEnd w:id="92"/>
    </w:p>
    <w:p>
      <w:pPr>
        <w:pStyle w:val="131"/>
        <w:ind w:firstLine="420" w:firstLineChars="0"/>
      </w:pPr>
      <w:r>
        <w:rPr>
          <w:rFonts w:hint="eastAsia"/>
          <w:b/>
          <w:color w:val="0F6FC6" w:themeColor="accent1"/>
          <w14:textFill>
            <w14:solidFill>
              <w14:schemeClr w14:val="accent1"/>
            </w14:solidFill>
          </w14:textFill>
        </w:rPr>
        <w:t>总体</w:t>
      </w:r>
      <w:r>
        <w:rPr>
          <w:b/>
          <w:color w:val="0F6FC6" w:themeColor="accent1"/>
          <w14:textFill>
            <w14:solidFill>
              <w14:schemeClr w14:val="accent1"/>
            </w14:solidFill>
          </w14:textFill>
        </w:rPr>
        <w:t>及各专业毕业生专业</w:t>
      </w:r>
      <w:r>
        <w:rPr>
          <w:rFonts w:hint="eastAsia"/>
          <w:b/>
          <w:color w:val="0F6FC6" w:themeColor="accent1"/>
          <w14:textFill>
            <w14:solidFill>
              <w14:schemeClr w14:val="accent1"/>
            </w14:solidFill>
          </w14:textFill>
        </w:rPr>
        <w:t>相关度：</w:t>
      </w:r>
      <w:r>
        <w:rPr>
          <w:rFonts w:hint="eastAsia"/>
        </w:rPr>
        <w:t>学校</w:t>
      </w:r>
      <w:r>
        <w:t>2017届</w:t>
      </w:r>
      <w:r>
        <w:rPr>
          <w:rFonts w:hint="eastAsia"/>
        </w:rPr>
        <w:t>毕业生目前就职</w:t>
      </w:r>
      <w:r>
        <w:t>岗位与所学专业的相关度</w:t>
      </w:r>
      <w:r>
        <w:rPr>
          <w:rFonts w:hint="eastAsia"/>
        </w:rPr>
        <w:t>为</w:t>
      </w:r>
      <w:r>
        <w:t>89.65%</w:t>
      </w:r>
      <w:r>
        <w:rPr>
          <w:rFonts w:hint="eastAsia"/>
        </w:rPr>
        <w:t>；其中“</w:t>
      </w:r>
      <w:r>
        <w:t>很</w:t>
      </w:r>
      <w:r>
        <w:rPr>
          <w:rFonts w:hint="eastAsia"/>
        </w:rPr>
        <w:t>相关”</w:t>
      </w:r>
      <w:r>
        <w:t>占比为59.77%，</w:t>
      </w:r>
      <w:r>
        <w:rPr>
          <w:rFonts w:hint="eastAsia"/>
        </w:rPr>
        <w:t>“比较</w:t>
      </w:r>
      <w:r>
        <w:t>相关</w:t>
      </w:r>
      <w:r>
        <w:rPr>
          <w:rFonts w:asciiTheme="minorEastAsia" w:hAnsiTheme="minorEastAsia" w:eastAsiaTheme="minorEastAsia"/>
        </w:rPr>
        <w:t>”</w:t>
      </w:r>
      <w:r>
        <w:rPr>
          <w:rFonts w:hint="eastAsia"/>
        </w:rPr>
        <w:t>占比</w:t>
      </w:r>
      <w:r>
        <w:t>为18.16%</w:t>
      </w:r>
      <w:r>
        <w:rPr>
          <w:rFonts w:hint="eastAsia"/>
        </w:rPr>
        <w:t>。可见</w:t>
      </w:r>
      <w:r>
        <w:t>毕业生</w:t>
      </w:r>
      <w:r>
        <w:rPr>
          <w:rFonts w:hint="eastAsia"/>
        </w:rPr>
        <w:t>所学专业及</w:t>
      </w:r>
      <w:r>
        <w:t>技能与实际工作的</w:t>
      </w:r>
      <w:r>
        <w:rPr>
          <w:rFonts w:hint="eastAsia"/>
        </w:rPr>
        <w:t>契合度</w:t>
      </w:r>
      <w:r>
        <w:t>较高，能够学以致用。</w:t>
      </w:r>
      <w:r>
        <w:rPr>
          <w:rFonts w:hint="eastAsia"/>
        </w:rPr>
        <w:t>各专业</w:t>
      </w:r>
      <w:r>
        <w:t>毕业生的专业相关度</w:t>
      </w:r>
      <w:r>
        <w:rPr>
          <w:rFonts w:hint="eastAsia"/>
        </w:rPr>
        <w:t>分布</w:t>
      </w:r>
      <w:r>
        <w:t>如下表所示</w:t>
      </w:r>
      <w:r>
        <w:rPr>
          <w:rFonts w:hint="eastAsia"/>
        </w:rPr>
        <w:t>。</w:t>
      </w:r>
    </w:p>
    <w:p>
      <w:pPr>
        <w:ind w:firstLine="0" w:firstLineChars="0"/>
        <w:jc w:val="center"/>
      </w:pPr>
      <w:r>
        <w:drawing>
          <wp:inline distT="0" distB="0" distL="0" distR="0">
            <wp:extent cx="2695575" cy="2057400"/>
            <wp:effectExtent l="0" t="0" r="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4</w:t>
      </w:r>
      <w:r>
        <w:fldChar w:fldCharType="end"/>
      </w:r>
      <w:r>
        <w:rPr>
          <w:rStyle w:val="34"/>
          <w:b/>
          <w:bCs w:val="0"/>
        </w:rPr>
        <w:t xml:space="preserve">  2017届</w:t>
      </w:r>
      <w:r>
        <w:rPr>
          <w:rStyle w:val="34"/>
          <w:rFonts w:hint="eastAsia"/>
          <w:b/>
          <w:bCs w:val="0"/>
        </w:rPr>
        <w:t>毕业生专业相关</w:t>
      </w:r>
      <w:r>
        <w:rPr>
          <w:rStyle w:val="34"/>
          <w:b/>
          <w:bCs w:val="0"/>
        </w:rPr>
        <w:t>度</w:t>
      </w:r>
      <w:r>
        <w:rPr>
          <w:rStyle w:val="34"/>
          <w:rFonts w:hint="eastAsia"/>
          <w:b/>
          <w:bCs w:val="0"/>
        </w:rPr>
        <w:t>分布</w:t>
      </w:r>
    </w:p>
    <w:p>
      <w:pPr>
        <w:pStyle w:val="139"/>
      </w:pPr>
      <w:r>
        <w:rPr>
          <w:rFonts w:hint="eastAsia"/>
        </w:rPr>
        <w:t>注：专业相关度为选择“很相关”、“比较相关”和“一般”的人数占此题总人数的比例。</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7"/>
      </w:pPr>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1</w:t>
      </w:r>
      <w:r>
        <w:fldChar w:fldCharType="end"/>
      </w:r>
      <w:r>
        <w:t xml:space="preserve">  </w:t>
      </w:r>
      <w:r>
        <w:rPr>
          <w:rFonts w:hint="eastAsia"/>
        </w:rPr>
        <w:t>2017届各专业毕业生专业相关</w:t>
      </w:r>
      <w:r>
        <w:t>度</w:t>
      </w:r>
      <w:r>
        <w:rPr>
          <w:rFonts w:hint="eastAsia"/>
        </w:rPr>
        <w:t>分布</w:t>
      </w:r>
    </w:p>
    <w:tbl>
      <w:tblPr>
        <w:tblStyle w:val="110"/>
        <w:tblW w:w="8778" w:type="dxa"/>
        <w:jc w:val="center"/>
        <w:tblInd w:w="0" w:type="dxa"/>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
      <w:tblGrid>
        <w:gridCol w:w="2756"/>
        <w:gridCol w:w="870"/>
        <w:gridCol w:w="1067"/>
        <w:gridCol w:w="869"/>
        <w:gridCol w:w="1280"/>
        <w:gridCol w:w="1067"/>
        <w:gridCol w:w="869"/>
      </w:tblGrid>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85" w:hRule="atLeast"/>
          <w:jc w:val="center"/>
        </w:trPr>
        <w:tc>
          <w:tcPr>
            <w:tcW w:w="2756" w:type="dxa"/>
            <w:tcBorders>
              <w:top w:val="single" w:color="0F6FC6" w:themeColor="accent1" w:sz="4" w:space="0"/>
              <w:left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专业</w:t>
            </w:r>
          </w:p>
        </w:tc>
        <w:tc>
          <w:tcPr>
            <w:tcW w:w="870"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很相关</w:t>
            </w:r>
          </w:p>
        </w:tc>
        <w:tc>
          <w:tcPr>
            <w:tcW w:w="1067"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比较相关</w:t>
            </w:r>
          </w:p>
        </w:tc>
        <w:tc>
          <w:tcPr>
            <w:tcW w:w="869"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一般</w:t>
            </w:r>
          </w:p>
        </w:tc>
        <w:tc>
          <w:tcPr>
            <w:tcW w:w="1280"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比较不相关</w:t>
            </w:r>
          </w:p>
        </w:tc>
        <w:tc>
          <w:tcPr>
            <w:tcW w:w="1067" w:type="dxa"/>
            <w:tcBorders>
              <w:top w:val="single" w:color="0F6FC6" w:themeColor="accent1" w:sz="4" w:space="0"/>
              <w:bottom w:val="single" w:color="0F6FC6" w:themeColor="accent1" w:sz="4" w:space="0"/>
              <w:right w:val="nil"/>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很不相关</w:t>
            </w:r>
          </w:p>
        </w:tc>
        <w:tc>
          <w:tcPr>
            <w:tcW w:w="869" w:type="dxa"/>
            <w:tcBorders>
              <w:top w:val="single" w:color="0F6FC6" w:themeColor="accent1" w:sz="4" w:space="0"/>
              <w:bottom w:val="single" w:color="0F6FC6" w:themeColor="accent1" w:sz="4" w:space="0"/>
              <w:right w:val="single" w:color="0F6FC6" w:themeColor="accent1" w:sz="4" w:space="0"/>
              <w:insideH w:val="single" w:sz="4" w:space="0"/>
              <w:insideV w:val="nil"/>
            </w:tcBorders>
            <w:shd w:val="clear" w:color="auto" w:fill="0F6FC6" w:themeFill="accent1"/>
            <w:vAlign w:val="center"/>
          </w:tcPr>
          <w:p>
            <w:pPr>
              <w:spacing w:line="240" w:lineRule="auto"/>
              <w:ind w:firstLine="0" w:firstLineChars="0"/>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相关度</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shd w:val="clear" w:color="auto" w:fill="C7E2FA" w:themeFill="accent1" w:themeFillTint="33"/>
            <w:vAlign w:val="top"/>
          </w:tcPr>
          <w:p>
            <w:pPr>
              <w:pStyle w:val="141"/>
              <w:rPr>
                <w:rFonts w:ascii="宋体" w:hAnsi="宋体"/>
                <w:b w:val="0"/>
                <w:bCs/>
                <w:color w:val="000000"/>
                <w:szCs w:val="21"/>
              </w:rPr>
            </w:pPr>
            <w:r>
              <w:rPr>
                <w:rFonts w:ascii="宋体" w:hAnsi="宋体"/>
                <w:b w:val="0"/>
                <w:bCs w:val="0"/>
                <w:color w:val="000000"/>
                <w:szCs w:val="21"/>
              </w:rPr>
              <w:t>学前教育(盐城分院)</w:t>
            </w:r>
          </w:p>
        </w:tc>
        <w:tc>
          <w:tcPr>
            <w:tcW w:w="870" w:type="dxa"/>
            <w:shd w:val="clear" w:color="auto" w:fill="C7E2FA" w:themeFill="accent1" w:themeFillTint="33"/>
            <w:vAlign w:val="center"/>
          </w:tcPr>
          <w:p>
            <w:pPr>
              <w:pStyle w:val="141"/>
              <w:rPr>
                <w:color w:val="000000"/>
                <w:szCs w:val="21"/>
              </w:rPr>
            </w:pPr>
            <w:r>
              <w:rPr>
                <w:color w:val="000000"/>
                <w:szCs w:val="21"/>
              </w:rPr>
              <w:t>75.11%</w:t>
            </w:r>
          </w:p>
        </w:tc>
        <w:tc>
          <w:tcPr>
            <w:tcW w:w="1067" w:type="dxa"/>
            <w:shd w:val="clear" w:color="auto" w:fill="C7E2FA" w:themeFill="accent1" w:themeFillTint="33"/>
            <w:vAlign w:val="center"/>
          </w:tcPr>
          <w:p>
            <w:pPr>
              <w:pStyle w:val="141"/>
              <w:rPr>
                <w:color w:val="000000"/>
                <w:szCs w:val="21"/>
              </w:rPr>
            </w:pPr>
            <w:r>
              <w:rPr>
                <w:color w:val="000000"/>
                <w:szCs w:val="21"/>
              </w:rPr>
              <w:t>12.22%</w:t>
            </w:r>
          </w:p>
        </w:tc>
        <w:tc>
          <w:tcPr>
            <w:tcW w:w="869" w:type="dxa"/>
            <w:shd w:val="clear" w:color="auto" w:fill="C7E2FA" w:themeFill="accent1" w:themeFillTint="33"/>
            <w:vAlign w:val="center"/>
          </w:tcPr>
          <w:p>
            <w:pPr>
              <w:pStyle w:val="141"/>
              <w:rPr>
                <w:color w:val="000000"/>
                <w:szCs w:val="21"/>
              </w:rPr>
            </w:pPr>
            <w:r>
              <w:rPr>
                <w:color w:val="000000"/>
                <w:szCs w:val="21"/>
              </w:rPr>
              <w:t>7.69%</w:t>
            </w:r>
          </w:p>
        </w:tc>
        <w:tc>
          <w:tcPr>
            <w:tcW w:w="1280" w:type="dxa"/>
            <w:shd w:val="clear" w:color="auto" w:fill="C7E2FA" w:themeFill="accent1" w:themeFillTint="33"/>
            <w:vAlign w:val="center"/>
          </w:tcPr>
          <w:p>
            <w:pPr>
              <w:pStyle w:val="141"/>
              <w:rPr>
                <w:color w:val="000000"/>
                <w:szCs w:val="21"/>
              </w:rPr>
            </w:pPr>
            <w:r>
              <w:rPr>
                <w:color w:val="000000"/>
                <w:szCs w:val="21"/>
              </w:rPr>
              <w:t>3.17%</w:t>
            </w:r>
          </w:p>
        </w:tc>
        <w:tc>
          <w:tcPr>
            <w:tcW w:w="1067" w:type="dxa"/>
            <w:shd w:val="clear" w:color="auto" w:fill="C7E2FA" w:themeFill="accent1" w:themeFillTint="33"/>
            <w:vAlign w:val="center"/>
          </w:tcPr>
          <w:p>
            <w:pPr>
              <w:pStyle w:val="141"/>
              <w:rPr>
                <w:color w:val="000000"/>
                <w:szCs w:val="21"/>
              </w:rPr>
            </w:pPr>
            <w:r>
              <w:rPr>
                <w:color w:val="000000"/>
                <w:szCs w:val="21"/>
              </w:rPr>
              <w:t>1.81%</w:t>
            </w:r>
          </w:p>
        </w:tc>
        <w:tc>
          <w:tcPr>
            <w:tcW w:w="869" w:type="dxa"/>
            <w:shd w:val="clear" w:color="auto" w:fill="C7E2FA" w:themeFill="accent1" w:themeFillTint="33"/>
            <w:vAlign w:val="center"/>
          </w:tcPr>
          <w:p>
            <w:pPr>
              <w:pStyle w:val="141"/>
              <w:rPr>
                <w:color w:val="000000"/>
                <w:szCs w:val="21"/>
              </w:rPr>
            </w:pPr>
            <w:r>
              <w:rPr>
                <w:color w:val="000000"/>
                <w:szCs w:val="21"/>
              </w:rPr>
              <w:t>95.02%</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vAlign w:val="top"/>
          </w:tcPr>
          <w:p>
            <w:pPr>
              <w:pStyle w:val="141"/>
              <w:rPr>
                <w:rFonts w:ascii="宋体" w:hAnsi="宋体"/>
                <w:b w:val="0"/>
                <w:bCs/>
                <w:color w:val="000000"/>
                <w:szCs w:val="21"/>
              </w:rPr>
            </w:pPr>
            <w:r>
              <w:rPr>
                <w:rFonts w:ascii="宋体" w:hAnsi="宋体"/>
                <w:b w:val="0"/>
                <w:bCs w:val="0"/>
                <w:color w:val="000000"/>
                <w:szCs w:val="21"/>
              </w:rPr>
              <w:t>学前教育(阜宁分院)</w:t>
            </w:r>
          </w:p>
        </w:tc>
        <w:tc>
          <w:tcPr>
            <w:tcW w:w="870" w:type="dxa"/>
            <w:vAlign w:val="center"/>
          </w:tcPr>
          <w:p>
            <w:pPr>
              <w:pStyle w:val="141"/>
              <w:rPr>
                <w:color w:val="000000"/>
                <w:szCs w:val="21"/>
              </w:rPr>
            </w:pPr>
            <w:r>
              <w:rPr>
                <w:color w:val="000000"/>
                <w:szCs w:val="21"/>
              </w:rPr>
              <w:t>69.91%</w:t>
            </w:r>
          </w:p>
        </w:tc>
        <w:tc>
          <w:tcPr>
            <w:tcW w:w="1067" w:type="dxa"/>
            <w:vAlign w:val="center"/>
          </w:tcPr>
          <w:p>
            <w:pPr>
              <w:pStyle w:val="141"/>
              <w:rPr>
                <w:color w:val="000000"/>
                <w:szCs w:val="21"/>
              </w:rPr>
            </w:pPr>
            <w:r>
              <w:rPr>
                <w:color w:val="000000"/>
                <w:szCs w:val="21"/>
              </w:rPr>
              <w:t>19.47%</w:t>
            </w:r>
          </w:p>
        </w:tc>
        <w:tc>
          <w:tcPr>
            <w:tcW w:w="869" w:type="dxa"/>
            <w:vAlign w:val="center"/>
          </w:tcPr>
          <w:p>
            <w:pPr>
              <w:pStyle w:val="141"/>
              <w:rPr>
                <w:color w:val="000000"/>
                <w:szCs w:val="21"/>
              </w:rPr>
            </w:pPr>
            <w:r>
              <w:rPr>
                <w:color w:val="000000"/>
                <w:szCs w:val="21"/>
              </w:rPr>
              <w:t>8.85%</w:t>
            </w:r>
          </w:p>
        </w:tc>
        <w:tc>
          <w:tcPr>
            <w:tcW w:w="1280" w:type="dxa"/>
            <w:vAlign w:val="center"/>
          </w:tcPr>
          <w:p>
            <w:pPr>
              <w:pStyle w:val="141"/>
              <w:rPr>
                <w:color w:val="000000"/>
                <w:szCs w:val="21"/>
              </w:rPr>
            </w:pPr>
            <w:r>
              <w:rPr>
                <w:color w:val="000000"/>
                <w:szCs w:val="21"/>
              </w:rPr>
              <w:t>1.77%</w:t>
            </w:r>
          </w:p>
        </w:tc>
        <w:tc>
          <w:tcPr>
            <w:tcW w:w="1067" w:type="dxa"/>
            <w:vAlign w:val="center"/>
          </w:tcPr>
          <w:p>
            <w:pPr>
              <w:pStyle w:val="141"/>
              <w:rPr>
                <w:color w:val="000000"/>
                <w:szCs w:val="21"/>
              </w:rPr>
            </w:pPr>
            <w:r>
              <w:rPr>
                <w:color w:val="000000"/>
                <w:szCs w:val="21"/>
              </w:rPr>
              <w:t>0.00%</w:t>
            </w:r>
          </w:p>
        </w:tc>
        <w:tc>
          <w:tcPr>
            <w:tcW w:w="869" w:type="dxa"/>
            <w:vAlign w:val="center"/>
          </w:tcPr>
          <w:p>
            <w:pPr>
              <w:pStyle w:val="141"/>
              <w:rPr>
                <w:color w:val="000000"/>
                <w:szCs w:val="21"/>
              </w:rPr>
            </w:pPr>
            <w:r>
              <w:rPr>
                <w:color w:val="000000"/>
                <w:szCs w:val="21"/>
              </w:rPr>
              <w:t>98.23%</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shd w:val="clear" w:color="auto" w:fill="C7E2FA" w:themeFill="accent1" w:themeFillTint="33"/>
            <w:vAlign w:val="top"/>
          </w:tcPr>
          <w:p>
            <w:pPr>
              <w:pStyle w:val="141"/>
              <w:rPr>
                <w:rFonts w:ascii="宋体" w:hAnsi="宋体"/>
                <w:b w:val="0"/>
                <w:bCs/>
                <w:color w:val="000000"/>
                <w:szCs w:val="21"/>
              </w:rPr>
            </w:pPr>
            <w:r>
              <w:rPr>
                <w:rFonts w:ascii="宋体" w:hAnsi="宋体"/>
                <w:b w:val="0"/>
                <w:bCs w:val="0"/>
                <w:color w:val="000000"/>
                <w:szCs w:val="21"/>
              </w:rPr>
              <w:t>小学教育(盐城分院)</w:t>
            </w:r>
          </w:p>
        </w:tc>
        <w:tc>
          <w:tcPr>
            <w:tcW w:w="870" w:type="dxa"/>
            <w:shd w:val="clear" w:color="auto" w:fill="C7E2FA" w:themeFill="accent1" w:themeFillTint="33"/>
            <w:vAlign w:val="center"/>
          </w:tcPr>
          <w:p>
            <w:pPr>
              <w:pStyle w:val="141"/>
              <w:rPr>
                <w:color w:val="000000"/>
                <w:szCs w:val="21"/>
              </w:rPr>
            </w:pPr>
            <w:r>
              <w:rPr>
                <w:color w:val="000000"/>
                <w:szCs w:val="21"/>
              </w:rPr>
              <w:t>53.52%</w:t>
            </w:r>
          </w:p>
        </w:tc>
        <w:tc>
          <w:tcPr>
            <w:tcW w:w="1067" w:type="dxa"/>
            <w:shd w:val="clear" w:color="auto" w:fill="C7E2FA" w:themeFill="accent1" w:themeFillTint="33"/>
            <w:vAlign w:val="center"/>
          </w:tcPr>
          <w:p>
            <w:pPr>
              <w:pStyle w:val="141"/>
              <w:rPr>
                <w:color w:val="000000"/>
                <w:szCs w:val="21"/>
              </w:rPr>
            </w:pPr>
            <w:r>
              <w:rPr>
                <w:color w:val="000000"/>
                <w:szCs w:val="21"/>
              </w:rPr>
              <w:t>29.58%</w:t>
            </w:r>
          </w:p>
        </w:tc>
        <w:tc>
          <w:tcPr>
            <w:tcW w:w="869" w:type="dxa"/>
            <w:shd w:val="clear" w:color="auto" w:fill="C7E2FA" w:themeFill="accent1" w:themeFillTint="33"/>
            <w:vAlign w:val="center"/>
          </w:tcPr>
          <w:p>
            <w:pPr>
              <w:pStyle w:val="141"/>
              <w:rPr>
                <w:color w:val="000000"/>
                <w:szCs w:val="21"/>
              </w:rPr>
            </w:pPr>
            <w:r>
              <w:rPr>
                <w:color w:val="000000"/>
                <w:szCs w:val="21"/>
              </w:rPr>
              <w:t>8.45%</w:t>
            </w:r>
          </w:p>
        </w:tc>
        <w:tc>
          <w:tcPr>
            <w:tcW w:w="1280" w:type="dxa"/>
            <w:shd w:val="clear" w:color="auto" w:fill="C7E2FA" w:themeFill="accent1" w:themeFillTint="33"/>
            <w:vAlign w:val="center"/>
          </w:tcPr>
          <w:p>
            <w:pPr>
              <w:pStyle w:val="141"/>
              <w:rPr>
                <w:color w:val="000000"/>
                <w:szCs w:val="21"/>
              </w:rPr>
            </w:pPr>
            <w:r>
              <w:rPr>
                <w:color w:val="000000"/>
                <w:szCs w:val="21"/>
              </w:rPr>
              <w:t>4.23%</w:t>
            </w:r>
          </w:p>
        </w:tc>
        <w:tc>
          <w:tcPr>
            <w:tcW w:w="1067" w:type="dxa"/>
            <w:shd w:val="clear" w:color="auto" w:fill="C7E2FA" w:themeFill="accent1" w:themeFillTint="33"/>
            <w:vAlign w:val="center"/>
          </w:tcPr>
          <w:p>
            <w:pPr>
              <w:pStyle w:val="141"/>
              <w:rPr>
                <w:color w:val="000000"/>
                <w:szCs w:val="21"/>
              </w:rPr>
            </w:pPr>
            <w:r>
              <w:rPr>
                <w:color w:val="000000"/>
                <w:szCs w:val="21"/>
              </w:rPr>
              <w:t>4.23%</w:t>
            </w:r>
          </w:p>
        </w:tc>
        <w:tc>
          <w:tcPr>
            <w:tcW w:w="869" w:type="dxa"/>
            <w:shd w:val="clear" w:color="auto" w:fill="C7E2FA" w:themeFill="accent1" w:themeFillTint="33"/>
            <w:vAlign w:val="center"/>
          </w:tcPr>
          <w:p>
            <w:pPr>
              <w:pStyle w:val="141"/>
              <w:rPr>
                <w:color w:val="000000"/>
                <w:szCs w:val="21"/>
              </w:rPr>
            </w:pPr>
            <w:r>
              <w:rPr>
                <w:color w:val="000000"/>
                <w:szCs w:val="21"/>
              </w:rPr>
              <w:t>91.55%</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vAlign w:val="top"/>
          </w:tcPr>
          <w:p>
            <w:pPr>
              <w:pStyle w:val="141"/>
              <w:rPr>
                <w:rFonts w:ascii="宋体" w:hAnsi="宋体"/>
                <w:b w:val="0"/>
                <w:bCs/>
                <w:color w:val="000000"/>
                <w:szCs w:val="21"/>
              </w:rPr>
            </w:pPr>
            <w:r>
              <w:rPr>
                <w:rFonts w:ascii="宋体" w:hAnsi="宋体"/>
                <w:b w:val="0"/>
                <w:bCs w:val="0"/>
                <w:color w:val="000000"/>
                <w:szCs w:val="21"/>
              </w:rPr>
              <w:t>小学教育(阜宁分院)</w:t>
            </w:r>
          </w:p>
        </w:tc>
        <w:tc>
          <w:tcPr>
            <w:tcW w:w="870" w:type="dxa"/>
            <w:vAlign w:val="center"/>
          </w:tcPr>
          <w:p>
            <w:pPr>
              <w:pStyle w:val="141"/>
              <w:rPr>
                <w:color w:val="000000"/>
                <w:szCs w:val="21"/>
              </w:rPr>
            </w:pPr>
            <w:r>
              <w:rPr>
                <w:color w:val="000000"/>
                <w:szCs w:val="21"/>
              </w:rPr>
              <w:t>64.00%</w:t>
            </w:r>
          </w:p>
        </w:tc>
        <w:tc>
          <w:tcPr>
            <w:tcW w:w="1067" w:type="dxa"/>
            <w:vAlign w:val="center"/>
          </w:tcPr>
          <w:p>
            <w:pPr>
              <w:pStyle w:val="141"/>
              <w:rPr>
                <w:color w:val="000000"/>
                <w:szCs w:val="21"/>
              </w:rPr>
            </w:pPr>
            <w:r>
              <w:rPr>
                <w:color w:val="000000"/>
                <w:szCs w:val="21"/>
              </w:rPr>
              <w:t>20.00%</w:t>
            </w:r>
          </w:p>
        </w:tc>
        <w:tc>
          <w:tcPr>
            <w:tcW w:w="869" w:type="dxa"/>
            <w:vAlign w:val="center"/>
          </w:tcPr>
          <w:p>
            <w:pPr>
              <w:pStyle w:val="141"/>
              <w:rPr>
                <w:color w:val="000000"/>
                <w:szCs w:val="21"/>
              </w:rPr>
            </w:pPr>
            <w:r>
              <w:rPr>
                <w:color w:val="000000"/>
                <w:szCs w:val="21"/>
              </w:rPr>
              <w:t>4.00%</w:t>
            </w:r>
          </w:p>
        </w:tc>
        <w:tc>
          <w:tcPr>
            <w:tcW w:w="1280" w:type="dxa"/>
            <w:vAlign w:val="center"/>
          </w:tcPr>
          <w:p>
            <w:pPr>
              <w:pStyle w:val="141"/>
              <w:rPr>
                <w:color w:val="000000"/>
                <w:szCs w:val="21"/>
              </w:rPr>
            </w:pPr>
            <w:r>
              <w:rPr>
                <w:color w:val="000000"/>
                <w:szCs w:val="21"/>
              </w:rPr>
              <w:t>8.00%</w:t>
            </w:r>
          </w:p>
        </w:tc>
        <w:tc>
          <w:tcPr>
            <w:tcW w:w="1067" w:type="dxa"/>
            <w:vAlign w:val="center"/>
          </w:tcPr>
          <w:p>
            <w:pPr>
              <w:pStyle w:val="141"/>
              <w:rPr>
                <w:color w:val="000000"/>
                <w:szCs w:val="21"/>
              </w:rPr>
            </w:pPr>
            <w:r>
              <w:rPr>
                <w:color w:val="000000"/>
                <w:szCs w:val="21"/>
              </w:rPr>
              <w:t>4.00%</w:t>
            </w:r>
          </w:p>
        </w:tc>
        <w:tc>
          <w:tcPr>
            <w:tcW w:w="869" w:type="dxa"/>
            <w:vAlign w:val="center"/>
          </w:tcPr>
          <w:p>
            <w:pPr>
              <w:pStyle w:val="141"/>
              <w:rPr>
                <w:color w:val="000000"/>
                <w:szCs w:val="21"/>
              </w:rPr>
            </w:pPr>
            <w:r>
              <w:rPr>
                <w:color w:val="000000"/>
                <w:szCs w:val="21"/>
              </w:rPr>
              <w:t>88.00%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shd w:val="clear" w:color="auto" w:fill="C7E2FA" w:themeFill="accent1" w:themeFillTint="33"/>
            <w:vAlign w:val="top"/>
          </w:tcPr>
          <w:p>
            <w:pPr>
              <w:pStyle w:val="141"/>
              <w:rPr>
                <w:rFonts w:ascii="宋体" w:hAnsi="宋体"/>
                <w:b w:val="0"/>
                <w:bCs/>
                <w:color w:val="000000"/>
                <w:szCs w:val="21"/>
              </w:rPr>
            </w:pPr>
            <w:r>
              <w:rPr>
                <w:rFonts w:ascii="宋体" w:hAnsi="宋体"/>
                <w:b w:val="0"/>
                <w:bCs w:val="0"/>
                <w:color w:val="000000"/>
                <w:szCs w:val="21"/>
              </w:rPr>
              <w:t>建筑工程技术</w:t>
            </w:r>
          </w:p>
        </w:tc>
        <w:tc>
          <w:tcPr>
            <w:tcW w:w="870" w:type="dxa"/>
            <w:shd w:val="clear" w:color="auto" w:fill="C7E2FA" w:themeFill="accent1" w:themeFillTint="33"/>
            <w:vAlign w:val="center"/>
          </w:tcPr>
          <w:p>
            <w:pPr>
              <w:pStyle w:val="141"/>
              <w:rPr>
                <w:color w:val="000000"/>
                <w:szCs w:val="21"/>
              </w:rPr>
            </w:pPr>
            <w:r>
              <w:rPr>
                <w:color w:val="000000"/>
                <w:szCs w:val="21"/>
              </w:rPr>
              <w:t>30.00%</w:t>
            </w:r>
          </w:p>
        </w:tc>
        <w:tc>
          <w:tcPr>
            <w:tcW w:w="1067" w:type="dxa"/>
            <w:shd w:val="clear" w:color="auto" w:fill="C7E2FA" w:themeFill="accent1" w:themeFillTint="33"/>
            <w:vAlign w:val="center"/>
          </w:tcPr>
          <w:p>
            <w:pPr>
              <w:pStyle w:val="141"/>
              <w:rPr>
                <w:color w:val="000000"/>
                <w:szCs w:val="21"/>
              </w:rPr>
            </w:pPr>
            <w:r>
              <w:rPr>
                <w:color w:val="000000"/>
                <w:szCs w:val="21"/>
              </w:rPr>
              <w:t>25.00%</w:t>
            </w:r>
          </w:p>
        </w:tc>
        <w:tc>
          <w:tcPr>
            <w:tcW w:w="869" w:type="dxa"/>
            <w:shd w:val="clear" w:color="auto" w:fill="C7E2FA" w:themeFill="accent1" w:themeFillTint="33"/>
            <w:vAlign w:val="center"/>
          </w:tcPr>
          <w:p>
            <w:pPr>
              <w:pStyle w:val="141"/>
              <w:rPr>
                <w:color w:val="000000"/>
                <w:szCs w:val="21"/>
              </w:rPr>
            </w:pPr>
            <w:r>
              <w:rPr>
                <w:color w:val="000000"/>
                <w:szCs w:val="21"/>
              </w:rPr>
              <w:t>20.00%</w:t>
            </w:r>
          </w:p>
        </w:tc>
        <w:tc>
          <w:tcPr>
            <w:tcW w:w="1280" w:type="dxa"/>
            <w:shd w:val="clear" w:color="auto" w:fill="C7E2FA" w:themeFill="accent1" w:themeFillTint="33"/>
            <w:vAlign w:val="center"/>
          </w:tcPr>
          <w:p>
            <w:pPr>
              <w:pStyle w:val="141"/>
              <w:rPr>
                <w:color w:val="000000"/>
                <w:szCs w:val="21"/>
              </w:rPr>
            </w:pPr>
            <w:r>
              <w:rPr>
                <w:color w:val="000000"/>
                <w:szCs w:val="21"/>
              </w:rPr>
              <w:t>5.00%</w:t>
            </w:r>
          </w:p>
        </w:tc>
        <w:tc>
          <w:tcPr>
            <w:tcW w:w="1067" w:type="dxa"/>
            <w:shd w:val="clear" w:color="auto" w:fill="C7E2FA" w:themeFill="accent1" w:themeFillTint="33"/>
            <w:vAlign w:val="center"/>
          </w:tcPr>
          <w:p>
            <w:pPr>
              <w:pStyle w:val="141"/>
              <w:rPr>
                <w:color w:val="000000"/>
                <w:szCs w:val="21"/>
              </w:rPr>
            </w:pPr>
            <w:r>
              <w:rPr>
                <w:color w:val="000000"/>
                <w:szCs w:val="21"/>
              </w:rPr>
              <w:t>20.00%</w:t>
            </w:r>
          </w:p>
        </w:tc>
        <w:tc>
          <w:tcPr>
            <w:tcW w:w="869" w:type="dxa"/>
            <w:shd w:val="clear" w:color="auto" w:fill="C7E2FA" w:themeFill="accent1" w:themeFillTint="33"/>
            <w:vAlign w:val="center"/>
          </w:tcPr>
          <w:p>
            <w:pPr>
              <w:pStyle w:val="141"/>
              <w:rPr>
                <w:color w:val="000000"/>
                <w:szCs w:val="21"/>
              </w:rPr>
            </w:pPr>
            <w:r>
              <w:rPr>
                <w:color w:val="000000"/>
                <w:szCs w:val="21"/>
              </w:rPr>
              <w:t>75.00%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vAlign w:val="top"/>
          </w:tcPr>
          <w:p>
            <w:pPr>
              <w:pStyle w:val="141"/>
              <w:rPr>
                <w:rFonts w:ascii="宋体" w:hAnsi="宋体"/>
                <w:b w:val="0"/>
                <w:bCs/>
                <w:color w:val="000000"/>
                <w:szCs w:val="21"/>
              </w:rPr>
            </w:pPr>
            <w:r>
              <w:rPr>
                <w:rFonts w:ascii="宋体" w:hAnsi="宋体"/>
                <w:b w:val="0"/>
                <w:bCs w:val="0"/>
                <w:color w:val="000000"/>
                <w:szCs w:val="21"/>
              </w:rPr>
              <w:t>计算机应用技术(盐城分院)</w:t>
            </w:r>
          </w:p>
        </w:tc>
        <w:tc>
          <w:tcPr>
            <w:tcW w:w="870" w:type="dxa"/>
            <w:vAlign w:val="center"/>
          </w:tcPr>
          <w:p>
            <w:pPr>
              <w:pStyle w:val="141"/>
              <w:rPr>
                <w:color w:val="000000"/>
                <w:szCs w:val="21"/>
              </w:rPr>
            </w:pPr>
            <w:r>
              <w:rPr>
                <w:color w:val="000000"/>
                <w:szCs w:val="21"/>
              </w:rPr>
              <w:t>0.00%</w:t>
            </w:r>
          </w:p>
        </w:tc>
        <w:tc>
          <w:tcPr>
            <w:tcW w:w="1067" w:type="dxa"/>
            <w:vAlign w:val="center"/>
          </w:tcPr>
          <w:p>
            <w:pPr>
              <w:pStyle w:val="141"/>
              <w:rPr>
                <w:color w:val="000000"/>
                <w:szCs w:val="21"/>
              </w:rPr>
            </w:pPr>
            <w:r>
              <w:rPr>
                <w:color w:val="000000"/>
                <w:szCs w:val="21"/>
              </w:rPr>
              <w:t>21.74%</w:t>
            </w:r>
          </w:p>
        </w:tc>
        <w:tc>
          <w:tcPr>
            <w:tcW w:w="869" w:type="dxa"/>
            <w:vAlign w:val="center"/>
          </w:tcPr>
          <w:p>
            <w:pPr>
              <w:pStyle w:val="141"/>
              <w:rPr>
                <w:color w:val="000000"/>
                <w:szCs w:val="21"/>
              </w:rPr>
            </w:pPr>
            <w:r>
              <w:rPr>
                <w:color w:val="000000"/>
                <w:szCs w:val="21"/>
              </w:rPr>
              <w:t>43.48%</w:t>
            </w:r>
          </w:p>
        </w:tc>
        <w:tc>
          <w:tcPr>
            <w:tcW w:w="1280" w:type="dxa"/>
            <w:vAlign w:val="center"/>
          </w:tcPr>
          <w:p>
            <w:pPr>
              <w:pStyle w:val="141"/>
              <w:rPr>
                <w:color w:val="000000"/>
                <w:szCs w:val="21"/>
              </w:rPr>
            </w:pPr>
            <w:r>
              <w:rPr>
                <w:color w:val="000000"/>
                <w:szCs w:val="21"/>
              </w:rPr>
              <w:t>17.39%</w:t>
            </w:r>
          </w:p>
        </w:tc>
        <w:tc>
          <w:tcPr>
            <w:tcW w:w="1067" w:type="dxa"/>
            <w:vAlign w:val="center"/>
          </w:tcPr>
          <w:p>
            <w:pPr>
              <w:pStyle w:val="141"/>
              <w:rPr>
                <w:color w:val="000000"/>
                <w:szCs w:val="21"/>
              </w:rPr>
            </w:pPr>
            <w:r>
              <w:rPr>
                <w:color w:val="000000"/>
                <w:szCs w:val="21"/>
              </w:rPr>
              <w:t>17.39%</w:t>
            </w:r>
          </w:p>
        </w:tc>
        <w:tc>
          <w:tcPr>
            <w:tcW w:w="869" w:type="dxa"/>
            <w:vAlign w:val="center"/>
          </w:tcPr>
          <w:p>
            <w:pPr>
              <w:pStyle w:val="141"/>
              <w:rPr>
                <w:color w:val="000000"/>
                <w:szCs w:val="21"/>
              </w:rPr>
            </w:pPr>
            <w:r>
              <w:rPr>
                <w:color w:val="000000"/>
                <w:szCs w:val="21"/>
              </w:rPr>
              <w:t>65.22%</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shd w:val="clear" w:color="auto" w:fill="C7E2FA" w:themeFill="accent1" w:themeFillTint="33"/>
            <w:vAlign w:val="top"/>
          </w:tcPr>
          <w:p>
            <w:pPr>
              <w:pStyle w:val="141"/>
              <w:rPr>
                <w:rFonts w:ascii="宋体" w:hAnsi="宋体"/>
                <w:b w:val="0"/>
                <w:bCs/>
                <w:color w:val="000000"/>
                <w:szCs w:val="21"/>
              </w:rPr>
            </w:pPr>
            <w:r>
              <w:rPr>
                <w:rFonts w:ascii="宋体" w:hAnsi="宋体"/>
                <w:b w:val="0"/>
                <w:bCs w:val="0"/>
                <w:color w:val="000000"/>
                <w:szCs w:val="21"/>
              </w:rPr>
              <w:t>商务英语</w:t>
            </w:r>
          </w:p>
        </w:tc>
        <w:tc>
          <w:tcPr>
            <w:tcW w:w="870" w:type="dxa"/>
            <w:shd w:val="clear" w:color="auto" w:fill="C7E2FA" w:themeFill="accent1" w:themeFillTint="33"/>
            <w:vAlign w:val="center"/>
          </w:tcPr>
          <w:p>
            <w:pPr>
              <w:pStyle w:val="141"/>
              <w:rPr>
                <w:color w:val="000000"/>
                <w:szCs w:val="21"/>
              </w:rPr>
            </w:pPr>
            <w:r>
              <w:rPr>
                <w:color w:val="000000"/>
                <w:szCs w:val="21"/>
              </w:rPr>
              <w:t>0.00%</w:t>
            </w:r>
          </w:p>
        </w:tc>
        <w:tc>
          <w:tcPr>
            <w:tcW w:w="1067" w:type="dxa"/>
            <w:shd w:val="clear" w:color="auto" w:fill="C7E2FA" w:themeFill="accent1" w:themeFillTint="33"/>
            <w:vAlign w:val="center"/>
          </w:tcPr>
          <w:p>
            <w:pPr>
              <w:pStyle w:val="141"/>
              <w:rPr>
                <w:color w:val="000000"/>
                <w:szCs w:val="21"/>
              </w:rPr>
            </w:pPr>
            <w:r>
              <w:rPr>
                <w:color w:val="000000"/>
                <w:szCs w:val="21"/>
              </w:rPr>
              <w:t>26.67%</w:t>
            </w:r>
          </w:p>
        </w:tc>
        <w:tc>
          <w:tcPr>
            <w:tcW w:w="869" w:type="dxa"/>
            <w:shd w:val="clear" w:color="auto" w:fill="C7E2FA" w:themeFill="accent1" w:themeFillTint="33"/>
            <w:vAlign w:val="center"/>
          </w:tcPr>
          <w:p>
            <w:pPr>
              <w:pStyle w:val="141"/>
              <w:rPr>
                <w:color w:val="000000"/>
                <w:szCs w:val="21"/>
              </w:rPr>
            </w:pPr>
            <w:r>
              <w:rPr>
                <w:color w:val="000000"/>
                <w:szCs w:val="21"/>
              </w:rPr>
              <w:t>33.33%</w:t>
            </w:r>
          </w:p>
        </w:tc>
        <w:tc>
          <w:tcPr>
            <w:tcW w:w="1280" w:type="dxa"/>
            <w:shd w:val="clear" w:color="auto" w:fill="C7E2FA" w:themeFill="accent1" w:themeFillTint="33"/>
            <w:vAlign w:val="center"/>
          </w:tcPr>
          <w:p>
            <w:pPr>
              <w:pStyle w:val="141"/>
              <w:rPr>
                <w:color w:val="000000"/>
                <w:szCs w:val="21"/>
              </w:rPr>
            </w:pPr>
            <w:r>
              <w:rPr>
                <w:color w:val="000000"/>
                <w:szCs w:val="21"/>
              </w:rPr>
              <w:t>13.33%</w:t>
            </w:r>
          </w:p>
        </w:tc>
        <w:tc>
          <w:tcPr>
            <w:tcW w:w="1067" w:type="dxa"/>
            <w:shd w:val="clear" w:color="auto" w:fill="C7E2FA" w:themeFill="accent1" w:themeFillTint="33"/>
            <w:vAlign w:val="center"/>
          </w:tcPr>
          <w:p>
            <w:pPr>
              <w:pStyle w:val="141"/>
              <w:rPr>
                <w:color w:val="000000"/>
                <w:szCs w:val="21"/>
              </w:rPr>
            </w:pPr>
            <w:r>
              <w:rPr>
                <w:color w:val="000000"/>
                <w:szCs w:val="21"/>
              </w:rPr>
              <w:t>26.67%</w:t>
            </w:r>
          </w:p>
        </w:tc>
        <w:tc>
          <w:tcPr>
            <w:tcW w:w="869" w:type="dxa"/>
            <w:shd w:val="clear" w:color="auto" w:fill="C7E2FA" w:themeFill="accent1" w:themeFillTint="33"/>
            <w:vAlign w:val="center"/>
          </w:tcPr>
          <w:p>
            <w:pPr>
              <w:pStyle w:val="141"/>
              <w:rPr>
                <w:color w:val="000000"/>
                <w:szCs w:val="21"/>
              </w:rPr>
            </w:pPr>
            <w:r>
              <w:rPr>
                <w:color w:val="000000"/>
                <w:szCs w:val="21"/>
              </w:rPr>
              <w:t>60.00%</w:t>
            </w:r>
          </w:p>
        </w:tc>
      </w:tr>
      <w:tr>
        <w:tblPrEx>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CellMar>
            <w:top w:w="0" w:type="dxa"/>
            <w:left w:w="108" w:type="dxa"/>
            <w:bottom w:w="0" w:type="dxa"/>
            <w:right w:w="108" w:type="dxa"/>
          </w:tblCellMar>
        </w:tblPrEx>
        <w:trPr>
          <w:trHeight w:val="270" w:hRule="atLeast"/>
          <w:jc w:val="center"/>
        </w:trPr>
        <w:tc>
          <w:tcPr>
            <w:tcW w:w="2756" w:type="dxa"/>
            <w:vAlign w:val="top"/>
          </w:tcPr>
          <w:p>
            <w:pPr>
              <w:pStyle w:val="141"/>
              <w:rPr>
                <w:rFonts w:ascii="宋体" w:hAnsi="宋体"/>
                <w:b w:val="0"/>
                <w:bCs/>
                <w:color w:val="000000"/>
                <w:szCs w:val="21"/>
              </w:rPr>
            </w:pPr>
            <w:r>
              <w:rPr>
                <w:rFonts w:ascii="宋体" w:hAnsi="宋体"/>
                <w:b w:val="0"/>
                <w:bCs w:val="0"/>
                <w:color w:val="000000"/>
                <w:szCs w:val="21"/>
              </w:rPr>
              <w:t>应用韩语</w:t>
            </w:r>
          </w:p>
        </w:tc>
        <w:tc>
          <w:tcPr>
            <w:tcW w:w="870" w:type="dxa"/>
            <w:vAlign w:val="center"/>
          </w:tcPr>
          <w:p>
            <w:pPr>
              <w:pStyle w:val="141"/>
              <w:rPr>
                <w:color w:val="000000"/>
                <w:szCs w:val="21"/>
              </w:rPr>
            </w:pPr>
            <w:r>
              <w:rPr>
                <w:color w:val="000000"/>
                <w:szCs w:val="21"/>
              </w:rPr>
              <w:t>0.00%</w:t>
            </w:r>
          </w:p>
        </w:tc>
        <w:tc>
          <w:tcPr>
            <w:tcW w:w="1067" w:type="dxa"/>
            <w:vAlign w:val="center"/>
          </w:tcPr>
          <w:p>
            <w:pPr>
              <w:pStyle w:val="141"/>
              <w:rPr>
                <w:color w:val="000000"/>
                <w:szCs w:val="21"/>
              </w:rPr>
            </w:pPr>
            <w:r>
              <w:rPr>
                <w:color w:val="000000"/>
                <w:szCs w:val="21"/>
              </w:rPr>
              <w:t>27.27%</w:t>
            </w:r>
          </w:p>
        </w:tc>
        <w:tc>
          <w:tcPr>
            <w:tcW w:w="869" w:type="dxa"/>
            <w:vAlign w:val="center"/>
          </w:tcPr>
          <w:p>
            <w:pPr>
              <w:pStyle w:val="141"/>
              <w:rPr>
                <w:color w:val="000000"/>
                <w:szCs w:val="21"/>
              </w:rPr>
            </w:pPr>
            <w:r>
              <w:rPr>
                <w:color w:val="000000"/>
                <w:szCs w:val="21"/>
              </w:rPr>
              <w:t>27.27%</w:t>
            </w:r>
          </w:p>
        </w:tc>
        <w:tc>
          <w:tcPr>
            <w:tcW w:w="1280" w:type="dxa"/>
            <w:vAlign w:val="center"/>
          </w:tcPr>
          <w:p>
            <w:pPr>
              <w:pStyle w:val="141"/>
              <w:rPr>
                <w:color w:val="000000"/>
                <w:szCs w:val="21"/>
              </w:rPr>
            </w:pPr>
            <w:r>
              <w:rPr>
                <w:color w:val="000000"/>
                <w:szCs w:val="21"/>
              </w:rPr>
              <w:t>0.00%</w:t>
            </w:r>
          </w:p>
        </w:tc>
        <w:tc>
          <w:tcPr>
            <w:tcW w:w="1067" w:type="dxa"/>
            <w:vAlign w:val="center"/>
          </w:tcPr>
          <w:p>
            <w:pPr>
              <w:pStyle w:val="141"/>
              <w:rPr>
                <w:color w:val="000000"/>
                <w:szCs w:val="21"/>
              </w:rPr>
            </w:pPr>
            <w:r>
              <w:rPr>
                <w:color w:val="000000"/>
                <w:szCs w:val="21"/>
              </w:rPr>
              <w:t>45.45%</w:t>
            </w:r>
          </w:p>
        </w:tc>
        <w:tc>
          <w:tcPr>
            <w:tcW w:w="869" w:type="dxa"/>
            <w:vAlign w:val="center"/>
          </w:tcPr>
          <w:p>
            <w:pPr>
              <w:pStyle w:val="141"/>
              <w:rPr>
                <w:color w:val="000000"/>
                <w:szCs w:val="21"/>
              </w:rPr>
            </w:pPr>
            <w:r>
              <w:rPr>
                <w:color w:val="000000"/>
                <w:szCs w:val="21"/>
              </w:rPr>
              <w:t>54.55%</w:t>
            </w:r>
          </w:p>
        </w:tc>
      </w:tr>
    </w:tbl>
    <w:p>
      <w:pPr>
        <w:pStyle w:val="139"/>
      </w:pPr>
      <w:r>
        <w:rPr>
          <w:rFonts w:hint="eastAsia"/>
        </w:rPr>
        <w:t>注：</w:t>
      </w:r>
      <w:r>
        <w:rPr>
          <w:rFonts w:hint="eastAsia" w:ascii="Times New Roman" w:hAnsi="Times New Roman"/>
        </w:rPr>
        <w:t>1</w:t>
      </w:r>
      <w:r>
        <w:t>.</w:t>
      </w:r>
      <w:r>
        <w:rPr>
          <w:rFonts w:hint="eastAsia"/>
        </w:rPr>
        <w:t>专业相关度为选择“很相关”、“比较相关”和“一般”的人数占此题总人数的比例。</w:t>
      </w:r>
    </w:p>
    <w:p>
      <w:pPr>
        <w:pStyle w:val="139"/>
      </w:pPr>
      <w:r>
        <w:rPr>
          <w:rFonts w:hint="eastAsia"/>
        </w:rPr>
        <w:t xml:space="preserve"> </w:t>
      </w:r>
      <w:r>
        <w:t xml:space="preserve">   </w:t>
      </w:r>
      <w:r>
        <w:rPr>
          <w:rFonts w:ascii="Times New Roman" w:hAnsi="Times New Roman"/>
        </w:rPr>
        <w:t>2</w:t>
      </w:r>
      <w:r>
        <w:t>.</w:t>
      </w:r>
      <w:r>
        <w:rPr>
          <w:rFonts w:hint="eastAsia"/>
        </w:rPr>
        <w:t>商务日语等专业样本量较小，其数据结果不纳入到报告结论的分析范围。</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9"/>
      </w:pPr>
    </w:p>
    <w:p>
      <w:pPr>
        <w:pStyle w:val="139"/>
      </w:pPr>
    </w:p>
    <w:p>
      <w:pPr>
        <w:pStyle w:val="131"/>
        <w:ind w:firstLine="482"/>
      </w:pPr>
      <w:r>
        <w:rPr>
          <w:rFonts w:hint="eastAsia"/>
          <w:b/>
          <w:color w:val="0F6FC6" w:themeColor="accent1"/>
          <w14:textFill>
            <w14:solidFill>
              <w14:schemeClr w14:val="accent1"/>
            </w14:solidFill>
          </w14:textFill>
        </w:rPr>
        <w:t>从事专业</w:t>
      </w:r>
      <w:r>
        <w:rPr>
          <w:b/>
          <w:color w:val="0F6FC6" w:themeColor="accent1"/>
          <w14:textFill>
            <w14:solidFill>
              <w14:schemeClr w14:val="accent1"/>
            </w14:solidFill>
          </w14:textFill>
        </w:rPr>
        <w:t>不相关工作的原因</w:t>
      </w:r>
      <w:r>
        <w:rPr>
          <w:rFonts w:hint="eastAsia"/>
          <w:b/>
          <w:color w:val="0F6FC6" w:themeColor="accent1"/>
          <w14:textFill>
            <w14:solidFill>
              <w14:schemeClr w14:val="accent1"/>
            </w14:solidFill>
          </w14:textFill>
        </w:rPr>
        <w:t>：</w:t>
      </w:r>
      <w:r>
        <w:rPr>
          <w:rFonts w:hint="eastAsia"/>
        </w:rPr>
        <w:t>主要</w:t>
      </w:r>
      <w:r>
        <w:t>为</w:t>
      </w:r>
      <w:r>
        <w:rPr>
          <w:rFonts w:asciiTheme="minorEastAsia" w:hAnsiTheme="minorEastAsia" w:eastAsiaTheme="minorEastAsia"/>
        </w:rPr>
        <w:t>“</w:t>
      </w:r>
      <w:r>
        <w:rPr>
          <w:rFonts w:hint="eastAsia"/>
        </w:rPr>
        <w:t>不想</w:t>
      </w:r>
      <w:r>
        <w:t>找相关工作，</w:t>
      </w:r>
      <w:r>
        <w:rPr>
          <w:rFonts w:hint="eastAsia"/>
        </w:rPr>
        <w:t>因为个人</w:t>
      </w:r>
      <w:r>
        <w:t>兴趣</w:t>
      </w:r>
      <w:r>
        <w:rPr>
          <w:rFonts w:asciiTheme="minorEastAsia" w:hAnsiTheme="minorEastAsia" w:eastAsiaTheme="minorEastAsia"/>
        </w:rPr>
        <w:t>”</w:t>
      </w:r>
      <w:r>
        <w:rPr>
          <w:rFonts w:hint="eastAsia"/>
        </w:rPr>
        <w:t>（</w:t>
      </w:r>
      <w:r>
        <w:rPr>
          <w:rFonts w:cs="Times New Roman"/>
        </w:rPr>
        <w:t>32.08%</w:t>
      </w:r>
      <w:r>
        <w:rPr>
          <w:rFonts w:hint="eastAsia"/>
        </w:rPr>
        <w:t>）和</w:t>
      </w:r>
      <w:r>
        <w:rPr>
          <w:rFonts w:asciiTheme="minorEastAsia" w:hAnsiTheme="minorEastAsia" w:eastAsiaTheme="minorEastAsia"/>
        </w:rPr>
        <w:t>“</w:t>
      </w:r>
      <w:r>
        <w:rPr>
          <w:rFonts w:hint="eastAsia"/>
        </w:rPr>
        <w:t>不想</w:t>
      </w:r>
      <w:r>
        <w:t>找相关工作，</w:t>
      </w:r>
      <w:r>
        <w:rPr>
          <w:rFonts w:hint="eastAsia"/>
        </w:rPr>
        <w:t>因为收入</w:t>
      </w:r>
      <w:r>
        <w:t>待遇</w:t>
      </w:r>
      <w:r>
        <w:rPr>
          <w:rFonts w:asciiTheme="minorEastAsia" w:hAnsiTheme="minorEastAsia" w:eastAsiaTheme="minorEastAsia"/>
        </w:rPr>
        <w:t>”</w:t>
      </w:r>
      <w:r>
        <w:rPr>
          <w:rFonts w:hint="eastAsia" w:asciiTheme="minorEastAsia" w:hAnsiTheme="minorEastAsia" w:eastAsiaTheme="minorEastAsia"/>
        </w:rPr>
        <w:t>（</w:t>
      </w:r>
      <w:r>
        <w:rPr>
          <w:rFonts w:cs="Times New Roman"/>
        </w:rPr>
        <w:t>16.98%</w:t>
      </w:r>
      <w:r>
        <w:rPr>
          <w:rFonts w:hint="eastAsia"/>
        </w:rPr>
        <w:t>）。</w:t>
      </w:r>
    </w:p>
    <w:p>
      <w:pPr>
        <w:pStyle w:val="131"/>
        <w:ind w:firstLine="0" w:firstLineChars="0"/>
        <w:jc w:val="center"/>
      </w:pPr>
      <w:r>
        <w:drawing>
          <wp:inline distT="0" distB="0" distL="0" distR="0">
            <wp:extent cx="4514850" cy="156210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5</w:t>
      </w:r>
      <w:r>
        <w:fldChar w:fldCharType="end"/>
      </w:r>
      <w:r>
        <w:rPr>
          <w:rFonts w:hint="eastAsia"/>
        </w:rPr>
        <w:t xml:space="preserve">  2017届</w:t>
      </w:r>
      <w:r>
        <w:t>毕业生</w:t>
      </w:r>
      <w:r>
        <w:rPr>
          <w:rFonts w:hint="eastAsia"/>
        </w:rPr>
        <w:t>从事专业</w:t>
      </w:r>
      <w:r>
        <w:t>不相关工作的原因</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3"/>
        <w:spacing w:before="163" w:after="163"/>
      </w:pPr>
      <w:bookmarkStart w:id="93" w:name="_Toc521402037"/>
      <w:bookmarkStart w:id="94" w:name="_Toc443997330"/>
      <w:bookmarkStart w:id="95" w:name="_Toc443998761"/>
      <w:bookmarkStart w:id="96" w:name="_Toc443997634"/>
      <w:r>
        <w:rPr>
          <w:rFonts w:hint="eastAsia"/>
        </w:rPr>
        <w:t>三</w:t>
      </w:r>
      <w:r>
        <w:t>、</w:t>
      </w:r>
      <w:r>
        <w:rPr>
          <w:rFonts w:hint="eastAsia"/>
        </w:rPr>
        <w:t>职业</w:t>
      </w:r>
      <w:r>
        <w:t>期待吻合度</w:t>
      </w:r>
      <w:bookmarkEnd w:id="93"/>
    </w:p>
    <w:p>
      <w:pPr>
        <w:pStyle w:val="131"/>
        <w:ind w:firstLine="420" w:firstLineChars="0"/>
      </w:pPr>
      <w:r>
        <w:t>2017</w:t>
      </w:r>
      <w:r>
        <w:rPr>
          <w:rFonts w:hint="eastAsia"/>
        </w:rPr>
        <w:t>届</w:t>
      </w:r>
      <w:r>
        <w:t>毕业生</w:t>
      </w:r>
      <w:r>
        <w:rPr>
          <w:rFonts w:hint="eastAsia"/>
        </w:rPr>
        <w:t>目前</w:t>
      </w:r>
      <w:r>
        <w:t>所</w:t>
      </w:r>
      <w:r>
        <w:rPr>
          <w:rFonts w:hint="eastAsia"/>
        </w:rPr>
        <w:t>从事</w:t>
      </w:r>
      <w:r>
        <w:t>的工作与自身职业期待</w:t>
      </w:r>
      <w:r>
        <w:rPr>
          <w:rFonts w:hint="eastAsia"/>
        </w:rPr>
        <w:t>的</w:t>
      </w:r>
      <w:r>
        <w:t>吻合度</w:t>
      </w:r>
      <w:r>
        <w:rPr>
          <w:rFonts w:hint="eastAsia"/>
        </w:rPr>
        <w:t>为</w:t>
      </w:r>
      <w:r>
        <w:t>93.75%</w:t>
      </w:r>
      <w:r>
        <w:rPr>
          <w:rFonts w:hint="eastAsia"/>
        </w:rPr>
        <w:t>，</w:t>
      </w:r>
      <w:r>
        <w:t>其中</w:t>
      </w:r>
      <w:r>
        <w:rPr>
          <w:rFonts w:ascii="宋体" w:hAnsi="宋体"/>
        </w:rPr>
        <w:t>“</w:t>
      </w:r>
      <w:r>
        <w:rPr>
          <w:rFonts w:hint="eastAsia" w:asciiTheme="minorEastAsia" w:hAnsiTheme="minorEastAsia" w:eastAsiaTheme="minorEastAsia"/>
        </w:rPr>
        <w:t>很符合</w:t>
      </w:r>
      <w:r>
        <w:rPr>
          <w:rFonts w:ascii="宋体" w:hAnsi="宋体"/>
        </w:rPr>
        <w:t>”</w:t>
      </w:r>
      <w:r>
        <w:rPr>
          <w:rFonts w:hint="eastAsia" w:asciiTheme="minorEastAsia" w:hAnsiTheme="minorEastAsia" w:eastAsiaTheme="minorEastAsia"/>
        </w:rPr>
        <w:t>所占比例</w:t>
      </w:r>
      <w:r>
        <w:rPr>
          <w:rFonts w:asciiTheme="minorEastAsia" w:hAnsiTheme="minorEastAsia" w:eastAsiaTheme="minorEastAsia"/>
        </w:rPr>
        <w:t>为</w:t>
      </w:r>
      <w:r>
        <w:t>36.91%</w:t>
      </w:r>
      <w:r>
        <w:rPr>
          <w:rFonts w:hint="eastAsia" w:asciiTheme="minorEastAsia" w:hAnsiTheme="minorEastAsia" w:eastAsiaTheme="minorEastAsia"/>
        </w:rPr>
        <w:t>，</w:t>
      </w:r>
      <w:r>
        <w:rPr>
          <w:rFonts w:ascii="宋体" w:hAnsi="宋体"/>
        </w:rPr>
        <w:t>“</w:t>
      </w:r>
      <w:r>
        <w:rPr>
          <w:rFonts w:hint="eastAsia" w:asciiTheme="minorEastAsia" w:hAnsiTheme="minorEastAsia" w:eastAsiaTheme="minorEastAsia"/>
        </w:rPr>
        <w:t>比较</w:t>
      </w:r>
      <w:r>
        <w:rPr>
          <w:rFonts w:asciiTheme="minorEastAsia" w:hAnsiTheme="minorEastAsia" w:eastAsiaTheme="minorEastAsia"/>
        </w:rPr>
        <w:t>符合</w:t>
      </w:r>
      <w:r>
        <w:rPr>
          <w:rFonts w:ascii="宋体" w:hAnsi="宋体"/>
        </w:rPr>
        <w:t>”</w:t>
      </w:r>
      <w:r>
        <w:rPr>
          <w:rFonts w:hint="eastAsia" w:asciiTheme="minorEastAsia" w:hAnsiTheme="minorEastAsia" w:eastAsiaTheme="minorEastAsia"/>
        </w:rPr>
        <w:t>所占比例</w:t>
      </w:r>
      <w:r>
        <w:rPr>
          <w:rFonts w:asciiTheme="minorEastAsia" w:hAnsiTheme="minorEastAsia" w:eastAsiaTheme="minorEastAsia"/>
        </w:rPr>
        <w:t>为</w:t>
      </w:r>
      <w:r>
        <w:t>31.64%</w:t>
      </w:r>
      <w:r>
        <w:rPr>
          <w:rFonts w:hint="eastAsia"/>
        </w:rPr>
        <w:t>；可见</w:t>
      </w:r>
      <w:r>
        <w:t>目前已落实的工作</w:t>
      </w:r>
      <w:r>
        <w:rPr>
          <w:rFonts w:hint="eastAsia"/>
        </w:rPr>
        <w:t>整体</w:t>
      </w:r>
      <w:r>
        <w:t>比较符合</w:t>
      </w:r>
      <w:r>
        <w:rPr>
          <w:rFonts w:hint="eastAsia"/>
        </w:rPr>
        <w:t>自身</w:t>
      </w:r>
      <w:r>
        <w:t>的就业期望</w:t>
      </w:r>
      <w:r>
        <w:rPr>
          <w:rFonts w:hint="eastAsia"/>
        </w:rPr>
        <w:t>。</w:t>
      </w:r>
    </w:p>
    <w:p>
      <w:pPr>
        <w:pStyle w:val="131"/>
        <w:jc w:val="center"/>
      </w:pPr>
      <w:r>
        <w:drawing>
          <wp:inline distT="0" distB="0" distL="0" distR="0">
            <wp:extent cx="2695575" cy="1609725"/>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6</w:t>
      </w:r>
      <w:r>
        <w:fldChar w:fldCharType="end"/>
      </w:r>
      <w:r>
        <w:rPr>
          <w:rFonts w:hint="eastAsia"/>
        </w:rPr>
        <w:t xml:space="preserve">  2017届</w:t>
      </w:r>
      <w:r>
        <w:t>毕业生职业期待吻合度</w:t>
      </w:r>
      <w:r>
        <w:rPr>
          <w:rFonts w:hint="eastAsia"/>
        </w:rPr>
        <w:t>分布</w:t>
      </w:r>
    </w:p>
    <w:p>
      <w:pPr>
        <w:pStyle w:val="139"/>
      </w:pPr>
      <w:r>
        <w:rPr>
          <w:rFonts w:hint="eastAsia"/>
        </w:rPr>
        <w:t>注：职业期待吻合度为选择“很符合”、“比较符合”和“一般”的人数占此题总人数的比例。</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3"/>
        <w:spacing w:before="163" w:after="163"/>
      </w:pPr>
      <w:bookmarkStart w:id="97" w:name="_Toc521402038"/>
      <w:r>
        <w:rPr>
          <w:rFonts w:hint="eastAsia"/>
        </w:rPr>
        <w:t>四</w:t>
      </w:r>
      <w:r>
        <w:t>、</w:t>
      </w:r>
      <w:r>
        <w:rPr>
          <w:rFonts w:hint="eastAsia"/>
        </w:rPr>
        <w:t>工作</w:t>
      </w:r>
      <w:r>
        <w:t>满意</w:t>
      </w:r>
      <w:r>
        <w:rPr>
          <w:rFonts w:hint="eastAsia"/>
        </w:rPr>
        <w:t>度</w:t>
      </w:r>
      <w:bookmarkEnd w:id="94"/>
      <w:bookmarkEnd w:id="95"/>
      <w:bookmarkEnd w:id="96"/>
      <w:bookmarkEnd w:id="97"/>
    </w:p>
    <w:p>
      <w:pPr>
        <w:pStyle w:val="157"/>
        <w:ind w:firstLine="480"/>
      </w:pPr>
      <w:r>
        <w:rPr>
          <w:rFonts w:hint="eastAsia"/>
        </w:rPr>
        <w:t>学校</w:t>
      </w:r>
      <w:r>
        <w:t>2017届</w:t>
      </w:r>
      <w:r>
        <w:rPr>
          <w:rFonts w:hint="eastAsia"/>
        </w:rPr>
        <w:t>毕业生对目前</w:t>
      </w:r>
      <w:r>
        <w:t>工作</w:t>
      </w:r>
      <w:r>
        <w:rPr>
          <w:rFonts w:hint="eastAsia"/>
        </w:rPr>
        <w:t>总</w:t>
      </w:r>
      <w:r>
        <w:t>的</w:t>
      </w:r>
      <w:r>
        <w:rPr>
          <w:rFonts w:hint="eastAsia"/>
        </w:rPr>
        <w:t>满意度为9</w:t>
      </w:r>
      <w:r>
        <w:t>8.6</w:t>
      </w:r>
      <w:r>
        <w:rPr>
          <w:rFonts w:hint="eastAsia"/>
        </w:rPr>
        <w:t>3</w:t>
      </w:r>
      <w:r>
        <w:t>%，</w:t>
      </w:r>
      <w:r>
        <w:rPr>
          <w:rFonts w:hint="eastAsia"/>
        </w:rPr>
        <w:t>处于</w:t>
      </w:r>
      <w:r>
        <w:t>较高水平；其中对</w:t>
      </w:r>
      <w:r>
        <w:rPr>
          <w:rFonts w:hint="eastAsia"/>
        </w:rPr>
        <w:t>工作</w:t>
      </w:r>
      <w:r>
        <w:t>内容的满意度</w:t>
      </w:r>
      <w:r>
        <w:rPr>
          <w:rFonts w:hint="eastAsia"/>
        </w:rPr>
        <w:t>最高</w:t>
      </w:r>
      <w:r>
        <w:t>，为</w:t>
      </w:r>
      <w:r>
        <w:rPr>
          <w:rFonts w:hint="eastAsia"/>
        </w:rPr>
        <w:t>9</w:t>
      </w:r>
      <w:r>
        <w:t>8.44%。</w:t>
      </w:r>
      <w:r>
        <w:rPr>
          <w:rFonts w:hint="eastAsia"/>
        </w:rPr>
        <w:t>从均值来看</w:t>
      </w:r>
      <w:r>
        <w:t>，</w:t>
      </w:r>
      <w:r>
        <w:rPr>
          <w:rFonts w:hint="eastAsia"/>
        </w:rPr>
        <w:t>除薪酬满意度方面的均值为3</w:t>
      </w:r>
      <w:r>
        <w:t>.41</w:t>
      </w:r>
      <w:r>
        <w:rPr>
          <w:rFonts w:hint="eastAsia"/>
        </w:rPr>
        <w:t>分，其余方面的均值均处于3.</w:t>
      </w:r>
      <w:r>
        <w:t>82</w:t>
      </w:r>
      <w:r>
        <w:rPr>
          <w:rFonts w:hint="eastAsia"/>
        </w:rPr>
        <w:t>分</w:t>
      </w:r>
      <w:r>
        <w:t>及以上（</w:t>
      </w:r>
      <w:r>
        <w:rPr>
          <w:rFonts w:hint="eastAsia"/>
        </w:rPr>
        <w:t>5分制</w:t>
      </w:r>
      <w:r>
        <w:t>）</w:t>
      </w:r>
      <w:r>
        <w:rPr>
          <w:rFonts w:hint="eastAsia"/>
        </w:rPr>
        <w:t>，偏向“比较</w:t>
      </w:r>
      <w:r>
        <w:t>满意</w:t>
      </w:r>
      <w:r>
        <w:rPr>
          <w:rFonts w:hint="eastAsia"/>
        </w:rPr>
        <w:t>”水平</w:t>
      </w:r>
      <w:r>
        <w:t>；</w:t>
      </w:r>
      <w:r>
        <w:rPr>
          <w:rFonts w:hint="eastAsia"/>
        </w:rPr>
        <w:t>可见毕业生</w:t>
      </w:r>
      <w:r>
        <w:t>对初入</w:t>
      </w:r>
      <w:r>
        <w:rPr>
          <w:rFonts w:hint="eastAsia"/>
        </w:rPr>
        <w:t>职场的</w:t>
      </w:r>
      <w:r>
        <w:t>岗位</w:t>
      </w:r>
      <w:r>
        <w:rPr>
          <w:rFonts w:hint="eastAsia"/>
        </w:rPr>
        <w:t>和</w:t>
      </w:r>
      <w:r>
        <w:t>工作内容</w:t>
      </w:r>
      <w:r>
        <w:rPr>
          <w:rFonts w:hint="eastAsia"/>
        </w:rPr>
        <w:t>等</w:t>
      </w:r>
      <w:r>
        <w:t>方面</w:t>
      </w:r>
      <w:r>
        <w:rPr>
          <w:rFonts w:hint="eastAsia"/>
        </w:rPr>
        <w:t>均比较</w:t>
      </w:r>
      <w:r>
        <w:t>认同</w:t>
      </w:r>
      <w:r>
        <w:rPr>
          <w:rFonts w:hint="eastAsia"/>
        </w:rPr>
        <w:t>。</w:t>
      </w:r>
    </w:p>
    <w:p>
      <w:pPr>
        <w:pStyle w:val="157"/>
        <w:ind w:firstLine="0" w:firstLineChars="0"/>
      </w:pPr>
      <w:r>
        <w:drawing>
          <wp:inline distT="0" distB="0" distL="0" distR="0">
            <wp:extent cx="5403215" cy="2052955"/>
            <wp:effectExtent l="0" t="0" r="6985" b="4445"/>
            <wp:docPr id="456" name="图表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137"/>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7</w:t>
      </w:r>
      <w:r>
        <w:fldChar w:fldCharType="end"/>
      </w:r>
      <w:r>
        <w:t xml:space="preserve">  2017届毕业生对工作满意度的评价</w:t>
      </w:r>
    </w:p>
    <w:p>
      <w:pPr>
        <w:pStyle w:val="139"/>
      </w:pPr>
      <w:r>
        <w:rPr>
          <w:rFonts w:hint="eastAsia"/>
        </w:rPr>
        <w:t>注：评价维度包括“很不满意、比较不满意、一般、比较满意和很满意”；其中，满意度为选择“很满意”、“比较满意”和“一般”的人数占此题总人数的比例。另外针对毕业生的反馈分别赋予</w:t>
      </w:r>
      <w:r>
        <w:rPr>
          <w:rFonts w:hint="eastAsia" w:ascii="Times New Roman" w:hAnsi="Times New Roman"/>
        </w:rPr>
        <w:t>1</w:t>
      </w:r>
      <w:r>
        <w:rPr>
          <w:rFonts w:hint="eastAsia"/>
        </w:rPr>
        <w:t>-</w:t>
      </w:r>
      <w:r>
        <w:rPr>
          <w:rFonts w:hint="eastAsia" w:ascii="Times New Roman" w:hAnsi="Times New Roman"/>
        </w:rPr>
        <w:t>5</w:t>
      </w:r>
      <w:r>
        <w:rPr>
          <w:rFonts w:hint="eastAsia"/>
        </w:rPr>
        <w:t>分（“很满意”=</w:t>
      </w:r>
      <w:r>
        <w:rPr>
          <w:rFonts w:hint="eastAsia" w:ascii="Times New Roman" w:hAnsi="Times New Roman"/>
        </w:rPr>
        <w:t>5</w:t>
      </w:r>
      <w:r>
        <w:rPr>
          <w:rFonts w:hint="eastAsia"/>
        </w:rPr>
        <w:t>分，“很不满意”=</w:t>
      </w:r>
      <w:r>
        <w:rPr>
          <w:rFonts w:hint="eastAsia" w:ascii="Times New Roman" w:hAnsi="Times New Roman"/>
        </w:rPr>
        <w:t>1</w:t>
      </w:r>
      <w:r>
        <w:rPr>
          <w:rFonts w:hint="eastAsia"/>
        </w:rPr>
        <w:t>分），计算其均值。</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bookmarkEnd w:id="73"/>
    <w:p>
      <w:pPr>
        <w:pStyle w:val="146"/>
        <w:spacing w:before="163" w:after="326"/>
      </w:pPr>
      <w:bookmarkStart w:id="98" w:name="_Toc443998763"/>
      <w:bookmarkStart w:id="99" w:name="_Toc443997636"/>
      <w:bookmarkStart w:id="100" w:name="_Toc521402039"/>
      <w:bookmarkStart w:id="101" w:name="_Toc443997332"/>
      <w:r>
        <w:rPr>
          <w:rFonts w:hint="eastAsia"/>
        </w:rPr>
        <w:t>第四篇</w:t>
      </w:r>
      <w:r>
        <w:t>：就业</w:t>
      </w:r>
      <w:r>
        <w:rPr>
          <w:rFonts w:hint="eastAsia"/>
        </w:rPr>
        <w:t>发展趋势</w:t>
      </w:r>
      <w:r>
        <w:t>分析</w:t>
      </w:r>
      <w:bookmarkEnd w:id="98"/>
      <w:bookmarkEnd w:id="99"/>
      <w:bookmarkEnd w:id="100"/>
      <w:bookmarkEnd w:id="101"/>
    </w:p>
    <w:p>
      <w:pPr>
        <w:pStyle w:val="133"/>
        <w:spacing w:before="0" w:beforeLines="0" w:after="0" w:afterLines="0" w:line="240" w:lineRule="auto"/>
      </w:pPr>
      <w:bookmarkStart w:id="102" w:name="_Toc430613454"/>
      <w:bookmarkStart w:id="103" w:name="_Toc437372066"/>
      <w:bookmarkStart w:id="104" w:name="_Toc437444210"/>
      <w:bookmarkStart w:id="105" w:name="_Toc443997333"/>
      <w:bookmarkStart w:id="106" w:name="_Toc443997637"/>
      <w:bookmarkStart w:id="107" w:name="_Toc443998764"/>
      <w:bookmarkStart w:id="108" w:name="_Toc521402040"/>
      <w:bookmarkStart w:id="109" w:name="_Toc407018000"/>
      <w:bookmarkStart w:id="110" w:name="_Toc407021840"/>
      <w:r>
        <w:rPr>
          <w:rFonts w:hint="eastAsia"/>
        </w:rPr>
        <w:t>一、毕业生就业率</w:t>
      </w:r>
      <w:bookmarkEnd w:id="102"/>
      <w:bookmarkEnd w:id="103"/>
      <w:bookmarkEnd w:id="104"/>
      <w:bookmarkEnd w:id="105"/>
      <w:bookmarkEnd w:id="106"/>
      <w:bookmarkEnd w:id="107"/>
      <w:r>
        <w:rPr>
          <w:rFonts w:hint="eastAsia"/>
        </w:rPr>
        <w:t>保持较高水平</w:t>
      </w:r>
      <w:bookmarkEnd w:id="108"/>
    </w:p>
    <w:p>
      <w:pPr>
        <w:pStyle w:val="131"/>
        <w:spacing w:line="480" w:lineRule="exact"/>
        <w:rPr>
          <w:rStyle w:val="38"/>
          <w:rFonts w:asciiTheme="minorEastAsia" w:hAnsiTheme="minorEastAsia" w:eastAsiaTheme="minorEastAsia"/>
        </w:rPr>
      </w:pPr>
      <w:r>
        <w:rPr>
          <w:rFonts w:hint="eastAsia"/>
          <w:caps/>
        </w:rPr>
        <w:t>学校历来重视毕业生的就业工作，将实现毕业生的充分就业和高质量就业作为工作重心。如下图所示</w:t>
      </w:r>
      <w:r>
        <w:rPr>
          <w:caps/>
        </w:rPr>
        <w:t>，</w:t>
      </w:r>
      <w:r>
        <w:rPr>
          <w:rFonts w:hint="eastAsia"/>
        </w:rPr>
        <w:t>近三届毕业生的就业情况</w:t>
      </w:r>
      <w:r>
        <w:t>良好</w:t>
      </w:r>
      <w:r>
        <w:rPr>
          <w:rFonts w:hint="eastAsia"/>
        </w:rPr>
        <w:t>，就业率</w:t>
      </w:r>
      <w:r>
        <w:t>始终保持在</w:t>
      </w:r>
      <w:r>
        <w:rPr>
          <w:rFonts w:cs="宋体"/>
          <w:color w:val="000000" w:themeColor="text1"/>
          <w:szCs w:val="21"/>
          <w14:textFill>
            <w14:solidFill>
              <w14:schemeClr w14:val="tx1"/>
            </w14:solidFill>
          </w14:textFill>
        </w:rPr>
        <w:t>93.00</w:t>
      </w:r>
      <w:r>
        <w:rPr>
          <w:rFonts w:hint="eastAsia" w:cs="宋体"/>
          <w:color w:val="000000" w:themeColor="text1"/>
          <w:szCs w:val="21"/>
          <w14:textFill>
            <w14:solidFill>
              <w14:schemeClr w14:val="tx1"/>
            </w14:solidFill>
          </w14:textFill>
        </w:rPr>
        <w:t>%</w:t>
      </w:r>
      <w:r>
        <w:rPr>
          <w:rFonts w:hint="eastAsia"/>
        </w:rPr>
        <w:t>以上，2</w:t>
      </w:r>
      <w:r>
        <w:t>017</w:t>
      </w:r>
      <w:r>
        <w:rPr>
          <w:rFonts w:hint="eastAsia"/>
        </w:rPr>
        <w:t>届毕业生就业率较2</w:t>
      </w:r>
      <w:r>
        <w:t>015</w:t>
      </w:r>
      <w:r>
        <w:rPr>
          <w:rFonts w:hint="eastAsia"/>
        </w:rPr>
        <w:t>届、2</w:t>
      </w:r>
      <w:r>
        <w:t>016</w:t>
      </w:r>
      <w:r>
        <w:rPr>
          <w:rFonts w:hint="eastAsia"/>
        </w:rPr>
        <w:t>届同期分别增加3</w:t>
      </w:r>
      <w:r>
        <w:t>.48</w:t>
      </w:r>
      <w:r>
        <w:rPr>
          <w:rFonts w:hint="eastAsia"/>
        </w:rPr>
        <w:t>、</w:t>
      </w:r>
      <w:r>
        <w:t>1.90</w:t>
      </w:r>
      <w:r>
        <w:rPr>
          <w:rFonts w:hint="eastAsia"/>
        </w:rPr>
        <w:t>个百分点</w:t>
      </w:r>
      <w:r>
        <w:t>。</w:t>
      </w:r>
      <w:r>
        <w:rPr>
          <w:rFonts w:hint="eastAsia"/>
        </w:rPr>
        <w:t>表明学校</w:t>
      </w:r>
      <w:r>
        <w:t>近年来就业相关工作取得一定成果保障了毕业生</w:t>
      </w:r>
      <w:r>
        <w:rPr>
          <w:rFonts w:hint="eastAsia"/>
        </w:rPr>
        <w:t>的</w:t>
      </w:r>
      <w:r>
        <w:t>顺利就业。</w:t>
      </w:r>
    </w:p>
    <w:p>
      <w:pPr>
        <w:pStyle w:val="48"/>
        <w:spacing w:beforeLines="0" w:after="0" w:afterLines="0"/>
        <w:ind w:firstLine="0" w:firstLineChars="0"/>
        <w:jc w:val="center"/>
        <w:rPr>
          <w:rFonts w:ascii="Times New Roman" w:hAnsi="Times New Roman"/>
        </w:rPr>
      </w:pPr>
      <w:r>
        <w:rPr>
          <w:rFonts w:hint="eastAsia" w:cs="Times New Roman"/>
        </w:rPr>
        <w:drawing>
          <wp:inline distT="0" distB="0" distL="0" distR="0">
            <wp:extent cx="4552950" cy="1863090"/>
            <wp:effectExtent l="0" t="0" r="0" b="3810"/>
            <wp:docPr id="453" name="图表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137"/>
      </w:pPr>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1</w:t>
      </w:r>
      <w:r>
        <w:fldChar w:fldCharType="end"/>
      </w:r>
      <w:r>
        <w:rPr>
          <w:rFonts w:hint="eastAsia"/>
        </w:rPr>
        <w:t xml:space="preserve">  </w:t>
      </w:r>
      <w:r>
        <w:t>2015-2017届毕业生就业率</w:t>
      </w:r>
      <w:r>
        <w:rPr>
          <w:rFonts w:hint="eastAsia"/>
        </w:rPr>
        <w:t>分布</w:t>
      </w:r>
    </w:p>
    <w:p>
      <w:pPr>
        <w:pStyle w:val="139"/>
      </w:pPr>
      <w:r>
        <w:rPr>
          <w:rFonts w:hint="eastAsia"/>
        </w:rPr>
        <w:t>数据来源：江苏省高校毕业生就业管理信息系统。</w:t>
      </w:r>
    </w:p>
    <w:p>
      <w:pPr>
        <w:pStyle w:val="133"/>
        <w:spacing w:before="0" w:beforeLines="0" w:after="0" w:afterLines="0"/>
      </w:pPr>
      <w:bookmarkStart w:id="111" w:name="_Toc521402041"/>
      <w:r>
        <w:rPr>
          <w:rFonts w:hint="eastAsia"/>
        </w:rPr>
        <w:t>二、月薪</w:t>
      </w:r>
      <w:r>
        <w:t>水平</w:t>
      </w:r>
      <w:r>
        <w:rPr>
          <w:rFonts w:hint="eastAsia"/>
        </w:rPr>
        <w:t>呈较高水平</w:t>
      </w:r>
      <w:r>
        <w:t>，就业质量</w:t>
      </w:r>
      <w:r>
        <w:rPr>
          <w:rFonts w:hint="eastAsia"/>
        </w:rPr>
        <w:t>保持稳定</w:t>
      </w:r>
      <w:bookmarkEnd w:id="111"/>
    </w:p>
    <w:p>
      <w:pPr>
        <w:pStyle w:val="131"/>
        <w:spacing w:line="480" w:lineRule="exact"/>
        <w:rPr>
          <w:rFonts w:cs="Times New Roman"/>
        </w:rPr>
      </w:pPr>
      <w:r>
        <w:rPr>
          <w:rFonts w:hint="eastAsia" w:ascii="宋体" w:hAnsi="宋体"/>
        </w:rPr>
        <w:drawing>
          <wp:anchor distT="0" distB="0" distL="114300" distR="114300" simplePos="0" relativeHeight="251758592" behindDoc="0" locked="0" layoutInCell="1" allowOverlap="1">
            <wp:simplePos x="0" y="0"/>
            <wp:positionH relativeFrom="column">
              <wp:posOffset>1093470</wp:posOffset>
            </wp:positionH>
            <wp:positionV relativeFrom="paragraph">
              <wp:posOffset>789940</wp:posOffset>
            </wp:positionV>
            <wp:extent cx="3346450" cy="1768475"/>
            <wp:effectExtent l="0" t="0" r="6350" b="0"/>
            <wp:wrapNone/>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hint="eastAsia"/>
        </w:rPr>
        <w:t>依托江苏省地方经济发展和学校人才</w:t>
      </w:r>
      <w:r>
        <w:t>培养质量</w:t>
      </w:r>
      <w:r>
        <w:rPr>
          <w:rFonts w:hint="eastAsia"/>
        </w:rPr>
        <w:t>的逐步</w:t>
      </w:r>
      <w:r>
        <w:t>提高，</w:t>
      </w:r>
      <w:r>
        <w:rPr>
          <w:rFonts w:hint="eastAsia"/>
        </w:rPr>
        <w:t>学校近三届毕业生总体月均收入</w:t>
      </w:r>
      <w:r>
        <w:t>水平</w:t>
      </w:r>
      <w:r>
        <w:rPr>
          <w:rFonts w:hint="eastAsia"/>
        </w:rPr>
        <w:t>虽略有波动，但一直保持2</w:t>
      </w:r>
      <w:r>
        <w:t>700.00</w:t>
      </w:r>
      <w:r>
        <w:rPr>
          <w:rFonts w:hint="eastAsia"/>
        </w:rPr>
        <w:t>元以上；</w:t>
      </w:r>
      <w:r>
        <w:t>与</w:t>
      </w:r>
      <w:r>
        <w:rPr>
          <w:rFonts w:hint="eastAsia" w:cs="宋体" w:eastAsiaTheme="minorEastAsia"/>
          <w:color w:val="000000" w:themeColor="text1"/>
          <w:szCs w:val="21"/>
          <w14:textFill>
            <w14:solidFill>
              <w14:schemeClr w14:val="tx1"/>
            </w14:solidFill>
          </w14:textFill>
        </w:rPr>
        <w:t>201</w:t>
      </w:r>
      <w:r>
        <w:rPr>
          <w:rFonts w:cs="宋体" w:eastAsiaTheme="minorEastAsia"/>
          <w:color w:val="000000" w:themeColor="text1"/>
          <w:szCs w:val="21"/>
          <w14:textFill>
            <w14:solidFill>
              <w14:schemeClr w14:val="tx1"/>
            </w14:solidFill>
          </w14:textFill>
        </w:rPr>
        <w:t>5</w:t>
      </w:r>
      <w:r>
        <w:rPr>
          <w:rFonts w:hint="eastAsia"/>
        </w:rPr>
        <w:t>届</w:t>
      </w:r>
      <w:r>
        <w:t>相比，</w:t>
      </w:r>
      <w:r>
        <w:rPr>
          <w:rFonts w:hint="eastAsia"/>
        </w:rPr>
        <w:t>2017届毕业生</w:t>
      </w:r>
      <w:r>
        <w:t>的</w:t>
      </w:r>
      <w:r>
        <w:rPr>
          <w:rFonts w:hint="eastAsia"/>
        </w:rPr>
        <w:t>月均收入上涨</w:t>
      </w:r>
      <w:r>
        <w:rPr>
          <w:rFonts w:cs="宋体" w:eastAsiaTheme="minorEastAsia"/>
          <w:color w:val="000000" w:themeColor="text1"/>
          <w:szCs w:val="21"/>
          <w14:textFill>
            <w14:solidFill>
              <w14:schemeClr w14:val="tx1"/>
            </w14:solidFill>
          </w14:textFill>
        </w:rPr>
        <w:t>93.45</w:t>
      </w:r>
      <w:r>
        <w:rPr>
          <w:rFonts w:hint="eastAsia"/>
        </w:rPr>
        <w:t>元。</w:t>
      </w:r>
    </w:p>
    <w:p>
      <w:pPr>
        <w:pStyle w:val="137"/>
      </w:pPr>
    </w:p>
    <w:p>
      <w:pPr>
        <w:pStyle w:val="137"/>
      </w:pPr>
    </w:p>
    <w:p>
      <w:pPr>
        <w:pStyle w:val="137"/>
      </w:pPr>
    </w:p>
    <w:p>
      <w:pPr>
        <w:pStyle w:val="137"/>
        <w:jc w:val="left"/>
      </w:pPr>
    </w:p>
    <w:p>
      <w:pPr>
        <w:pStyle w:val="137"/>
        <w:jc w:val="left"/>
      </w:pPr>
    </w:p>
    <w:p>
      <w:pPr>
        <w:pStyle w:val="137"/>
      </w:pPr>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2</w:t>
      </w:r>
      <w:r>
        <w:fldChar w:fldCharType="end"/>
      </w:r>
      <w:r>
        <w:rPr>
          <w:rFonts w:hint="eastAsia"/>
        </w:rPr>
        <w:t xml:space="preserve">  201</w:t>
      </w:r>
      <w:r>
        <w:t>5-2017届毕业生</w:t>
      </w:r>
      <w:r>
        <w:rPr>
          <w:rFonts w:hint="eastAsia"/>
        </w:rPr>
        <w:t>月均</w:t>
      </w:r>
      <w:r>
        <w:t>收入分布</w:t>
      </w:r>
      <w:r>
        <w:rPr>
          <w:rFonts w:hint="eastAsia"/>
        </w:rPr>
        <w:t>（月薪单位</w:t>
      </w:r>
      <w:r>
        <w:t>：元）</w:t>
      </w:r>
    </w:p>
    <w:p>
      <w:pPr>
        <w:pStyle w:val="139"/>
      </w:pPr>
      <w:r>
        <w:rPr>
          <w:rFonts w:hint="eastAsia"/>
        </w:rPr>
        <w:t>数据来源：第三方机构新锦成-</w:t>
      </w:r>
      <w:r>
        <w:rPr>
          <w:rFonts w:hint="eastAsia" w:ascii="Times New Roman" w:hAnsi="Times New Roman"/>
        </w:rPr>
        <w:t>2017</w:t>
      </w:r>
      <w:r>
        <w:rPr>
          <w:rFonts w:hint="eastAsia"/>
        </w:rPr>
        <w:t>届毕业生就业与</w:t>
      </w:r>
      <w:r>
        <w:t>培养</w:t>
      </w:r>
      <w:r>
        <w:rPr>
          <w:rFonts w:hint="eastAsia"/>
        </w:rPr>
        <w:t>质量调查。</w:t>
      </w:r>
    </w:p>
    <w:p>
      <w:pPr>
        <w:pStyle w:val="133"/>
        <w:spacing w:before="0" w:beforeLines="0" w:after="0" w:afterLines="0" w:line="380" w:lineRule="atLeast"/>
      </w:pPr>
      <w:bookmarkStart w:id="112" w:name="_Toc521402042"/>
      <w:r>
        <w:rPr>
          <w:rFonts w:hint="eastAsia"/>
        </w:rPr>
        <w:t>三、毕业生对母校总体满意度较高</w:t>
      </w:r>
      <w:bookmarkEnd w:id="112"/>
    </w:p>
    <w:p>
      <w:pPr>
        <w:pStyle w:val="131"/>
        <w:spacing w:line="440" w:lineRule="exact"/>
      </w:pPr>
      <w:r>
        <w:rPr>
          <w:rFonts w:hint="eastAsia"/>
        </w:rPr>
        <w:t>通过对近三届毕业生对母校总体满意度的分析，可见学校得到了学生的广泛认可。2</w:t>
      </w:r>
      <w:r>
        <w:t>015</w:t>
      </w:r>
      <w:r>
        <w:rPr>
          <w:rFonts w:hint="eastAsia"/>
        </w:rPr>
        <w:t>届至2</w:t>
      </w:r>
      <w:r>
        <w:t>017</w:t>
      </w:r>
      <w:r>
        <w:rPr>
          <w:rFonts w:hint="eastAsia"/>
        </w:rPr>
        <w:t>届毕业生对母校的满意度一直保持在9</w:t>
      </w:r>
      <w:r>
        <w:t>6.00</w:t>
      </w:r>
      <w:r>
        <w:rPr>
          <w:rFonts w:hint="eastAsia"/>
        </w:rPr>
        <w:t>以上，2</w:t>
      </w:r>
      <w:r>
        <w:t>017</w:t>
      </w:r>
      <w:r>
        <w:rPr>
          <w:rFonts w:hint="eastAsia"/>
        </w:rPr>
        <w:t>届该数据达到9</w:t>
      </w:r>
      <w:r>
        <w:t>7.06%</w:t>
      </w:r>
      <w:r>
        <w:rPr>
          <w:rFonts w:hint="eastAsia"/>
        </w:rPr>
        <w:t>。</w:t>
      </w:r>
    </w:p>
    <w:p>
      <w:pPr>
        <w:pStyle w:val="131"/>
        <w:jc w:val="center"/>
      </w:pPr>
      <w:r>
        <w:drawing>
          <wp:inline distT="0" distB="0" distL="0" distR="0">
            <wp:extent cx="4359910" cy="1871345"/>
            <wp:effectExtent l="0" t="0" r="254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137"/>
      </w:pPr>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3</w:t>
      </w:r>
      <w:r>
        <w:fldChar w:fldCharType="end"/>
      </w:r>
      <w:r>
        <w:t xml:space="preserve">  2015届-2017届毕业生对母校的满意度</w:t>
      </w:r>
    </w:p>
    <w:p>
      <w:pPr>
        <w:pStyle w:val="139"/>
      </w:pPr>
      <w:r>
        <w:rPr>
          <w:rFonts w:hint="eastAsia"/>
        </w:rPr>
        <w:t>数据来源：第三方机构新锦成-</w:t>
      </w:r>
      <w:r>
        <w:rPr>
          <w:rFonts w:hint="eastAsia" w:ascii="Times New Roman" w:hAnsi="Times New Roman"/>
        </w:rPr>
        <w:t>2017</w:t>
      </w:r>
      <w:r>
        <w:rPr>
          <w:rFonts w:hint="eastAsia"/>
        </w:rPr>
        <w:t>届</w:t>
      </w:r>
      <w:r>
        <w:t>毕业生就业与培养质量调查</w:t>
      </w:r>
      <w:r>
        <w:rPr>
          <w:rFonts w:hint="eastAsia"/>
        </w:rPr>
        <w:t>。</w:t>
      </w:r>
    </w:p>
    <w:p>
      <w:pPr>
        <w:pStyle w:val="133"/>
        <w:spacing w:before="0" w:beforeLines="0" w:after="0" w:afterLines="0"/>
      </w:pPr>
      <w:bookmarkStart w:id="113" w:name="_Toc457375998"/>
      <w:bookmarkStart w:id="114" w:name="_Toc491264343"/>
      <w:bookmarkStart w:id="115" w:name="_Toc521402043"/>
      <w:bookmarkStart w:id="116" w:name="_Toc443997334"/>
      <w:bookmarkStart w:id="117" w:name="_Toc443997638"/>
      <w:bookmarkStart w:id="118" w:name="_Toc443998765"/>
      <w:r>
        <w:rPr>
          <w:rFonts w:hint="eastAsia"/>
        </w:rPr>
        <w:t>四</w:t>
      </w:r>
      <w:r>
        <w:t>、</w:t>
      </w:r>
      <w:bookmarkEnd w:id="113"/>
      <w:bookmarkEnd w:id="114"/>
      <w:r>
        <w:rPr>
          <w:rFonts w:hint="eastAsia"/>
        </w:rPr>
        <w:t>协议就业为毕业生的主要去向选择，且呈上升趋势</w:t>
      </w:r>
      <w:bookmarkEnd w:id="115"/>
    </w:p>
    <w:p>
      <w:pPr>
        <w:pStyle w:val="131"/>
        <w:spacing w:line="440" w:lineRule="exact"/>
      </w:pPr>
      <w:r>
        <w:rPr>
          <w:rFonts w:hint="eastAsia"/>
        </w:rPr>
        <w:t>协议</w:t>
      </w:r>
      <w:r>
        <w:t>就业为</w:t>
      </w:r>
      <w:r>
        <w:rPr>
          <w:rFonts w:hint="eastAsia"/>
        </w:rPr>
        <w:t>学校</w:t>
      </w:r>
      <w:r>
        <w:t>毕业生的</w:t>
      </w:r>
      <w:r>
        <w:rPr>
          <w:rFonts w:hint="eastAsia"/>
        </w:rPr>
        <w:t>主要</w:t>
      </w:r>
      <w:r>
        <w:t>去向选择</w:t>
      </w:r>
      <w:r>
        <w:rPr>
          <w:rFonts w:hint="eastAsia"/>
        </w:rPr>
        <w:t>，2017届毕业生协议就业</w:t>
      </w:r>
      <w:r>
        <w:t>人数</w:t>
      </w:r>
      <w:r>
        <w:rPr>
          <w:rFonts w:hint="eastAsia"/>
        </w:rPr>
        <w:t>占</w:t>
      </w:r>
      <w:r>
        <w:t>比</w:t>
      </w:r>
      <w:r>
        <w:rPr>
          <w:rFonts w:hint="eastAsia"/>
        </w:rPr>
        <w:t>达到</w:t>
      </w:r>
      <w:r>
        <w:t>59.27%</w:t>
      </w:r>
      <w:r>
        <w:rPr>
          <w:rFonts w:hint="eastAsia"/>
        </w:rPr>
        <w:t>，</w:t>
      </w:r>
      <w:r>
        <w:t>较</w:t>
      </w:r>
      <w:r>
        <w:rPr>
          <w:rFonts w:hint="eastAsia"/>
        </w:rPr>
        <w:t>2</w:t>
      </w:r>
      <w:r>
        <w:t>016</w:t>
      </w:r>
      <w:r>
        <w:rPr>
          <w:rFonts w:hint="eastAsia"/>
        </w:rPr>
        <w:t>届增加了</w:t>
      </w:r>
      <w:r>
        <w:t>17.10</w:t>
      </w:r>
      <w:r>
        <w:rPr>
          <w:rFonts w:hint="eastAsia"/>
        </w:rPr>
        <w:t>个</w:t>
      </w:r>
      <w:r>
        <w:t>百分点</w:t>
      </w:r>
      <w:r>
        <w:rPr>
          <w:rFonts w:hint="eastAsia"/>
        </w:rPr>
        <w:t>；这表明学校近年来的就业工作取得一定的成果，为毕业生提供了高质量的就业平台。另外，近两届毕业生中，升学比例保持在1</w:t>
      </w:r>
      <w:r>
        <w:t>2.00%</w:t>
      </w:r>
      <w:r>
        <w:rPr>
          <w:rFonts w:hint="eastAsia"/>
        </w:rPr>
        <w:t>以上；可见毕业生继续深造意愿较强，想通过提高自身的知识水平和综合能力来增加未来在就业市场中的择业资本和竞争力。</w:t>
      </w:r>
    </w:p>
    <w:p>
      <w:pPr>
        <w:pStyle w:val="163"/>
        <w:widowControl w:val="0"/>
        <w:spacing w:before="0" w:beforeLines="0" w:after="0" w:afterLines="0" w:line="240" w:lineRule="auto"/>
        <w:ind w:firstLine="480"/>
        <w:jc w:val="center"/>
        <w:outlineLvl w:val="9"/>
        <w:rPr>
          <w:rFonts w:ascii="Times New Roman" w:hAnsi="Times New Roman" w:eastAsiaTheme="minorEastAsia"/>
          <w:b w:val="0"/>
          <w:color w:val="auto"/>
          <w:sz w:val="24"/>
          <w:szCs w:val="24"/>
          <w:lang w:val="en-US"/>
        </w:rPr>
      </w:pPr>
      <w:r>
        <w:rPr>
          <w:rFonts w:hint="eastAsia" w:ascii="Times New Roman" w:hAnsi="Times New Roman" w:eastAsiaTheme="minorEastAsia"/>
          <w:b w:val="0"/>
          <w:color w:val="auto"/>
          <w:sz w:val="24"/>
          <w:szCs w:val="24"/>
          <w:lang w:val="en-US"/>
        </w:rPr>
        <w:drawing>
          <wp:inline distT="0" distB="0" distL="0" distR="0">
            <wp:extent cx="5105400" cy="1897380"/>
            <wp:effectExtent l="0" t="0" r="0" b="76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137"/>
        <w:ind w:firstLine="480"/>
        <w:rPr>
          <w:rStyle w:val="165"/>
          <w:rFonts w:ascii="Times New Roman" w:hAnsi="Times New Roman" w:cstheme="minorBidi"/>
          <w:kern w:val="0"/>
          <w:szCs w:val="24"/>
        </w:rPr>
      </w:pPr>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4</w:t>
      </w:r>
      <w:r>
        <w:fldChar w:fldCharType="end"/>
      </w:r>
      <w:r>
        <w:rPr>
          <w:rStyle w:val="165"/>
        </w:rPr>
        <w:t xml:space="preserve">  </w:t>
      </w:r>
      <w:r>
        <w:rPr>
          <w:rStyle w:val="165"/>
          <w:rFonts w:ascii="Times New Roman" w:hAnsi="Times New Roman"/>
        </w:rPr>
        <w:t>2016</w:t>
      </w:r>
      <w:r>
        <w:rPr>
          <w:rStyle w:val="165"/>
        </w:rPr>
        <w:t>-</w:t>
      </w:r>
      <w:r>
        <w:rPr>
          <w:rStyle w:val="165"/>
          <w:rFonts w:ascii="Times New Roman" w:hAnsi="Times New Roman"/>
        </w:rPr>
        <w:t>2017</w:t>
      </w:r>
      <w:r>
        <w:rPr>
          <w:rStyle w:val="165"/>
        </w:rPr>
        <w:t>届毕业生</w:t>
      </w:r>
      <w:r>
        <w:rPr>
          <w:rStyle w:val="165"/>
          <w:rFonts w:hint="eastAsia"/>
        </w:rPr>
        <w:t>毕业</w:t>
      </w:r>
      <w:r>
        <w:rPr>
          <w:rStyle w:val="165"/>
        </w:rPr>
        <w:t>去向分布</w:t>
      </w:r>
    </w:p>
    <w:p>
      <w:pPr>
        <w:pStyle w:val="139"/>
        <w:ind w:firstLine="480"/>
      </w:pPr>
      <w:r>
        <w:rPr>
          <w:rFonts w:hint="eastAsia"/>
        </w:rPr>
        <w:t>数据来源：江苏省高校毕业生就业管理信息系统。</w:t>
      </w:r>
      <w:bookmarkEnd w:id="109"/>
      <w:bookmarkEnd w:id="110"/>
      <w:bookmarkEnd w:id="116"/>
      <w:bookmarkEnd w:id="117"/>
      <w:bookmarkEnd w:id="118"/>
      <w:bookmarkStart w:id="119" w:name="_Toc443998769"/>
      <w:bookmarkStart w:id="120" w:name="_Toc443997642"/>
      <w:bookmarkStart w:id="121" w:name="_Toc443997338"/>
      <w:r>
        <w:rPr>
          <w:rFonts w:ascii="Times New Roman" w:hAnsi="Times New Roman" w:eastAsia="宋体"/>
          <w:color w:val="000000"/>
          <w:szCs w:val="24"/>
        </w:rPr>
        <w:br w:type="page"/>
      </w:r>
    </w:p>
    <w:p>
      <w:pPr>
        <w:pStyle w:val="146"/>
        <w:spacing w:before="0" w:beforeLines="0" w:after="326"/>
      </w:pPr>
      <w:bookmarkStart w:id="122" w:name="_Toc521402044"/>
      <w:r>
        <w:rPr>
          <w:rFonts w:hint="eastAsia"/>
        </w:rPr>
        <w:t>第五篇</w:t>
      </w:r>
      <w:r>
        <w:t>：</w:t>
      </w:r>
      <w:r>
        <w:rPr>
          <w:rFonts w:hint="eastAsia"/>
        </w:rPr>
        <w:t>对教育教学的反馈</w:t>
      </w:r>
      <w:bookmarkEnd w:id="119"/>
      <w:bookmarkEnd w:id="120"/>
      <w:bookmarkEnd w:id="121"/>
      <w:bookmarkEnd w:id="122"/>
      <w:bookmarkStart w:id="123" w:name="_Toc425351822"/>
    </w:p>
    <w:p>
      <w:pPr>
        <w:pStyle w:val="131"/>
      </w:pPr>
      <w:r>
        <w:rPr>
          <w:rFonts w:hint="eastAsia"/>
        </w:rPr>
        <w:t>学生对母校的教育教学评价、对学校专业结构的优化、培养方案的完善及课程设置的改进等具有重要的参考价值，因此调查了解毕业生对母校的满意度及推荐度、对教育教学的满意度、实践教学环节满意度、任课教师满意度及就业能力满足度。这些调查将为学校有关部门在教育教学改革、人才培养等方面提供数据支持。具体</w:t>
      </w:r>
      <w:r>
        <w:t>内容如下所示。</w:t>
      </w:r>
    </w:p>
    <w:p>
      <w:pPr>
        <w:pStyle w:val="133"/>
        <w:spacing w:before="163" w:after="163" w:line="240" w:lineRule="auto"/>
      </w:pPr>
      <w:bookmarkStart w:id="124" w:name="_Toc521402045"/>
      <w:r>
        <w:rPr>
          <w:rFonts w:hint="eastAsia"/>
        </w:rPr>
        <w:t>一</w:t>
      </w:r>
      <w:r>
        <w:t>、对人才培养的</w:t>
      </w:r>
      <w:r>
        <w:rPr>
          <w:rFonts w:hint="eastAsia"/>
        </w:rPr>
        <w:t>影响</w:t>
      </w:r>
      <w:bookmarkEnd w:id="124"/>
    </w:p>
    <w:p>
      <w:pPr>
        <w:pStyle w:val="135"/>
        <w:spacing w:before="163" w:after="163"/>
      </w:pPr>
      <w:bookmarkStart w:id="125" w:name="_Toc521402046"/>
      <w:r>
        <w:rPr>
          <w:rFonts w:hint="eastAsia"/>
        </w:rPr>
        <w:t>（一）</w:t>
      </w:r>
      <w:r>
        <w:t>对</w:t>
      </w:r>
      <w:r>
        <w:rPr>
          <w:rFonts w:hint="eastAsia"/>
        </w:rPr>
        <w:t>人才培养</w:t>
      </w:r>
      <w:r>
        <w:t>的评价</w:t>
      </w:r>
      <w:bookmarkEnd w:id="125"/>
    </w:p>
    <w:p>
      <w:pPr>
        <w:pStyle w:val="131"/>
        <w:ind w:firstLine="482"/>
      </w:pPr>
      <w:r>
        <w:rPr>
          <w:rFonts w:hint="eastAsia"/>
          <w:b/>
          <w:color w:val="0F6FC6" w:themeColor="accent1"/>
          <w14:textFill>
            <w14:solidFill>
              <w14:schemeClr w14:val="accent1"/>
            </w14:solidFill>
          </w14:textFill>
        </w:rPr>
        <w:t>母校的</w:t>
      </w:r>
      <w:r>
        <w:rPr>
          <w:b/>
          <w:color w:val="0F6FC6" w:themeColor="accent1"/>
          <w14:textFill>
            <w14:solidFill>
              <w14:schemeClr w14:val="accent1"/>
            </w14:solidFill>
          </w14:textFill>
        </w:rPr>
        <w:t>满意度</w:t>
      </w:r>
      <w:r>
        <w:rPr>
          <w:rFonts w:hint="eastAsia"/>
          <w:b/>
          <w:color w:val="0F6FC6" w:themeColor="accent1"/>
          <w14:textFill>
            <w14:solidFill>
              <w14:schemeClr w14:val="accent1"/>
            </w14:solidFill>
          </w14:textFill>
        </w:rPr>
        <w:t>和</w:t>
      </w:r>
      <w:r>
        <w:rPr>
          <w:b/>
          <w:color w:val="0F6FC6" w:themeColor="accent1"/>
          <w14:textFill>
            <w14:solidFill>
              <w14:schemeClr w14:val="accent1"/>
            </w14:solidFill>
          </w14:textFill>
        </w:rPr>
        <w:t>推荐度：</w:t>
      </w:r>
      <w:r>
        <w:rPr>
          <w:rFonts w:hint="eastAsia"/>
        </w:rPr>
        <w:t>2017届</w:t>
      </w:r>
      <w:r>
        <w:t>毕业生</w:t>
      </w:r>
      <w:r>
        <w:rPr>
          <w:rFonts w:hint="eastAsia"/>
        </w:rPr>
        <w:t>对</w:t>
      </w:r>
      <w:r>
        <w:t>母校</w:t>
      </w:r>
      <w:r>
        <w:rPr>
          <w:rFonts w:hint="eastAsia"/>
        </w:rPr>
        <w:t>的满意度为9</w:t>
      </w:r>
      <w:r>
        <w:t>9.4</w:t>
      </w:r>
      <w:r>
        <w:rPr>
          <w:rFonts w:hint="eastAsia"/>
        </w:rPr>
        <w:t>4</w:t>
      </w:r>
      <w:r>
        <w:t>%</w:t>
      </w:r>
      <w:r>
        <w:rPr>
          <w:rFonts w:hint="eastAsia"/>
        </w:rPr>
        <w:t>，总体</w:t>
      </w:r>
      <w:r>
        <w:t>满意度较高</w:t>
      </w:r>
      <w:r>
        <w:rPr>
          <w:rFonts w:hint="eastAsia"/>
        </w:rPr>
        <w:t>。</w:t>
      </w:r>
      <w:r>
        <w:t>75.28%</w:t>
      </w:r>
      <w:r>
        <w:rPr>
          <w:rFonts w:hint="eastAsia"/>
        </w:rPr>
        <w:t>的毕业生愿意向他人推荐自己的母校，</w:t>
      </w:r>
      <w:r>
        <w:t>20.53%的毕业生不确定是否推荐母校，</w:t>
      </w:r>
      <w:r>
        <w:rPr>
          <w:rFonts w:hint="eastAsia"/>
        </w:rPr>
        <w:t>而</w:t>
      </w:r>
      <w:r>
        <w:t>仅有4.19%的毕业生表示不愿意推荐</w:t>
      </w:r>
      <w:r>
        <w:rPr>
          <w:rFonts w:hint="eastAsia"/>
        </w:rPr>
        <w:t>母校</w:t>
      </w:r>
      <w:r>
        <w:t>。</w:t>
      </w:r>
    </w:p>
    <w:p>
      <w:pPr>
        <w:pStyle w:val="131"/>
        <w:ind w:firstLine="0" w:firstLineChars="0"/>
        <w:jc w:val="center"/>
      </w:pPr>
      <w:r>
        <w:rPr>
          <w:rFonts w:hint="eastAsia"/>
        </w:rPr>
        <w:drawing>
          <wp:inline distT="0" distB="0" distL="0" distR="0">
            <wp:extent cx="2324100" cy="200025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rPr>
        <w:t xml:space="preserve">  </w:t>
      </w:r>
      <w:r>
        <w:rPr>
          <w:rFonts w:hint="eastAsia"/>
        </w:rPr>
        <w:drawing>
          <wp:inline distT="0" distB="0" distL="0" distR="0">
            <wp:extent cx="2667000" cy="1981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37"/>
        <w:rPr>
          <w:rStyle w:val="34"/>
          <w:b/>
          <w:bCs w:val="0"/>
        </w:rPr>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1</w:t>
      </w:r>
      <w:r>
        <w:fldChar w:fldCharType="end"/>
      </w:r>
      <w:r>
        <w:rPr>
          <w:rStyle w:val="34"/>
          <w:b/>
          <w:bCs w:val="0"/>
        </w:rPr>
        <w:t xml:space="preserve">  2017届</w:t>
      </w:r>
      <w:r>
        <w:rPr>
          <w:rStyle w:val="34"/>
          <w:rFonts w:hint="eastAsia"/>
          <w:b/>
          <w:bCs w:val="0"/>
        </w:rPr>
        <w:t>毕业生对母校的</w:t>
      </w:r>
      <w:r>
        <w:rPr>
          <w:rStyle w:val="34"/>
          <w:b/>
          <w:bCs w:val="0"/>
        </w:rPr>
        <w:t>满意度</w:t>
      </w:r>
      <w:r>
        <w:rPr>
          <w:rStyle w:val="34"/>
          <w:rFonts w:hint="eastAsia"/>
          <w:b/>
          <w:bCs w:val="0"/>
        </w:rPr>
        <w:t>（左图）和</w:t>
      </w:r>
      <w:r>
        <w:rPr>
          <w:rStyle w:val="34"/>
          <w:b/>
          <w:bCs w:val="0"/>
        </w:rPr>
        <w:t>推荐度</w:t>
      </w:r>
      <w:r>
        <w:rPr>
          <w:rStyle w:val="34"/>
          <w:rFonts w:hint="eastAsia"/>
          <w:b/>
          <w:bCs w:val="0"/>
        </w:rPr>
        <w:t>（右图）</w:t>
      </w:r>
    </w:p>
    <w:p>
      <w:pPr>
        <w:pStyle w:val="139"/>
      </w:pPr>
      <w:r>
        <w:rPr>
          <w:rFonts w:hint="eastAsia"/>
        </w:rPr>
        <w:t>注：满意度为选择“很满意”、“比较满意”和“一般”的人数占此题总人数的比例；</w:t>
      </w:r>
      <w:r>
        <w:t>推荐度=“</w:t>
      </w:r>
      <w:r>
        <w:rPr>
          <w:rFonts w:hint="eastAsia"/>
        </w:rPr>
        <w:t>愿意</w:t>
      </w:r>
      <w:r>
        <w:t>”</w:t>
      </w:r>
      <w:r>
        <w:rPr>
          <w:rFonts w:hint="eastAsia"/>
        </w:rPr>
        <w:t>占比。</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ind w:firstLine="482"/>
      </w:pPr>
      <w:r>
        <w:rPr>
          <w:rFonts w:hint="eastAsia"/>
          <w:b/>
          <w:color w:val="0F6FC6" w:themeColor="accent1"/>
          <w14:textFill>
            <w14:solidFill>
              <w14:schemeClr w14:val="accent1"/>
            </w14:solidFill>
          </w14:textFill>
        </w:rPr>
        <w:t>母校</w:t>
      </w:r>
      <w:r>
        <w:rPr>
          <w:b/>
          <w:color w:val="0F6FC6" w:themeColor="accent1"/>
          <w14:textFill>
            <w14:solidFill>
              <w14:schemeClr w14:val="accent1"/>
            </w14:solidFill>
          </w14:textFill>
        </w:rPr>
        <w:t>教育教学的总体满意度：</w:t>
      </w:r>
      <w:r>
        <w:rPr>
          <w:rFonts w:hint="eastAsia"/>
        </w:rPr>
        <w:t>2017届毕业生</w:t>
      </w:r>
      <w:r>
        <w:t>对</w:t>
      </w:r>
      <w:r>
        <w:rPr>
          <w:rFonts w:hint="eastAsia"/>
        </w:rPr>
        <w:t>母校教育教学</w:t>
      </w:r>
      <w:r>
        <w:t>的总体满意度</w:t>
      </w:r>
      <w:r>
        <w:rPr>
          <w:rFonts w:hint="eastAsia"/>
        </w:rPr>
        <w:t>为</w:t>
      </w:r>
      <w:r>
        <w:t>98.88%</w:t>
      </w:r>
      <w:r>
        <w:rPr>
          <w:rFonts w:hint="eastAsia"/>
        </w:rPr>
        <w:t>，均值为</w:t>
      </w:r>
      <w:r>
        <w:t>4.34</w:t>
      </w:r>
      <w:r>
        <w:rPr>
          <w:rFonts w:hint="eastAsia"/>
        </w:rPr>
        <w:t>分（5分制），处于“比较满意”水平；体现</w:t>
      </w:r>
      <w:r>
        <w:t>了</w:t>
      </w:r>
      <w:r>
        <w:rPr>
          <w:rFonts w:hint="eastAsia"/>
        </w:rPr>
        <w:t>学校多元化人才培养机制的合理性及科学性，为毕业生更好地就业奠定了坚实的基础。</w:t>
      </w:r>
    </w:p>
    <w:p>
      <w:pPr>
        <w:pStyle w:val="137"/>
      </w:pPr>
      <w:r>
        <mc:AlternateContent>
          <mc:Choice Requires="wps">
            <w:drawing>
              <wp:anchor distT="0" distB="0" distL="114300" distR="114300" simplePos="0" relativeHeight="251746304" behindDoc="0" locked="0" layoutInCell="1" allowOverlap="1">
                <wp:simplePos x="0" y="0"/>
                <wp:positionH relativeFrom="column">
                  <wp:posOffset>2025015</wp:posOffset>
                </wp:positionH>
                <wp:positionV relativeFrom="paragraph">
                  <wp:posOffset>1042670</wp:posOffset>
                </wp:positionV>
                <wp:extent cx="1076325" cy="361950"/>
                <wp:effectExtent l="0" t="0" r="9525"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76325" cy="361950"/>
                        </a:xfrm>
                        <a:prstGeom prst="rect">
                          <a:avLst/>
                        </a:prstGeom>
                        <a:solidFill>
                          <a:srgbClr val="FFFFFF"/>
                        </a:solidFill>
                        <a:ln w="9525">
                          <a:noFill/>
                          <a:miter lim="800000"/>
                        </a:ln>
                      </wps:spPr>
                      <wps:txbx>
                        <w:txbxContent>
                          <w:p>
                            <w:pPr>
                              <w:ind w:firstLine="0" w:firstLineChars="0"/>
                              <w:rPr>
                                <w:rFonts w:ascii="Times New Roman" w:hAnsi="Times New Roman" w:cs="Times New Roman"/>
                                <w:sz w:val="20"/>
                              </w:rPr>
                            </w:pPr>
                            <w:r>
                              <w:rPr>
                                <w:rFonts w:ascii="Times New Roman" w:hAnsi="Times New Roman" w:cs="Times New Roman"/>
                                <w:sz w:val="20"/>
                              </w:rPr>
                              <w:t>均值为4.34分</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59.45pt;margin-top:82.1pt;height:28.5pt;width:84.75pt;z-index:251746304;mso-width-relative:page;mso-height-relative:page;" fillcolor="#FFFFFF" filled="t" stroked="f" coordsize="21600,21600" o:gfxdata="UEsDBAoAAAAAAIdO4kAAAAAAAAAAAAAAAAAEAAAAZHJzL1BLAwQUAAAACACHTuJAjb8JrNgAAAAL&#10;AQAADwAAAGRycy9kb3ducmV2LnhtbE2PQU7DMBBF90jcwRokNog6MSFNQ5xKIIHYtvQAk9hNIuJx&#10;FLtNe3uGFSxH/+n/N9X24kZxtnMYPGlIVwkIS603A3UaDl/vjwWIEJEMjp6shqsNsK1vbyosjV9o&#10;Z8/72AkuoVCihj7GqZQytL11GFZ+ssTZ0c8OI59zJ82MC5e7UaokyaXDgXihx8m+9bb93p+chuPn&#10;8vC8WZqPeFjvsvwVh3Xjr1rf36XJC4hoL/EPhl99VoeanRp/IhPEqOEpLTaMcpBnCgQTWVFkIBoN&#10;SqUKZF3J/z/UP1BLAwQUAAAACACHTuJA5uj2FRwCAAAEBAAADgAAAGRycy9lMm9Eb2MueG1srVPN&#10;jtMwEL4j8Q6W7zRptu1uo6arpasipOVHWngAx3EaC9sTbLfJ8gDwBpy4cOe5+hyMnWyplhsiB8uT&#10;mflm5pvPq+teK3IQ1kkwBZ1OUkqE4VBJsyvoxw/bF1eUOM9MxRQYUdAH4ej1+vmzVdfmIoMGVCUs&#10;QRDj8q4taON9myeJ443QzE2gFQadNVjNPJp2l1SWdYiuVZKl6SLpwFatBS6cw7+3g5OuI35dC+7f&#10;1bUTnqiCYm8+njaeZTiT9YrlO8vaRvKxDfYPXWgmDRY9Qd0yz8jeyr+gtOQWHNR+wkEnUNeSizgD&#10;TjNNn0xz37BWxFmQHNeeaHL/D5a/Pby3RFYFzSgxTOOKjt+/HX/8Ov78SrJAT9e6HKPuW4zz/Uvo&#10;cc1xVNfeAf/kiIFNw8xO3FgLXSNYhe1NQ2ZyljrguABSdm+gwjps7yEC9bXVgTtkgyA6runhtBrR&#10;e8JDyfRycZHNKeHou1hMl/O4u4Tlj9mtdf6VAE3CpaAWVx/R2eHO+dANyx9DQjEHSlZbqVQ07K7c&#10;KEsODGWyjV8c4EmYMqQr6HKOfYQsAyE/KkhLjzJWUhf0Kg3fmK7MSEOYfODA92U/0lpC9YCEWBhk&#10;ic8ILw3YL5R0KMmCus97ZgUl6rVBUpfT2SxoOBqz+WWGhj33lOceZjhCFdRTMlw3Pup+6PwGya9l&#10;5CVsaehk7BWlFukan0XQ8rkdo/483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b8JrNgAAAAL&#10;AQAADwAAAAAAAAABACAAAAAiAAAAZHJzL2Rvd25yZXYueG1sUEsBAhQAFAAAAAgAh07iQObo9hUc&#10;AgAABAQAAA4AAAAAAAAAAQAgAAAAJwEAAGRycy9lMm9Eb2MueG1sUEsFBgAAAAAGAAYAWQEAALUF&#10;AAAAAA==&#10;">
                <v:fill on="t" focussize="0,0"/>
                <v:stroke on="f" miterlimit="8" joinstyle="miter"/>
                <v:imagedata o:title=""/>
                <o:lock v:ext="edit" aspectratio="f"/>
                <v:textbox>
                  <w:txbxContent>
                    <w:p>
                      <w:pPr>
                        <w:ind w:firstLine="0" w:firstLineChars="0"/>
                        <w:rPr>
                          <w:rFonts w:ascii="Times New Roman" w:hAnsi="Times New Roman" w:cs="Times New Roman"/>
                          <w:sz w:val="20"/>
                        </w:rPr>
                      </w:pPr>
                      <w:r>
                        <w:rPr>
                          <w:rFonts w:ascii="Times New Roman" w:hAnsi="Times New Roman" w:cs="Times New Roman"/>
                          <w:sz w:val="20"/>
                        </w:rPr>
                        <w:t>均值为4.34分</w:t>
                      </w:r>
                    </w:p>
                  </w:txbxContent>
                </v:textbox>
              </v:shape>
            </w:pict>
          </mc:Fallback>
        </mc:AlternateContent>
      </w:r>
      <w:r>
        <w:drawing>
          <wp:inline distT="0" distB="0" distL="0" distR="0">
            <wp:extent cx="5153025" cy="184785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37"/>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2</w:t>
      </w:r>
      <w:r>
        <w:fldChar w:fldCharType="end"/>
      </w:r>
      <w:r>
        <w:rPr>
          <w:rFonts w:hint="eastAsia"/>
        </w:rPr>
        <w:t xml:space="preserve">  </w:t>
      </w:r>
      <w:r>
        <w:t>2017届毕业生对教育教学的满意度</w:t>
      </w:r>
    </w:p>
    <w:p>
      <w:pPr>
        <w:pStyle w:val="139"/>
      </w:pPr>
      <w:r>
        <w:rPr>
          <w:rFonts w:hint="eastAsia"/>
        </w:rPr>
        <w:t>注：满意度为选择“很满意”、“比较满意”和“一般”的人数占此题总人数的比例。另外针对毕业生的反馈分别赋予</w:t>
      </w:r>
      <w:r>
        <w:rPr>
          <w:rFonts w:hint="eastAsia" w:ascii="Times New Roman" w:hAnsi="Times New Roman"/>
        </w:rPr>
        <w:t>1</w:t>
      </w:r>
      <w:r>
        <w:rPr>
          <w:rFonts w:hint="eastAsia"/>
        </w:rPr>
        <w:t>-</w:t>
      </w:r>
      <w:r>
        <w:rPr>
          <w:rFonts w:hint="eastAsia" w:ascii="Times New Roman" w:hAnsi="Times New Roman"/>
        </w:rPr>
        <w:t>5</w:t>
      </w:r>
      <w:r>
        <w:rPr>
          <w:rFonts w:hint="eastAsia"/>
        </w:rPr>
        <w:t>分（“很满意”=</w:t>
      </w:r>
      <w:r>
        <w:rPr>
          <w:rFonts w:hint="eastAsia" w:ascii="Times New Roman" w:hAnsi="Times New Roman"/>
        </w:rPr>
        <w:t>5</w:t>
      </w:r>
      <w:r>
        <w:rPr>
          <w:rFonts w:hint="eastAsia"/>
        </w:rPr>
        <w:t>分，“很不满意”=</w:t>
      </w:r>
      <w:r>
        <w:rPr>
          <w:rFonts w:hint="eastAsia" w:ascii="Times New Roman" w:hAnsi="Times New Roman"/>
        </w:rPr>
        <w:t>1</w:t>
      </w:r>
      <w:r>
        <w:rPr>
          <w:rFonts w:hint="eastAsia"/>
        </w:rPr>
        <w:t>分），计算其均值。</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ind w:firstLine="482"/>
        <w:rPr>
          <w:rFonts w:ascii="宋体" w:hAnsi="宋体"/>
        </w:rPr>
      </w:pPr>
      <w:r>
        <w:rPr>
          <w:rFonts w:hint="eastAsia"/>
          <w:b/>
          <w:color w:val="0F6FC6" w:themeColor="accent1"/>
          <w14:textFill>
            <w14:solidFill>
              <w14:schemeClr w14:val="accent1"/>
            </w14:solidFill>
          </w14:textFill>
        </w:rPr>
        <w:t>实践教学满意度：</w:t>
      </w:r>
      <w:r>
        <w:rPr>
          <w:rFonts w:hint="eastAsia"/>
        </w:rPr>
        <w:t>2017届毕业生对母校实践教学环节的满意度评价相对较高，</w:t>
      </w:r>
      <w:r>
        <w:t>98.32%</w:t>
      </w:r>
      <w:r>
        <w:rPr>
          <w:rFonts w:hint="eastAsia"/>
        </w:rPr>
        <w:t>的毕业生均认为母校实践教学环节的满意度</w:t>
      </w:r>
      <w:r>
        <w:t>评价</w:t>
      </w:r>
      <w:r>
        <w:rPr>
          <w:rFonts w:hint="eastAsia"/>
        </w:rPr>
        <w:t>处于</w:t>
      </w:r>
      <w:r>
        <w:t>一般及以上水平</w:t>
      </w:r>
      <w:r>
        <w:rPr>
          <w:rFonts w:hint="eastAsia"/>
        </w:rPr>
        <w:t>，</w:t>
      </w:r>
      <w:r>
        <w:t>均值为4.29</w:t>
      </w:r>
      <w:r>
        <w:rPr>
          <w:rFonts w:hint="eastAsia"/>
        </w:rPr>
        <w:t>分</w:t>
      </w:r>
      <w:r>
        <w:t>（</w:t>
      </w:r>
      <w:r>
        <w:rPr>
          <w:rFonts w:hint="eastAsia"/>
        </w:rPr>
        <w:t>5分制</w:t>
      </w:r>
      <w:r>
        <w:t>）</w:t>
      </w:r>
      <w:r>
        <w:rPr>
          <w:rFonts w:hint="eastAsia"/>
        </w:rPr>
        <w:t>，处于</w:t>
      </w:r>
      <w:r>
        <w:rPr>
          <w:rFonts w:asciiTheme="minorEastAsia" w:hAnsiTheme="minorEastAsia" w:eastAsiaTheme="minorEastAsia"/>
        </w:rPr>
        <w:t>“</w:t>
      </w:r>
      <w:r>
        <w:rPr>
          <w:rFonts w:hint="eastAsia" w:asciiTheme="minorEastAsia" w:hAnsiTheme="minorEastAsia" w:eastAsiaTheme="minorEastAsia"/>
        </w:rPr>
        <w:t>比较</w:t>
      </w:r>
      <w:r>
        <w:rPr>
          <w:rFonts w:asciiTheme="minorEastAsia" w:hAnsiTheme="minorEastAsia" w:eastAsiaTheme="minorEastAsia"/>
        </w:rPr>
        <w:t>满意”</w:t>
      </w:r>
      <w:r>
        <w:rPr>
          <w:rFonts w:hint="eastAsia"/>
        </w:rPr>
        <w:t>水平。</w:t>
      </w:r>
      <w:r>
        <w:rPr>
          <w:rFonts w:ascii="宋体" w:hAnsi="宋体"/>
        </w:rPr>
        <w:t>可见</w:t>
      </w:r>
      <w:r>
        <w:rPr>
          <w:rFonts w:hint="eastAsia" w:ascii="宋体" w:hAnsi="宋体"/>
        </w:rPr>
        <w:t>学校实践</w:t>
      </w:r>
      <w:r>
        <w:rPr>
          <w:rFonts w:ascii="宋体" w:hAnsi="宋体"/>
        </w:rPr>
        <w:t>教学</w:t>
      </w:r>
      <w:r>
        <w:rPr>
          <w:rFonts w:hint="eastAsia" w:ascii="宋体" w:hAnsi="宋体"/>
        </w:rPr>
        <w:t>内容</w:t>
      </w:r>
      <w:r>
        <w:rPr>
          <w:rFonts w:ascii="宋体" w:hAnsi="宋体"/>
        </w:rPr>
        <w:t>、</w:t>
      </w:r>
      <w:r>
        <w:rPr>
          <w:rFonts w:hint="eastAsia" w:ascii="宋体" w:hAnsi="宋体"/>
        </w:rPr>
        <w:t>实践基地、</w:t>
      </w:r>
      <w:r>
        <w:rPr>
          <w:rFonts w:ascii="宋体" w:hAnsi="宋体"/>
        </w:rPr>
        <w:t>实习内容等方面</w:t>
      </w:r>
      <w:r>
        <w:rPr>
          <w:rFonts w:hint="eastAsia" w:ascii="宋体" w:hAnsi="宋体"/>
        </w:rPr>
        <w:t>均得到了</w:t>
      </w:r>
      <w:r>
        <w:rPr>
          <w:rFonts w:ascii="宋体" w:hAnsi="宋体"/>
        </w:rPr>
        <w:t>毕业生的</w:t>
      </w:r>
      <w:r>
        <w:rPr>
          <w:rFonts w:hint="eastAsia" w:ascii="宋体" w:hAnsi="宋体"/>
        </w:rPr>
        <w:t>广泛</w:t>
      </w:r>
      <w:r>
        <w:rPr>
          <w:rFonts w:ascii="宋体" w:hAnsi="宋体"/>
        </w:rPr>
        <w:t>认可</w:t>
      </w:r>
      <w:r>
        <w:rPr>
          <w:rFonts w:hint="eastAsia" w:ascii="宋体" w:hAnsi="宋体"/>
        </w:rPr>
        <w:t>。</w:t>
      </w:r>
    </w:p>
    <w:p>
      <w:pPr>
        <w:pStyle w:val="131"/>
      </w:pPr>
      <w:r>
        <mc:AlternateContent>
          <mc:Choice Requires="wps">
            <w:drawing>
              <wp:anchor distT="0" distB="0" distL="114300" distR="114300" simplePos="0" relativeHeight="251748352" behindDoc="0" locked="0" layoutInCell="1" allowOverlap="1">
                <wp:simplePos x="0" y="0"/>
                <wp:positionH relativeFrom="column">
                  <wp:posOffset>1929765</wp:posOffset>
                </wp:positionH>
                <wp:positionV relativeFrom="paragraph">
                  <wp:posOffset>1026795</wp:posOffset>
                </wp:positionV>
                <wp:extent cx="1047750" cy="36195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047750" cy="361950"/>
                        </a:xfrm>
                        <a:prstGeom prst="rect">
                          <a:avLst/>
                        </a:prstGeom>
                        <a:solidFill>
                          <a:srgbClr val="FFFFFF"/>
                        </a:solidFill>
                        <a:ln w="9525">
                          <a:noFill/>
                          <a:miter lim="800000"/>
                        </a:ln>
                      </wps:spPr>
                      <wps:txbx>
                        <w:txbxContent>
                          <w:p>
                            <w:pPr>
                              <w:ind w:firstLine="0" w:firstLineChars="0"/>
                              <w:rPr>
                                <w:rFonts w:ascii="Times New Roman" w:hAnsi="Times New Roman" w:cs="Times New Roman"/>
                                <w:sz w:val="20"/>
                              </w:rPr>
                            </w:pPr>
                            <w:r>
                              <w:rPr>
                                <w:rFonts w:ascii="Times New Roman" w:hAnsi="Times New Roman" w:cs="Times New Roman"/>
                                <w:sz w:val="20"/>
                              </w:rPr>
                              <w:t>均值为4.29分</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51.95pt;margin-top:80.85pt;height:28.5pt;width:82.5pt;z-index:251748352;mso-width-relative:page;mso-height-relative:page;" fillcolor="#FFFFFF" filled="t" stroked="f" coordsize="21600,21600" o:gfxdata="UEsDBAoAAAAAAIdO4kAAAAAAAAAAAAAAAAAEAAAAZHJzL1BLAwQUAAAACACHTuJAQA9T6dkAAAAL&#10;AQAADwAAAGRycy9kb3ducmV2LnhtbE2Py07DMBBF90j8gzVIbBC100eShjiVQAKxbekHTOJpEhHb&#10;Uew27d8zrGA5c4/unCl3VzuIC02h905DslAgyDXe9K7VcPx6f85BhIjO4OAdabhRgF11f1diYfzs&#10;9nQ5xFZwiQsFauhiHAspQ9ORxbDwIznOTn6yGHmcWmkmnLncDnKpVCot9o4vdDjSW0fN9+FsNZw+&#10;56fNdq4/4jHbr9NX7LPa37R+fEjUC4hI1/gHw68+q0PFTrU/OxPEoGGlVltGOUiTDAQT6zTnTa1h&#10;meQZyKqU/3+ofgBQSwMEFAAAAAgAh07iQFaL8q8bAgAABgQAAA4AAABkcnMvZTJvRG9jLnhtbK1T&#10;zY4TMQy+I/EOUe50pqXd3Y46XS1dFSEtP9LCA2QymU5EEock7Ux5AHgDTly481x9Dpx0tlvghsgh&#10;smP7s/3ZWVz3WpGdcF6CKel4lFMiDIdamk1JP7xfP7uixAdmaqbAiJLuhafXy6dPFp0txARaULVw&#10;BEGMLzpb0jYEW2SZ563QzI/ACoPGBpxmAVW3yWrHOkTXKpvk+UXWgautAy68x9fbo5EuE37TCB7e&#10;No0XgaiSYm0h3S7dVbyz5YIVG8dsK/lQBvuHKjSTBpOeoG5ZYGTr5F9QWnIHHpow4qAzaBrJReoB&#10;uxnnf3Rz3zIrUi9Ijrcnmvz/g+Vvdu8ckTXObkqJYRpndPj29fD95+HHF4JvSFBnfYF+9xY9Q/8C&#10;enROzXp7B/yjJwZWLTMbceMcdK1gNRY4jpHZWegRx0eQqnsNNSZi2wAJqG+cjuwhHwTRcVD703BE&#10;HwiPKfPp5eUMTRxtzy/Gc5RjClY8RFvnw0sBmkShpA6Hn9DZ7s6Ho+uDS0zmQcl6LZVKittUK+XI&#10;juGirNMZ0H9zU4Z0JZ3PJrOEbCDGIzQrtAy4yErqkl7l8Qzhygw0xM6PHIS+6jEmclNBvUdCHBwX&#10;Ez8SCi24z5R0uJQl9Z+2zAlK1CuDpM7H02nc4qRMZ5cTVNy5pTq3MMMRqqSBkqO4CmnzY7kGbpD8&#10;RiZeHisZasVlS8wOHyNu87mevB6/7/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A9T6dkAAAAL&#10;AQAADwAAAAAAAAABACAAAAAiAAAAZHJzL2Rvd25yZXYueG1sUEsBAhQAFAAAAAgAh07iQFaL8q8b&#10;AgAABgQAAA4AAAAAAAAAAQAgAAAAKAEAAGRycy9lMm9Eb2MueG1sUEsFBgAAAAAGAAYAWQEAALUF&#10;AAAAAA==&#10;">
                <v:fill on="t" focussize="0,0"/>
                <v:stroke on="f" miterlimit="8" joinstyle="miter"/>
                <v:imagedata o:title=""/>
                <o:lock v:ext="edit" aspectratio="f"/>
                <v:textbox>
                  <w:txbxContent>
                    <w:p>
                      <w:pPr>
                        <w:ind w:firstLine="0" w:firstLineChars="0"/>
                        <w:rPr>
                          <w:rFonts w:ascii="Times New Roman" w:hAnsi="Times New Roman" w:cs="Times New Roman"/>
                          <w:sz w:val="20"/>
                        </w:rPr>
                      </w:pPr>
                      <w:r>
                        <w:rPr>
                          <w:rFonts w:ascii="Times New Roman" w:hAnsi="Times New Roman" w:cs="Times New Roman"/>
                          <w:sz w:val="20"/>
                        </w:rPr>
                        <w:t>均值为4.29分</w:t>
                      </w:r>
                    </w:p>
                  </w:txbxContent>
                </v:textbox>
              </v:shape>
            </w:pict>
          </mc:Fallback>
        </mc:AlternateContent>
      </w:r>
      <w:r>
        <w:drawing>
          <wp:inline distT="0" distB="0" distL="0" distR="0">
            <wp:extent cx="5153025" cy="184785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37"/>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3</w:t>
      </w:r>
      <w:r>
        <w:fldChar w:fldCharType="end"/>
      </w:r>
      <w:r>
        <w:rPr>
          <w:rStyle w:val="34"/>
          <w:b/>
          <w:bCs w:val="0"/>
        </w:rPr>
        <w:t xml:space="preserve">  2017届</w:t>
      </w:r>
      <w:r>
        <w:rPr>
          <w:rStyle w:val="34"/>
          <w:rFonts w:hint="eastAsia"/>
          <w:b/>
          <w:bCs w:val="0"/>
        </w:rPr>
        <w:t>毕业生对母校实践</w:t>
      </w:r>
      <w:r>
        <w:rPr>
          <w:rStyle w:val="34"/>
          <w:b/>
          <w:bCs w:val="0"/>
        </w:rPr>
        <w:t>教学环节</w:t>
      </w:r>
      <w:r>
        <w:rPr>
          <w:rStyle w:val="34"/>
          <w:rFonts w:hint="eastAsia"/>
          <w:b/>
          <w:bCs w:val="0"/>
        </w:rPr>
        <w:t>的满意度</w:t>
      </w:r>
    </w:p>
    <w:p>
      <w:pPr>
        <w:pStyle w:val="139"/>
      </w:pPr>
      <w:r>
        <w:rPr>
          <w:rFonts w:hint="eastAsia"/>
        </w:rPr>
        <w:t>注：满意度为选择“很满意”、“比较满意”和“一般”的人数占此题总人数的比例。另外针对毕业生的反馈分别赋予</w:t>
      </w:r>
      <w:r>
        <w:rPr>
          <w:rFonts w:hint="eastAsia" w:ascii="Times New Roman" w:hAnsi="Times New Roman"/>
        </w:rPr>
        <w:t>1</w:t>
      </w:r>
      <w:r>
        <w:rPr>
          <w:rFonts w:hint="eastAsia"/>
        </w:rPr>
        <w:t>-</w:t>
      </w:r>
      <w:r>
        <w:rPr>
          <w:rFonts w:hint="eastAsia" w:ascii="Times New Roman" w:hAnsi="Times New Roman"/>
        </w:rPr>
        <w:t>5</w:t>
      </w:r>
      <w:r>
        <w:rPr>
          <w:rFonts w:hint="eastAsia"/>
        </w:rPr>
        <w:t>分（“很满意”=</w:t>
      </w:r>
      <w:r>
        <w:rPr>
          <w:rFonts w:hint="eastAsia" w:ascii="Times New Roman" w:hAnsi="Times New Roman"/>
        </w:rPr>
        <w:t>5</w:t>
      </w:r>
      <w:r>
        <w:rPr>
          <w:rFonts w:hint="eastAsia"/>
        </w:rPr>
        <w:t>分，“很不满意”=</w:t>
      </w:r>
      <w:r>
        <w:rPr>
          <w:rFonts w:hint="eastAsia" w:ascii="Times New Roman" w:hAnsi="Times New Roman"/>
        </w:rPr>
        <w:t>1</w:t>
      </w:r>
      <w:r>
        <w:rPr>
          <w:rFonts w:hint="eastAsia"/>
        </w:rPr>
        <w:t>分），计算其均值。</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ind w:firstLine="482"/>
      </w:pPr>
      <w:r>
        <w:rPr>
          <w:rFonts w:hint="eastAsia"/>
          <w:b/>
          <w:color w:val="0F6FC6" w:themeColor="accent1"/>
          <w14:textFill>
            <w14:solidFill>
              <w14:schemeClr w14:val="accent1"/>
            </w14:solidFill>
          </w14:textFill>
        </w:rPr>
        <w:t>任课</w:t>
      </w:r>
      <w:r>
        <w:rPr>
          <w:b/>
          <w:color w:val="0F6FC6" w:themeColor="accent1"/>
          <w14:textFill>
            <w14:solidFill>
              <w14:schemeClr w14:val="accent1"/>
            </w14:solidFill>
          </w14:textFill>
        </w:rPr>
        <w:t>教师满意度：</w:t>
      </w:r>
      <w:r>
        <w:rPr>
          <w:rFonts w:hint="eastAsia"/>
        </w:rPr>
        <w:t>2017届</w:t>
      </w:r>
      <w:r>
        <w:t>毕业生</w:t>
      </w:r>
      <w:r>
        <w:rPr>
          <w:rFonts w:hint="eastAsia"/>
        </w:rPr>
        <w:t>对任课</w:t>
      </w:r>
      <w:r>
        <w:t>教师</w:t>
      </w:r>
      <w:r>
        <w:rPr>
          <w:rFonts w:hint="eastAsia"/>
        </w:rPr>
        <w:t>总体的</w:t>
      </w:r>
      <w:r>
        <w:t>满意度为</w:t>
      </w:r>
      <w:r>
        <w:rPr>
          <w:rFonts w:hint="eastAsia"/>
        </w:rPr>
        <w:t>9</w:t>
      </w:r>
      <w:r>
        <w:t>9.72%，</w:t>
      </w:r>
      <w:r>
        <w:rPr>
          <w:rFonts w:hint="eastAsia"/>
        </w:rPr>
        <w:t>均值为4.</w:t>
      </w:r>
      <w:r>
        <w:t>45</w:t>
      </w:r>
      <w:r>
        <w:rPr>
          <w:rFonts w:hint="eastAsia"/>
        </w:rPr>
        <w:t>分（5分制）</w:t>
      </w:r>
      <w:r>
        <w:t>，</w:t>
      </w:r>
      <w:r>
        <w:rPr>
          <w:rFonts w:hint="eastAsia"/>
        </w:rPr>
        <w:t>处于“比较</w:t>
      </w:r>
      <w:r>
        <w:t>满意</w:t>
      </w:r>
      <w:r>
        <w:rPr>
          <w:rFonts w:hint="eastAsia"/>
        </w:rPr>
        <w:t>”</w:t>
      </w:r>
      <w:r>
        <w:t>水平；其中，</w:t>
      </w:r>
      <w:r>
        <w:rPr>
          <w:rFonts w:hint="eastAsia"/>
        </w:rPr>
        <w:t>对</w:t>
      </w:r>
      <w:r>
        <w:t>任课教师教学水平的满意度</w:t>
      </w:r>
      <w:r>
        <w:rPr>
          <w:rFonts w:hint="eastAsia"/>
        </w:rPr>
        <w:t>为</w:t>
      </w:r>
      <w:r>
        <w:t>99.72%</w:t>
      </w:r>
      <w:r>
        <w:rPr>
          <w:rFonts w:hint="eastAsia"/>
        </w:rPr>
        <w:t>；</w:t>
      </w:r>
      <w:r>
        <w:t>对</w:t>
      </w:r>
      <w:r>
        <w:rPr>
          <w:rFonts w:hint="eastAsia"/>
        </w:rPr>
        <w:t>任课</w:t>
      </w:r>
      <w:r>
        <w:t>教师教学态度的满意度</w:t>
      </w:r>
      <w:r>
        <w:rPr>
          <w:rFonts w:hint="eastAsia"/>
        </w:rPr>
        <w:t>为</w:t>
      </w:r>
      <w:r>
        <w:t>99.58%</w:t>
      </w:r>
      <w:r>
        <w:rPr>
          <w:rFonts w:hint="eastAsia"/>
        </w:rPr>
        <w:t>；对</w:t>
      </w:r>
      <w:r>
        <w:t>师生课外沟通交流的</w:t>
      </w:r>
      <w:r>
        <w:rPr>
          <w:rFonts w:hint="eastAsia"/>
        </w:rPr>
        <w:t>满意度为</w:t>
      </w:r>
      <w:r>
        <w:t>99.01%</w:t>
      </w:r>
      <w:r>
        <w:rPr>
          <w:rFonts w:hint="eastAsia"/>
        </w:rPr>
        <w:t>。</w:t>
      </w:r>
    </w:p>
    <w:p>
      <w:pPr>
        <w:pStyle w:val="131"/>
      </w:pPr>
      <w:r>
        <w:drawing>
          <wp:inline distT="0" distB="0" distL="0" distR="0">
            <wp:extent cx="5580380" cy="2096135"/>
            <wp:effectExtent l="0" t="0" r="127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37"/>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4</w:t>
      </w:r>
      <w:r>
        <w:fldChar w:fldCharType="end"/>
      </w:r>
      <w:r>
        <w:rPr>
          <w:rFonts w:hint="eastAsia"/>
        </w:rPr>
        <w:t xml:space="preserve">  2017届</w:t>
      </w:r>
      <w:r>
        <w:t>毕业生对任课教师的满意度</w:t>
      </w:r>
    </w:p>
    <w:p>
      <w:pPr>
        <w:pStyle w:val="139"/>
      </w:pPr>
      <w:r>
        <w:rPr>
          <w:rFonts w:hint="eastAsia"/>
        </w:rPr>
        <w:t>注：评价维度包括“很不满意、比较不满意、一般、比较满意和很满意”；其中，满意度为选择“很满意”、“比较满意”和“一般”的人数占此题总人数的比例。另外针对毕业生的反馈分别赋予</w:t>
      </w:r>
      <w:r>
        <w:rPr>
          <w:rFonts w:hint="eastAsia" w:ascii="Times New Roman" w:hAnsi="Times New Roman"/>
        </w:rPr>
        <w:t>1</w:t>
      </w:r>
      <w:r>
        <w:rPr>
          <w:rFonts w:hint="eastAsia"/>
        </w:rPr>
        <w:t>-</w:t>
      </w:r>
      <w:r>
        <w:rPr>
          <w:rFonts w:hint="eastAsia" w:ascii="Times New Roman" w:hAnsi="Times New Roman"/>
        </w:rPr>
        <w:t>5</w:t>
      </w:r>
      <w:r>
        <w:rPr>
          <w:rFonts w:hint="eastAsia"/>
        </w:rPr>
        <w:t>分（“很满意”=</w:t>
      </w:r>
      <w:r>
        <w:rPr>
          <w:rFonts w:hint="eastAsia" w:ascii="Times New Roman" w:hAnsi="Times New Roman"/>
        </w:rPr>
        <w:t>5</w:t>
      </w:r>
      <w:r>
        <w:rPr>
          <w:rFonts w:hint="eastAsia"/>
        </w:rPr>
        <w:t>分，“很不满意”=</w:t>
      </w:r>
      <w:r>
        <w:rPr>
          <w:rFonts w:hint="eastAsia" w:ascii="Times New Roman" w:hAnsi="Times New Roman"/>
        </w:rPr>
        <w:t>1</w:t>
      </w:r>
      <w:r>
        <w:rPr>
          <w:rFonts w:hint="eastAsia"/>
        </w:rPr>
        <w:t>分），计算其均值。</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ind w:firstLine="482"/>
      </w:pPr>
      <w:r>
        <w:rPr>
          <w:rFonts w:hint="eastAsia"/>
          <w:b/>
          <w:color w:val="0F6FC6" w:themeColor="accent1"/>
          <w14:textFill>
            <w14:solidFill>
              <w14:schemeClr w14:val="accent1"/>
            </w14:solidFill>
          </w14:textFill>
        </w:rPr>
        <w:t>工作能力的满足度：</w:t>
      </w:r>
      <w:r>
        <w:rPr>
          <w:lang w:val="zh-CN"/>
        </w:rPr>
        <w:t>对于目前工作需求</w:t>
      </w:r>
      <w:r>
        <w:rPr>
          <w:rFonts w:hint="eastAsia"/>
          <w:lang w:val="zh-CN"/>
        </w:rPr>
        <w:t>而言</w:t>
      </w:r>
      <w:r>
        <w:rPr>
          <w:lang w:val="zh-CN"/>
        </w:rPr>
        <w:t>，</w:t>
      </w:r>
      <w:r>
        <w:rPr>
          <w:rFonts w:hint="eastAsia"/>
          <w:lang w:val="zh-CN"/>
        </w:rPr>
        <w:t>学校201</w:t>
      </w:r>
      <w:r>
        <w:rPr>
          <w:lang w:val="zh-CN"/>
        </w:rPr>
        <w:t>7</w:t>
      </w:r>
      <w:r>
        <w:rPr>
          <w:rFonts w:hint="eastAsia"/>
          <w:lang w:val="zh-CN"/>
        </w:rPr>
        <w:t>届</w:t>
      </w:r>
      <w:r>
        <w:rPr>
          <w:lang w:val="zh-CN"/>
        </w:rPr>
        <w:t>毕业生认为重要</w:t>
      </w:r>
      <w:r>
        <w:rPr>
          <w:rFonts w:hint="eastAsia"/>
          <w:lang w:val="zh-CN"/>
        </w:rPr>
        <w:t>性</w:t>
      </w:r>
      <w:r>
        <w:rPr>
          <w:lang w:val="zh-CN"/>
        </w:rPr>
        <w:t>排名前十位的</w:t>
      </w:r>
      <w:r>
        <w:rPr>
          <w:rFonts w:hint="eastAsia"/>
          <w:lang w:val="zh-CN"/>
        </w:rPr>
        <w:t>能力</w:t>
      </w:r>
      <w:r>
        <w:rPr>
          <w:lang w:val="zh-CN"/>
        </w:rPr>
        <w:t>依次为：口头表达</w:t>
      </w:r>
      <w:r>
        <w:rPr>
          <w:rFonts w:hint="eastAsia"/>
          <w:lang w:val="zh-CN"/>
        </w:rPr>
        <w:t>、选择教学/学习方法、</w:t>
      </w:r>
      <w:r>
        <w:rPr>
          <w:lang w:val="zh-CN"/>
        </w:rPr>
        <w:t>倾听理解、团队协作、</w:t>
      </w:r>
      <w:r>
        <w:rPr>
          <w:rFonts w:hint="eastAsia"/>
          <w:lang w:val="zh-CN"/>
        </w:rPr>
        <w:t>教育指导</w:t>
      </w:r>
      <w:r>
        <w:rPr>
          <w:lang w:val="zh-CN"/>
        </w:rPr>
        <w:t>他人、阅读理解、情绪感知、发现和</w:t>
      </w:r>
      <w:r>
        <w:rPr>
          <w:rFonts w:hint="eastAsia"/>
          <w:lang w:val="zh-CN"/>
        </w:rPr>
        <w:t>解决</w:t>
      </w:r>
      <w:r>
        <w:rPr>
          <w:lang w:val="zh-CN"/>
        </w:rPr>
        <w:t>复杂问题</w:t>
      </w:r>
      <w:r>
        <w:rPr>
          <w:rFonts w:hint="eastAsia"/>
          <w:lang w:val="zh-CN"/>
        </w:rPr>
        <w:t>、</w:t>
      </w:r>
      <w:r>
        <w:rPr>
          <w:lang w:val="zh-CN"/>
        </w:rPr>
        <w:t>信息搜集与获取</w:t>
      </w:r>
      <w:r>
        <w:rPr>
          <w:rFonts w:hint="eastAsia"/>
          <w:lang w:val="zh-CN"/>
        </w:rPr>
        <w:t>、逻辑</w:t>
      </w:r>
      <w:r>
        <w:rPr>
          <w:lang w:val="zh-CN"/>
        </w:rPr>
        <w:t>推理</w:t>
      </w:r>
      <w:r>
        <w:rPr>
          <w:rFonts w:hint="eastAsia"/>
          <w:lang w:val="zh-CN"/>
        </w:rPr>
        <w:t>。而自身</w:t>
      </w:r>
      <w:r>
        <w:rPr>
          <w:lang w:val="zh-CN"/>
        </w:rPr>
        <w:t>这</w:t>
      </w:r>
      <w:r>
        <w:rPr>
          <w:rFonts w:hint="eastAsia"/>
          <w:lang w:val="zh-CN"/>
        </w:rPr>
        <w:t>十项</w:t>
      </w:r>
      <w:r>
        <w:rPr>
          <w:lang w:val="zh-CN"/>
        </w:rPr>
        <w:t>能力满足</w:t>
      </w:r>
      <w:r>
        <w:rPr>
          <w:rFonts w:hint="eastAsia"/>
          <w:lang w:val="zh-CN"/>
        </w:rPr>
        <w:t>目前</w:t>
      </w:r>
      <w:r>
        <w:rPr>
          <w:lang w:val="zh-CN"/>
        </w:rPr>
        <w:t>工作</w:t>
      </w:r>
      <w:r>
        <w:rPr>
          <w:rFonts w:hint="eastAsia"/>
          <w:lang w:val="zh-CN"/>
        </w:rPr>
        <w:t>需求的</w:t>
      </w:r>
      <w:r>
        <w:rPr>
          <w:lang w:val="zh-CN"/>
        </w:rPr>
        <w:t>程度如下图所示：</w:t>
      </w:r>
      <w:r>
        <w:rPr>
          <w:rFonts w:hint="eastAsia"/>
          <w:lang w:val="zh-CN"/>
        </w:rPr>
        <w:t>均在</w:t>
      </w:r>
      <w:r>
        <w:rPr>
          <w:lang w:val="zh-CN"/>
        </w:rPr>
        <w:t>95</w:t>
      </w:r>
      <w:r>
        <w:rPr>
          <w:rFonts w:cs="宋体"/>
          <w:color w:val="000000" w:themeColor="text1"/>
          <w:szCs w:val="21"/>
          <w14:textFill>
            <w14:solidFill>
              <w14:schemeClr w14:val="tx1"/>
            </w14:solidFill>
          </w14:textFill>
        </w:rPr>
        <w:t>.00</w:t>
      </w:r>
      <w:r>
        <w:rPr>
          <w:lang w:val="zh-CN"/>
        </w:rPr>
        <w:t>%以上</w:t>
      </w:r>
      <w:r>
        <w:rPr>
          <w:rFonts w:hint="eastAsia"/>
          <w:lang w:val="zh-CN"/>
        </w:rPr>
        <w:t>，</w:t>
      </w:r>
      <w:r>
        <w:rPr>
          <w:lang w:val="zh-CN"/>
        </w:rPr>
        <w:t>满足程度</w:t>
      </w:r>
      <w:r>
        <w:rPr>
          <w:rFonts w:hint="eastAsia"/>
          <w:lang w:val="zh-CN"/>
        </w:rPr>
        <w:t>处于</w:t>
      </w:r>
      <w:r>
        <w:rPr>
          <w:lang w:val="zh-CN"/>
        </w:rPr>
        <w:t>相对较高水平；</w:t>
      </w:r>
      <w:r>
        <w:rPr>
          <w:rFonts w:hint="eastAsia"/>
        </w:rPr>
        <w:t>其中</w:t>
      </w:r>
      <w:r>
        <w:rPr>
          <w:rFonts w:hint="eastAsia"/>
          <w:lang w:val="zh-CN"/>
        </w:rPr>
        <w:t>教育指导他人和情绪感知的</w:t>
      </w:r>
      <w:r>
        <w:rPr>
          <w:rFonts w:hint="eastAsia"/>
        </w:rPr>
        <w:t>满足度相对</w:t>
      </w:r>
      <w:r>
        <w:t>较高，</w:t>
      </w:r>
      <w:r>
        <w:rPr>
          <w:rFonts w:hint="eastAsia"/>
        </w:rPr>
        <w:t>分别为9</w:t>
      </w:r>
      <w:r>
        <w:t>9.36</w:t>
      </w:r>
      <w:r>
        <w:rPr>
          <w:rFonts w:hint="eastAsia"/>
        </w:rPr>
        <w:t>%和9</w:t>
      </w:r>
      <w:r>
        <w:t>9.28</w:t>
      </w:r>
      <w:r>
        <w:rPr>
          <w:rFonts w:hint="eastAsia"/>
        </w:rPr>
        <w:t>%。</w:t>
      </w:r>
    </w:p>
    <w:p>
      <w:pPr>
        <w:pStyle w:val="48"/>
        <w:spacing w:beforeLines="0" w:after="0" w:afterLines="0" w:line="240" w:lineRule="auto"/>
        <w:ind w:firstLine="0" w:firstLineChars="0"/>
        <w:jc w:val="center"/>
        <w:rPr>
          <w:rFonts w:ascii="Times New Roman" w:hAnsi="Times New Roman"/>
        </w:rPr>
      </w:pPr>
      <w:r>
        <w:rPr>
          <w:rFonts w:hint="eastAsia" w:ascii="Times New Roman" w:hAnsi="Times New Roman"/>
        </w:rPr>
        <w:t xml:space="preserve"> </w:t>
      </w:r>
      <w:r>
        <w:rPr>
          <w:rFonts w:hint="eastAsia" w:ascii="Times New Roman" w:hAnsi="Times New Roman"/>
        </w:rPr>
        <w:drawing>
          <wp:inline distT="0" distB="0" distL="0" distR="0">
            <wp:extent cx="5429250" cy="242887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37"/>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5</w:t>
      </w:r>
      <w:r>
        <w:fldChar w:fldCharType="end"/>
      </w:r>
      <w:r>
        <w:rPr>
          <w:rFonts w:hint="eastAsia"/>
        </w:rPr>
        <w:t xml:space="preserve">  </w:t>
      </w:r>
      <w:r>
        <w:t>2017</w:t>
      </w:r>
      <w:r>
        <w:rPr>
          <w:rFonts w:hint="eastAsia"/>
        </w:rPr>
        <w:t>届</w:t>
      </w:r>
      <w:r>
        <w:t>毕业生</w:t>
      </w:r>
      <w:r>
        <w:rPr>
          <w:rFonts w:hint="eastAsia"/>
        </w:rPr>
        <w:t>认为</w:t>
      </w:r>
      <w:r>
        <w:t>重要性排名前十位的能力</w:t>
      </w:r>
      <w:r>
        <w:rPr>
          <w:rFonts w:hint="eastAsia"/>
        </w:rPr>
        <w:t>的</w:t>
      </w:r>
      <w:r>
        <w:t>满足度</w:t>
      </w:r>
      <w:r>
        <w:rPr>
          <w:rFonts w:hint="eastAsia"/>
        </w:rPr>
        <w:t>分布</w:t>
      </w:r>
    </w:p>
    <w:p>
      <w:pPr>
        <w:pStyle w:val="139"/>
        <w:rPr>
          <w:sz w:val="16"/>
        </w:rPr>
      </w:pPr>
      <w:r>
        <w:rPr>
          <w:rFonts w:hint="eastAsia"/>
        </w:rPr>
        <w:t>注：满足度为选择“完全满足”、“大部分满足”和“基本满足”的人数占此题总人数的比例。</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5"/>
        <w:spacing w:before="163" w:after="163"/>
      </w:pPr>
      <w:bookmarkStart w:id="126" w:name="_Toc521402047"/>
      <w:r>
        <w:t>（</w:t>
      </w:r>
      <w:r>
        <w:rPr>
          <w:rFonts w:hint="eastAsia"/>
        </w:rPr>
        <w:t>二</w:t>
      </w:r>
      <w:r>
        <w:t>）</w:t>
      </w:r>
      <w:r>
        <w:rPr>
          <w:rFonts w:hint="eastAsia"/>
        </w:rPr>
        <w:t>人才</w:t>
      </w:r>
      <w:r>
        <w:t>培养改进措施</w:t>
      </w:r>
      <w:bookmarkEnd w:id="126"/>
    </w:p>
    <w:p>
      <w:pPr>
        <w:pStyle w:val="131"/>
      </w:pPr>
      <w:r>
        <w:rPr>
          <w:rFonts w:hint="eastAsia"/>
        </w:rPr>
        <w:t>学校坚持深化教学内</w:t>
      </w:r>
      <w:r>
        <w:rPr>
          <w:rFonts w:hint="eastAsia" w:ascii="宋体" w:hAnsi="宋体"/>
        </w:rPr>
        <w:t>涵,优化教学条件,提升教学</w:t>
      </w:r>
      <w:r>
        <w:rPr>
          <w:rFonts w:hint="eastAsia"/>
        </w:rPr>
        <w:t>质量，人才培养的整体质量较高。调查结果显示：</w:t>
      </w:r>
      <w:r>
        <w:t>2017届</w:t>
      </w:r>
      <w:r>
        <w:rPr>
          <w:rFonts w:hint="eastAsia"/>
        </w:rPr>
        <w:t>毕业生对</w:t>
      </w:r>
      <w:r>
        <w:t>母校的</w:t>
      </w:r>
      <w:r>
        <w:rPr>
          <w:rFonts w:hint="eastAsia"/>
        </w:rPr>
        <w:t>满意度达到</w:t>
      </w:r>
      <w:r>
        <w:t>99.44</w:t>
      </w:r>
      <w:r>
        <w:rPr>
          <w:rFonts w:hint="eastAsia"/>
        </w:rPr>
        <w:t>%，</w:t>
      </w:r>
      <w:r>
        <w:t>75.28%</w:t>
      </w:r>
      <w:r>
        <w:rPr>
          <w:rFonts w:hint="eastAsia"/>
        </w:rPr>
        <w:t>的毕业生愿意向他人推荐自己的母校；毕业生</w:t>
      </w:r>
      <w:r>
        <w:t>对</w:t>
      </w:r>
      <w:r>
        <w:rPr>
          <w:rFonts w:hint="eastAsia"/>
        </w:rPr>
        <w:t>母校教育教学</w:t>
      </w:r>
      <w:r>
        <w:t>的总体满意度</w:t>
      </w:r>
      <w:r>
        <w:rPr>
          <w:rFonts w:hint="eastAsia"/>
        </w:rPr>
        <w:t>为</w:t>
      </w:r>
      <w:r>
        <w:t>98.88%</w:t>
      </w:r>
      <w:r>
        <w:rPr>
          <w:rFonts w:hint="eastAsia"/>
        </w:rPr>
        <w:t>，对</w:t>
      </w:r>
      <w:r>
        <w:t>母校实践教学环节的满意度为98.32%</w:t>
      </w:r>
      <w:r>
        <w:rPr>
          <w:rFonts w:hint="eastAsia"/>
        </w:rPr>
        <w:t>；</w:t>
      </w:r>
      <w:r>
        <w:rPr>
          <w:rStyle w:val="34"/>
          <w:rFonts w:hint="eastAsia"/>
          <w:b w:val="0"/>
        </w:rPr>
        <w:t>毕业生</w:t>
      </w:r>
      <w:r>
        <w:rPr>
          <w:rStyle w:val="34"/>
          <w:b w:val="0"/>
        </w:rPr>
        <w:t>对任课教师各方面的满意度均在99</w:t>
      </w:r>
      <w:r>
        <w:rPr>
          <w:rFonts w:cs="宋体"/>
          <w:color w:val="000000" w:themeColor="text1"/>
          <w:szCs w:val="21"/>
          <w14:textFill>
            <w14:solidFill>
              <w14:schemeClr w14:val="tx1"/>
            </w14:solidFill>
          </w14:textFill>
        </w:rPr>
        <w:t>.00</w:t>
      </w:r>
      <w:r>
        <w:rPr>
          <w:rStyle w:val="34"/>
          <w:b w:val="0"/>
        </w:rPr>
        <w:t>%以上</w:t>
      </w:r>
      <w:r>
        <w:rPr>
          <w:rFonts w:hint="eastAsia"/>
        </w:rPr>
        <w:t>。与此同时，毕业生</w:t>
      </w:r>
      <w:r>
        <w:t>对母校人才培养也提出</w:t>
      </w:r>
      <w:r>
        <w:rPr>
          <w:rFonts w:hint="eastAsia"/>
        </w:rPr>
        <w:t>自己</w:t>
      </w:r>
      <w:r>
        <w:t>的建议</w:t>
      </w:r>
      <w:r>
        <w:rPr>
          <w:rFonts w:hint="eastAsia"/>
        </w:rPr>
        <w:t>：</w:t>
      </w:r>
      <w:r>
        <w:rPr>
          <w:rStyle w:val="34"/>
          <w:rFonts w:hint="eastAsia"/>
          <w:b w:val="0"/>
          <w:bCs w:val="0"/>
        </w:rPr>
        <w:t>毕业生认为需要加强的实践教学环节是“实验教学”、“毕业实习”和“认识实习”；</w:t>
      </w:r>
      <w:r>
        <w:rPr>
          <w:rFonts w:hint="eastAsia"/>
          <w:color w:val="auto"/>
        </w:rPr>
        <w:t>除实践教学以外，毕业生认为专业教学最应该改进的是</w:t>
      </w:r>
      <w:r>
        <w:rPr>
          <w:rFonts w:asciiTheme="minorEastAsia" w:hAnsiTheme="minorEastAsia" w:eastAsiaTheme="minorEastAsia"/>
          <w:color w:val="auto"/>
        </w:rPr>
        <w:t>“</w:t>
      </w:r>
      <w:r>
        <w:rPr>
          <w:rFonts w:hint="eastAsia" w:asciiTheme="minorEastAsia" w:hAnsiTheme="minorEastAsia" w:eastAsiaTheme="minorEastAsia"/>
          <w:color w:val="auto"/>
        </w:rPr>
        <w:t>所开设课程对工作/学习帮助较少</w:t>
      </w:r>
      <w:r>
        <w:rPr>
          <w:rFonts w:asciiTheme="minorEastAsia" w:hAnsiTheme="minorEastAsia" w:eastAsiaTheme="minorEastAsia"/>
          <w:color w:val="auto"/>
        </w:rPr>
        <w:t>”</w:t>
      </w:r>
      <w:r>
        <w:rPr>
          <w:rFonts w:hint="eastAsia" w:asciiTheme="minorEastAsia" w:hAnsiTheme="minorEastAsia" w:eastAsiaTheme="minorEastAsia"/>
          <w:color w:val="auto"/>
        </w:rPr>
        <w:t>、</w:t>
      </w:r>
      <w:r>
        <w:rPr>
          <w:rFonts w:asciiTheme="minorEastAsia" w:hAnsiTheme="minorEastAsia" w:eastAsiaTheme="minorEastAsia"/>
          <w:color w:val="auto"/>
        </w:rPr>
        <w:t>“</w:t>
      </w:r>
      <w:r>
        <w:rPr>
          <w:rFonts w:hint="eastAsia" w:asciiTheme="minorEastAsia" w:hAnsiTheme="minorEastAsia" w:eastAsiaTheme="minorEastAsia"/>
          <w:color w:val="auto"/>
        </w:rPr>
        <w:t>课堂</w:t>
      </w:r>
      <w:r>
        <w:rPr>
          <w:rFonts w:asciiTheme="minorEastAsia" w:hAnsiTheme="minorEastAsia" w:eastAsiaTheme="minorEastAsia"/>
          <w:color w:val="auto"/>
        </w:rPr>
        <w:t>教学效果不好”</w:t>
      </w:r>
      <w:r>
        <w:rPr>
          <w:rFonts w:hint="eastAsia"/>
          <w:color w:val="auto"/>
        </w:rPr>
        <w:t>。</w:t>
      </w:r>
      <w:r>
        <w:rPr>
          <w:rFonts w:hint="eastAsia"/>
        </w:rPr>
        <w:t>因此，学校将进一步优化课程设置，加强实践教学环节。首先，依据市场需求、就业导向开展人才培养，进一步明确和完善专业培养目标和建设重点，推进教学团队、课程教材、实践资源等专业内涵建设；其次，随着专业的发展和社会需求的变化，相应地调整课程内容设置，加强内容前沿性、理论与实践结合性，创新教育教学方法；再次，及时更新实践教学观念，深化、统一对实践教学效果的认识，构建各个学科专业的实践教学新体系、宽平台，辅之以丰富多彩的实践教学活动并根据各专业的特色去构建与本专业相适合的实践教学活动，组建培养适应实践教学需求的教师队伍。</w:t>
      </w:r>
    </w:p>
    <w:p>
      <w:pPr>
        <w:pStyle w:val="133"/>
        <w:spacing w:before="163" w:after="163"/>
      </w:pPr>
      <w:bookmarkStart w:id="127" w:name="_Toc521402048"/>
      <w:r>
        <w:rPr>
          <w:rFonts w:hint="eastAsia"/>
        </w:rPr>
        <w:t>二</w:t>
      </w:r>
      <w:r>
        <w:t>、对招生和专业设置的</w:t>
      </w:r>
      <w:r>
        <w:rPr>
          <w:rFonts w:hint="eastAsia"/>
        </w:rPr>
        <w:t>影响</w:t>
      </w:r>
      <w:bookmarkEnd w:id="127"/>
    </w:p>
    <w:p>
      <w:pPr>
        <w:pStyle w:val="131"/>
      </w:pPr>
      <w:r>
        <w:rPr>
          <w:rFonts w:hint="eastAsia"/>
        </w:rPr>
        <w:t>学校</w:t>
      </w:r>
      <w:r>
        <w:t>2017届毕业生各专业的</w:t>
      </w:r>
      <w:r>
        <w:rPr>
          <w:rFonts w:hint="eastAsia"/>
        </w:rPr>
        <w:t>就业情况：除环境</w:t>
      </w:r>
      <w:r>
        <w:t>艺术设计和音乐表演</w:t>
      </w:r>
      <w:r>
        <w:rPr>
          <w:rFonts w:hint="eastAsia"/>
        </w:rPr>
        <w:t>专业之外，其余各专业就业率均在</w:t>
      </w:r>
      <w:r>
        <w:t>94.00%</w:t>
      </w:r>
      <w:r>
        <w:rPr>
          <w:rFonts w:hint="eastAsia"/>
        </w:rPr>
        <w:t>以上。其中，小学教育（盐城分院）、学前教育（阜宁分院）、小学教育（阜宁分院）等</w:t>
      </w:r>
      <w:r>
        <w:t>8</w:t>
      </w:r>
      <w:r>
        <w:rPr>
          <w:rFonts w:hint="eastAsia"/>
        </w:rPr>
        <w:t>个专业的就业率达到</w:t>
      </w:r>
      <w:r>
        <w:t>100.00%</w:t>
      </w:r>
      <w:r>
        <w:rPr>
          <w:rFonts w:hint="eastAsia"/>
        </w:rPr>
        <w:t>。</w:t>
      </w:r>
      <w:r>
        <w:t>此外</w:t>
      </w:r>
      <w:r>
        <w:rPr>
          <w:rFonts w:hint="eastAsia"/>
        </w:rPr>
        <w:t>，学校2017届应用韩语专业毕业生所从事</w:t>
      </w:r>
      <w:r>
        <w:t>的工作与</w:t>
      </w:r>
      <w:r>
        <w:rPr>
          <w:rFonts w:hint="eastAsia"/>
        </w:rPr>
        <w:t>所学专业</w:t>
      </w:r>
      <w:r>
        <w:t>的相关</w:t>
      </w:r>
      <w:r>
        <w:rPr>
          <w:rFonts w:hint="eastAsia"/>
        </w:rPr>
        <w:t>度</w:t>
      </w:r>
      <w:r>
        <w:t>处于</w:t>
      </w:r>
      <w:r>
        <w:rPr>
          <w:rFonts w:hint="eastAsia"/>
        </w:rPr>
        <w:t>6</w:t>
      </w:r>
      <w:r>
        <w:t>0</w:t>
      </w:r>
      <w:r>
        <w:rPr>
          <w:rFonts w:cs="宋体"/>
          <w:color w:val="000000" w:themeColor="text1"/>
          <w:szCs w:val="21"/>
          <w14:textFill>
            <w14:solidFill>
              <w14:schemeClr w14:val="tx1"/>
            </w14:solidFill>
          </w14:textFill>
        </w:rPr>
        <w:t>.00</w:t>
      </w:r>
      <w:r>
        <w:rPr>
          <w:rFonts w:hint="eastAsia"/>
        </w:rPr>
        <w:t>%以下</w:t>
      </w:r>
      <w:r>
        <w:rPr>
          <w:rFonts w:hint="eastAsia" w:asciiTheme="minorEastAsia" w:hAnsiTheme="minorEastAsia"/>
        </w:rPr>
        <w:t>。</w:t>
      </w:r>
    </w:p>
    <w:p>
      <w:pPr>
        <w:pStyle w:val="131"/>
      </w:pPr>
      <w:r>
        <w:rPr>
          <w:rFonts w:hint="eastAsia"/>
        </w:rPr>
        <w:t>毕业生的就业率及就业质量可直观地反映出专业的社会需求和社会认可度，并且直接影响着专业填报的热度。因此，学校在每年专业招生计划的制定过程中，与专业就业率及就业质量挂钩；且实施专业预警和动态调整机制，学科专业设置与学生就业率及就业质量挂钩，形成就业与招生的联动发展格局。学校将进一步对各专业的就业质量以及教育教学评价进行深入细致调研，综合各专业就业情况，适当调整专业设置和招生比例，进一步发展优势学科，改善专业教育教学质量。</w:t>
      </w:r>
    </w:p>
    <w:p>
      <w:pPr>
        <w:pStyle w:val="133"/>
        <w:spacing w:before="163" w:after="163"/>
      </w:pPr>
      <w:bookmarkStart w:id="128" w:name="_Toc521402049"/>
      <w:r>
        <w:rPr>
          <w:rFonts w:hint="eastAsia"/>
        </w:rPr>
        <w:t>三、</w:t>
      </w:r>
      <w:r>
        <w:t>对就</w:t>
      </w:r>
      <w:r>
        <w:rPr>
          <w:rFonts w:hint="eastAsia"/>
        </w:rPr>
        <w:t>业</w:t>
      </w:r>
      <w:r>
        <w:t>创业服务</w:t>
      </w:r>
      <w:r>
        <w:rPr>
          <w:rFonts w:hint="eastAsia"/>
        </w:rPr>
        <w:t>体系</w:t>
      </w:r>
      <w:r>
        <w:t>的影响</w:t>
      </w:r>
      <w:bookmarkEnd w:id="128"/>
    </w:p>
    <w:p>
      <w:pPr>
        <w:pStyle w:val="135"/>
        <w:spacing w:before="163" w:after="163"/>
      </w:pPr>
      <w:bookmarkStart w:id="129" w:name="_Toc521402050"/>
      <w:r>
        <w:rPr>
          <w:rFonts w:hint="eastAsia"/>
        </w:rPr>
        <w:t>（一）</w:t>
      </w:r>
      <w:r>
        <w:t>对就</w:t>
      </w:r>
      <w:r>
        <w:rPr>
          <w:rFonts w:hint="eastAsia"/>
        </w:rPr>
        <w:t>业</w:t>
      </w:r>
      <w:r>
        <w:t>创业服务体系的评价</w:t>
      </w:r>
      <w:bookmarkEnd w:id="129"/>
    </w:p>
    <w:p>
      <w:pPr>
        <w:pStyle w:val="131"/>
        <w:ind w:firstLine="482"/>
      </w:pPr>
      <w:r>
        <w:rPr>
          <w:rFonts w:hint="eastAsia"/>
          <w:b/>
          <w:color w:val="0F6FC6" w:themeColor="accent1"/>
          <w14:textFill>
            <w14:solidFill>
              <w14:schemeClr w14:val="accent1"/>
            </w14:solidFill>
          </w14:textFill>
        </w:rPr>
        <w:t>毕业生对学校就业指导服务的满意度：</w:t>
      </w:r>
      <w:r>
        <w:rPr>
          <w:rFonts w:hint="eastAsia"/>
        </w:rPr>
        <w:t>毕业生对母校各项就业指导服务的满意度均在</w:t>
      </w:r>
      <w:r>
        <w:t>96</w:t>
      </w:r>
      <w:r>
        <w:rPr>
          <w:rFonts w:hint="eastAsia"/>
        </w:rPr>
        <w:t>.00</w:t>
      </w:r>
      <w:r>
        <w:t>%</w:t>
      </w:r>
      <w:r>
        <w:rPr>
          <w:rFonts w:hint="eastAsia"/>
        </w:rPr>
        <w:t>以上，其中“就业</w:t>
      </w:r>
      <w:r>
        <w:t>手续办理</w:t>
      </w:r>
      <w:r>
        <w:rPr>
          <w:rFonts w:hint="eastAsia"/>
        </w:rPr>
        <w:t>”、“职业咨询</w:t>
      </w:r>
      <w:r>
        <w:t>与辅导</w:t>
      </w:r>
      <w:r>
        <w:rPr>
          <w:rFonts w:hint="eastAsia"/>
        </w:rPr>
        <w:t>”和“就业帮扶与</w:t>
      </w:r>
      <w:r>
        <w:t>推荐</w:t>
      </w:r>
      <w:r>
        <w:rPr>
          <w:rFonts w:hint="eastAsia"/>
        </w:rPr>
        <w:t>”的满意度</w:t>
      </w:r>
      <w:r>
        <w:t>相对较高</w:t>
      </w:r>
      <w:r>
        <w:rPr>
          <w:rFonts w:hint="eastAsia"/>
        </w:rPr>
        <w:t>，</w:t>
      </w:r>
      <w:r>
        <w:t>均为</w:t>
      </w:r>
      <w:r>
        <w:rPr>
          <w:rFonts w:hint="eastAsia"/>
        </w:rPr>
        <w:t>100.00</w:t>
      </w:r>
      <w:r>
        <w:t>%</w:t>
      </w:r>
      <w:r>
        <w:rPr>
          <w:rFonts w:hint="eastAsia"/>
        </w:rPr>
        <w:t>；一方面表明学校就业指导服务工作得到了毕业生的认可，另一方面也体现了学校就业工作在促进毕业生顺利就业、高质量就业中所发挥的重要作用。</w:t>
      </w:r>
    </w:p>
    <w:p>
      <w:pPr>
        <w:pStyle w:val="131"/>
        <w:ind w:firstLine="0" w:firstLineChars="0"/>
        <w:jc w:val="center"/>
      </w:pPr>
      <w:r>
        <w:rPr>
          <w:rFonts w:hint="eastAsia"/>
        </w:rPr>
        <w:drawing>
          <wp:inline distT="0" distB="0" distL="0" distR="0">
            <wp:extent cx="4733925" cy="2447925"/>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37"/>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6</w:t>
      </w:r>
      <w:r>
        <w:fldChar w:fldCharType="end"/>
      </w:r>
      <w:r>
        <w:rPr>
          <w:rStyle w:val="34"/>
          <w:b/>
          <w:bCs w:val="0"/>
        </w:rPr>
        <w:t xml:space="preserve">  2017届</w:t>
      </w:r>
      <w:r>
        <w:rPr>
          <w:rStyle w:val="34"/>
          <w:rFonts w:hint="eastAsia"/>
          <w:b/>
          <w:bCs w:val="0"/>
        </w:rPr>
        <w:t>毕业生对学校</w:t>
      </w:r>
      <w:r>
        <w:rPr>
          <w:rStyle w:val="34"/>
          <w:b/>
          <w:bCs w:val="0"/>
        </w:rPr>
        <w:t>就业指导服务的评价</w:t>
      </w:r>
    </w:p>
    <w:p>
      <w:pPr>
        <w:pStyle w:val="139"/>
      </w:pPr>
      <w:r>
        <w:rPr>
          <w:rFonts w:hint="eastAsia"/>
        </w:rPr>
        <w:t>注：满意度为选择“很满意”、“比较满意”和“一般”的人数占此题总人数的比例。</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1"/>
        <w:spacing w:before="163" w:beforeLines="50" w:after="163" w:afterLines="50"/>
        <w:ind w:firstLine="482"/>
      </w:pPr>
      <w:r>
        <w:rPr>
          <w:rFonts w:hint="eastAsia"/>
          <w:b/>
          <w:color w:val="0F6FC6" w:themeColor="accent1"/>
          <w14:textFill>
            <w14:solidFill>
              <w14:schemeClr w14:val="accent1"/>
            </w14:solidFill>
          </w14:textFill>
        </w:rPr>
        <w:t>毕业生对学校创业教育/指导服务的满意度：</w:t>
      </w:r>
      <w:r>
        <w:rPr>
          <w:rFonts w:hint="eastAsia"/>
        </w:rPr>
        <w:t>毕业生对母校各项创业教育</w:t>
      </w:r>
      <w:r>
        <w:t>/</w:t>
      </w:r>
      <w:r>
        <w:rPr>
          <w:rFonts w:hint="eastAsia"/>
        </w:rPr>
        <w:t>指导服务满意度均在</w:t>
      </w:r>
      <w:r>
        <w:t>98.</w:t>
      </w:r>
      <w:r>
        <w:rPr>
          <w:rFonts w:hint="eastAsia"/>
        </w:rPr>
        <w:t>00</w:t>
      </w:r>
      <w:r>
        <w:t>%以上，其中，对</w:t>
      </w:r>
      <w:r>
        <w:rPr>
          <w:rFonts w:hint="eastAsia"/>
        </w:rPr>
        <w:t>“创业</w:t>
      </w:r>
      <w:r>
        <w:t>课程和讲座</w:t>
      </w:r>
      <w:r>
        <w:rPr>
          <w:rFonts w:hint="eastAsia"/>
        </w:rPr>
        <w:t>”、“创新创业大赛”和“创业</w:t>
      </w:r>
      <w:r>
        <w:t>孵化项目</w:t>
      </w:r>
      <w:r>
        <w:rPr>
          <w:rFonts w:hint="eastAsia"/>
        </w:rPr>
        <w:t>”</w:t>
      </w:r>
      <w:r>
        <w:t>的满意度最高，</w:t>
      </w:r>
      <w:r>
        <w:rPr>
          <w:rFonts w:hint="eastAsia"/>
        </w:rPr>
        <w:t>均</w:t>
      </w:r>
      <w:r>
        <w:t>达</w:t>
      </w:r>
      <w:r>
        <w:rPr>
          <w:rFonts w:cs="宋体" w:eastAsiaTheme="minorEastAsia"/>
          <w:color w:val="000000" w:themeColor="text1"/>
          <w:szCs w:val="21"/>
          <w14:textFill>
            <w14:solidFill>
              <w14:schemeClr w14:val="tx1"/>
            </w14:solidFill>
          </w14:textFill>
        </w:rPr>
        <w:t>100.00</w:t>
      </w:r>
      <w:r>
        <w:rPr>
          <w:rFonts w:cs="宋体"/>
          <w:color w:val="000000" w:themeColor="text1"/>
          <w:szCs w:val="21"/>
          <w14:textFill>
            <w14:solidFill>
              <w14:schemeClr w14:val="tx1"/>
            </w14:solidFill>
          </w14:textFill>
        </w:rPr>
        <w:t>%</w:t>
      </w:r>
      <w:r>
        <w:t>。</w:t>
      </w:r>
    </w:p>
    <w:p>
      <w:pPr>
        <w:pStyle w:val="131"/>
      </w:pPr>
      <w:r>
        <w:rPr>
          <w:rFonts w:hint="eastAsia"/>
        </w:rPr>
        <w:drawing>
          <wp:inline distT="0" distB="0" distL="0" distR="0">
            <wp:extent cx="4733925" cy="245745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37"/>
        <w:rPr>
          <w:rStyle w:val="34"/>
          <w:b/>
          <w:bCs w:val="0"/>
        </w:rPr>
      </w:pPr>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7</w:t>
      </w:r>
      <w:r>
        <w:fldChar w:fldCharType="end"/>
      </w:r>
      <w:r>
        <w:rPr>
          <w:rStyle w:val="34"/>
          <w:b/>
          <w:bCs w:val="0"/>
        </w:rPr>
        <w:t xml:space="preserve">  2017届</w:t>
      </w:r>
      <w:r>
        <w:rPr>
          <w:rStyle w:val="34"/>
          <w:rFonts w:hint="eastAsia"/>
          <w:b/>
          <w:bCs w:val="0"/>
        </w:rPr>
        <w:t>毕业生对学校</w:t>
      </w:r>
      <w:r>
        <w:rPr>
          <w:rStyle w:val="34"/>
          <w:b/>
          <w:bCs w:val="0"/>
        </w:rPr>
        <w:t>创业教育</w:t>
      </w:r>
      <w:r>
        <w:rPr>
          <w:rStyle w:val="34"/>
          <w:rFonts w:hint="eastAsia"/>
          <w:b/>
          <w:bCs w:val="0"/>
        </w:rPr>
        <w:t>/指导</w:t>
      </w:r>
      <w:r>
        <w:rPr>
          <w:rStyle w:val="34"/>
          <w:b/>
          <w:bCs w:val="0"/>
        </w:rPr>
        <w:t>服务的评价</w:t>
      </w:r>
    </w:p>
    <w:p>
      <w:pPr>
        <w:pStyle w:val="139"/>
      </w:pPr>
      <w:r>
        <w:rPr>
          <w:rFonts w:hint="eastAsia"/>
        </w:rPr>
        <w:t>注：满意度为选择“很满意”、“比较满意”和“一般”的人数占此题总人数的比例。</w:t>
      </w:r>
    </w:p>
    <w:p>
      <w:pPr>
        <w:pStyle w:val="139"/>
      </w:pPr>
      <w:r>
        <w:t>数据来源</w:t>
      </w:r>
      <w:r>
        <w:rPr>
          <w:rFonts w:hint="eastAsia"/>
        </w:rPr>
        <w:t>：第三方机构新锦成-</w:t>
      </w:r>
      <w:r>
        <w:rPr>
          <w:rFonts w:hint="eastAsia" w:ascii="Times New Roman" w:hAnsi="Times New Roman"/>
        </w:rPr>
        <w:t>2017</w:t>
      </w:r>
      <w:r>
        <w:rPr>
          <w:rFonts w:hint="eastAsia"/>
        </w:rPr>
        <w:t>届</w:t>
      </w:r>
      <w:r>
        <w:t>毕业生就业与培养质量调查。</w:t>
      </w:r>
    </w:p>
    <w:p>
      <w:pPr>
        <w:pStyle w:val="135"/>
        <w:spacing w:before="163"/>
      </w:pPr>
      <w:bookmarkStart w:id="130" w:name="_Toc521402051"/>
      <w:r>
        <w:rPr>
          <w:rFonts w:hint="eastAsia"/>
        </w:rPr>
        <w:t>（二）</w:t>
      </w:r>
      <w:r>
        <w:t>就</w:t>
      </w:r>
      <w:r>
        <w:rPr>
          <w:rFonts w:hint="eastAsia"/>
        </w:rPr>
        <w:t>业</w:t>
      </w:r>
      <w:r>
        <w:t>创业服务工作的改进措</w:t>
      </w:r>
      <w:r>
        <w:rPr>
          <w:rStyle w:val="34"/>
          <w:b/>
          <w:bCs w:val="0"/>
        </w:rPr>
        <w:t>施</w:t>
      </w:r>
      <w:bookmarkEnd w:id="130"/>
    </w:p>
    <w:p>
      <w:pPr>
        <w:pStyle w:val="131"/>
      </w:pPr>
      <w:r>
        <w:rPr>
          <w:rFonts w:hint="eastAsia"/>
        </w:rPr>
        <w:t>学校始终</w:t>
      </w:r>
      <w:r>
        <w:t>注重</w:t>
      </w:r>
      <w:r>
        <w:rPr>
          <w:rFonts w:cs="Times New Roman"/>
          <w:szCs w:val="21"/>
        </w:rPr>
        <w:t>就业及创业指导服务水平的提升</w:t>
      </w:r>
      <w:r>
        <w:t>，每年根据毕业生问卷调查的反馈，聚焦问题实施改善。根据调查显示，2017届</w:t>
      </w:r>
      <w:r>
        <w:rPr>
          <w:rFonts w:hint="eastAsia"/>
        </w:rPr>
        <w:t>毕业生对母校各项就业指导服务的评价偏向比较满意水平，对母校各项就业指导服务的满意度均在</w:t>
      </w:r>
      <w:r>
        <w:t>96.00%</w:t>
      </w:r>
      <w:r>
        <w:rPr>
          <w:rFonts w:hint="eastAsia"/>
        </w:rPr>
        <w:t>以上，对各项创业教育/指导服务的满意度均在</w:t>
      </w:r>
      <w:r>
        <w:t>98.00</w:t>
      </w:r>
      <w:r>
        <w:rPr>
          <w:rFonts w:hint="eastAsia"/>
        </w:rPr>
        <w:t>%以上。学校应整合各方资源，多管齐下，为毕业生提供全方位立体化的</w:t>
      </w:r>
      <w:r>
        <w:rPr>
          <w:rFonts w:cs="Times New Roman"/>
          <w:szCs w:val="21"/>
        </w:rPr>
        <w:t>就</w:t>
      </w:r>
      <w:r>
        <w:rPr>
          <w:rFonts w:hint="eastAsia" w:cs="Times New Roman"/>
          <w:szCs w:val="21"/>
        </w:rPr>
        <w:t>业</w:t>
      </w:r>
      <w:r>
        <w:rPr>
          <w:rFonts w:cs="Times New Roman"/>
          <w:szCs w:val="21"/>
        </w:rPr>
        <w:t>创业指导服务</w:t>
      </w:r>
      <w:r>
        <w:rPr>
          <w:rFonts w:hint="eastAsia"/>
        </w:rPr>
        <w:t>。</w:t>
      </w:r>
    </w:p>
    <w:bookmarkEnd w:id="123"/>
    <w:p>
      <w:pPr>
        <w:pStyle w:val="131"/>
        <w:rPr>
          <w:rFonts w:ascii="宋体" w:hAnsi="宋体"/>
        </w:rPr>
      </w:pPr>
      <w:r>
        <w:rPr>
          <w:rFonts w:hint="eastAsia" w:ascii="宋体" w:hAnsi="宋体"/>
        </w:rPr>
        <w:t>首先，学校应提高就业指导水平和服务能力，建立毕业生求职意愿信息数据库和用人单位需求信息库，继续加强就业指导课程和学科建设，对困难群体毕业生实行“一生一策”动态帮扶，配齐配强专兼职就业指导老师；继续深化人才培养改革，优化高等教育机构，加强应用型高校建设，加快教育教学改革，强化实践教学，建立用人单位和毕业生就业状况反馈机制，以促进学校高等教育更好地服务于国家战略和经济社会发展。</w:t>
      </w:r>
    </w:p>
    <w:p>
      <w:pPr>
        <w:pStyle w:val="131"/>
        <w:rPr>
          <w:rFonts w:ascii="宋体" w:hAnsi="宋体"/>
        </w:rPr>
      </w:pPr>
      <w:r>
        <w:rPr>
          <w:rFonts w:hint="eastAsia" w:ascii="宋体" w:hAnsi="宋体"/>
        </w:rPr>
        <w:t>其次，学校应继续完善创业举措，积极开展创业课程指导工作，推进学校毕业生自主创业，要把创新精神、创业意识和创新创业能力的培养融入到人才培养的全过程中，完善细化毕业生创新创业学分积累与转换、弹性学制管理、保留学籍休学创业等创业政策，坚决做好创业指导服务；同时积极参加创新创业大赛，以深化学校高等教育综合改革，激发学校大学生的创造力，努力培养造就“大众创业、万众创新”的生力军，推动赛事成果转化和产学研用紧密结合，促进创新创业新常态，服务经济提质增效，以创新引领创业、创业带动就业，推动学校毕业生更高质量创业就业。</w:t>
      </w:r>
    </w:p>
    <w:p>
      <w:pPr>
        <w:pStyle w:val="131"/>
        <w:rPr>
          <w:rFonts w:ascii="宋体" w:hAnsi="宋体"/>
        </w:rPr>
      </w:pPr>
      <w:r>
        <w:rPr>
          <w:rFonts w:hint="eastAsia" w:ascii="宋体" w:hAnsi="宋体"/>
        </w:rPr>
        <w:t>再次，学校应引导学生转变就业观念，正确定位，鼓励毕业生投身农村偏远地区基层教育，以适应于区域教育现实，并创造更大的个人人生价值；继续强化师范技能，努力提高本校师范生的教学实践能力，增加其就业竞争力；致力于提高学生的综合素质，争取多就业方向，鼓励毕业生通过继续深造、出国留学、参与选调生、公务员等非教师岗位的竞争。</w:t>
      </w:r>
      <w:r>
        <w:br w:type="page"/>
      </w:r>
    </w:p>
    <w:p>
      <w:pPr>
        <w:pStyle w:val="131"/>
      </w:pPr>
      <w:r>
        <mc:AlternateContent>
          <mc:Choice Requires="wps">
            <w:drawing>
              <wp:anchor distT="0" distB="0" distL="114300" distR="114300" simplePos="0" relativeHeight="251723776" behindDoc="0" locked="0" layoutInCell="1" allowOverlap="1">
                <wp:simplePos x="0" y="0"/>
                <wp:positionH relativeFrom="margin">
                  <wp:posOffset>-1132840</wp:posOffset>
                </wp:positionH>
                <wp:positionV relativeFrom="paragraph">
                  <wp:posOffset>3639185</wp:posOffset>
                </wp:positionV>
                <wp:extent cx="7562850" cy="1981200"/>
                <wp:effectExtent l="0" t="0" r="0" b="0"/>
                <wp:wrapNone/>
                <wp:docPr id="13" name="文本框 13"/>
                <wp:cNvGraphicFramePr/>
                <a:graphic xmlns:a="http://schemas.openxmlformats.org/drawingml/2006/main">
                  <a:graphicData uri="http://schemas.microsoft.com/office/word/2010/wordprocessingShape">
                    <wps:wsp>
                      <wps:cNvSpPr txBox="1"/>
                      <wps:spPr bwMode="auto">
                        <a:xfrm>
                          <a:off x="0" y="0"/>
                          <a:ext cx="7562850" cy="1981200"/>
                        </a:xfrm>
                        <a:prstGeom prst="rect">
                          <a:avLst/>
                        </a:prstGeom>
                        <a:noFill/>
                        <a:ln w="6350">
                          <a:noFill/>
                        </a:ln>
                      </wps:spPr>
                      <wps:txbx>
                        <w:txbxContent>
                          <w:p>
                            <w:pPr>
                              <w:ind w:firstLine="180" w:firstLineChars="25"/>
                              <w:jc w:val="center"/>
                              <w:rPr>
                                <w:rFonts w:ascii="微软雅黑" w:hAnsi="微软雅黑" w:eastAsia="微软雅黑"/>
                                <w:b/>
                                <w:color w:val="FFFFFF" w:themeColor="background1"/>
                                <w:sz w:val="72"/>
                                <w:szCs w:val="72"/>
                                <w14:textFill>
                                  <w14:solidFill>
                                    <w14:schemeClr w14:val="bg1"/>
                                  </w14:solidFill>
                                </w14:textFill>
                              </w:rPr>
                            </w:pPr>
                            <w:r>
                              <w:rPr>
                                <w:rFonts w:hint="eastAsia" w:ascii="微软雅黑" w:hAnsi="微软雅黑" w:eastAsia="微软雅黑"/>
                                <w:b/>
                                <w:color w:val="FFFFFF" w:themeColor="background1"/>
                                <w:sz w:val="72"/>
                                <w:szCs w:val="72"/>
                                <w14:textFill>
                                  <w14:solidFill>
                                    <w14:schemeClr w14:val="bg1"/>
                                  </w14:solidFill>
                                </w14:textFill>
                              </w:rPr>
                              <w:t>盐城幼儿</w:t>
                            </w:r>
                            <w:r>
                              <w:rPr>
                                <w:rFonts w:ascii="微软雅黑" w:hAnsi="微软雅黑" w:eastAsia="微软雅黑"/>
                                <w:b/>
                                <w:color w:val="FFFFFF" w:themeColor="background1"/>
                                <w:sz w:val="72"/>
                                <w:szCs w:val="72"/>
                                <w14:textFill>
                                  <w14:solidFill>
                                    <w14:schemeClr w14:val="bg1"/>
                                  </w14:solidFill>
                                </w14:textFill>
                              </w:rPr>
                              <w:t>师范高等专科学校</w:t>
                            </w:r>
                          </w:p>
                          <w:p>
                            <w:pPr>
                              <w:ind w:firstLine="0" w:firstLineChars="0"/>
                              <w:jc w:val="center"/>
                              <w:rPr>
                                <w:rFonts w:ascii="微软雅黑" w:hAnsi="微软雅黑" w:eastAsia="微软雅黑"/>
                                <w:b/>
                                <w:color w:val="FFFFFF" w:themeColor="background1"/>
                                <w:sz w:val="48"/>
                                <w:szCs w:val="4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2pt;margin-top:286.55pt;height:156pt;width:595.5pt;mso-position-horizontal-relative:margin;z-index:251723776;mso-width-relative:page;mso-height-relative:page;" filled="f" stroked="f" coordsize="21600,21600" o:gfxdata="UEsDBAoAAAAAAIdO4kAAAAAAAAAAAAAAAAAEAAAAZHJzL1BLAwQUAAAACACHTuJA3cEZ690AAAAN&#10;AQAADwAAAGRycy9kb3ducmV2LnhtbE2Py07DMBBF90j8gzVI7FrbgbRWyKRCkSokBIuWbtg5sZtE&#10;+BFi9wFfj7sqy9E9uvdMuTpbQ456CoN3CHzOgGjXejW4DmH3sZ4JICFKp6TxTiP86ACr6vamlIXy&#10;J7fRx23sSCpxoZAIfYxjQWloe21lmPtRu5Tt/WRlTOfUUTXJUyq3hmaMLaiVg0sLvRx13ev2a3uw&#10;CK/1+l1umsyKX1O/vO2fx+/dZ454f8fZE5Coz/EKw0U/qUOVnBp/cCoQgzDjS/GYWIR8+cCBXBDG&#10;swWQBkGInAOtSvr/i+oPUEsDBBQAAAAIAIdO4kBIrLPKKgIAACkEAAAOAAAAZHJzL2Uyb0RvYy54&#10;bWytU81uEzEQviPxDpbvZLNpm6ZRNlVoFYRUaKWCODteb3alXY+xneyWB6BvwIkLd56rz8FnbxLC&#10;zwlxseyZz9/MfDMzu+yamm2VdRXpjKeDIWdKS8orvc74+3fLFxPOnBc6FzVplfEH5fjl/PmzWWum&#10;akQl1bmyDCTaTVuT8dJ7M00SJ0vVCDcgozScBdlGeDztOsmtaMHe1MloOBwnLdncWJLKOViveyef&#10;R/6iUNLfFoVTntUZR24+njaeq3Am85mYrq0wZSV3aYh/yKIRlUbQA9W18IJtbPUHVVNJS44KP5DU&#10;JFQUlVSxBlSTDn+r5r4URsVaII4zB5nc/6OVb7d3llU5enfCmRYNevT05fHp6/enb58ZbBCoNW4K&#10;3L0B0ncvqQN4b3fBuGrfUI6PYuMpqtAVtglqoD4GNIR/OIitOs8kjOdn49HkDC4JX3oxSdHOwJqI&#10;6f67sc6/UtSwcMm4RTcjvdjeON9D95AQTdOyquvY0VqzNuPjE/D/4gF5rREjlBRS74vz3arb1bmi&#10;/AEVWeonxRm5rBD8Rjh/JyxGAwlj3P0tjqImBKHdjbOS7Ke/2QMeHYOXsxajlnH3cSOs4qx+rdHL&#10;i/T0NMxmfJyenY/wsMee1bFHb5orwjSnWCwj4zXgfb2/FpaaD9iKRYgKl9ASsTPu99cr3y8Atkqq&#10;xSKCMI1G+Bt9b2Sg7kVboJ9FFZUOgvXa7NTDPMZe7XYnDPzxO6J+bvj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BGevdAAAADQEAAA8AAAAAAAAAAQAgAAAAIgAAAGRycy9kb3ducmV2LnhtbFBL&#10;AQIUABQAAAAIAIdO4kBIrLPKKgIAACkEAAAOAAAAAAAAAAEAIAAAACwBAABkcnMvZTJvRG9jLnht&#10;bFBLBQYAAAAABgAGAFkBAADIBQAAAAA=&#10;">
                <v:fill on="f" focussize="0,0"/>
                <v:stroke on="f" weight="0.5pt"/>
                <v:imagedata o:title=""/>
                <o:lock v:ext="edit" aspectratio="f"/>
                <v:textbox>
                  <w:txbxContent>
                    <w:p>
                      <w:pPr>
                        <w:ind w:firstLine="180" w:firstLineChars="25"/>
                        <w:jc w:val="center"/>
                        <w:rPr>
                          <w:rFonts w:ascii="微软雅黑" w:hAnsi="微软雅黑" w:eastAsia="微软雅黑"/>
                          <w:b/>
                          <w:color w:val="FFFFFF" w:themeColor="background1"/>
                          <w:sz w:val="72"/>
                          <w:szCs w:val="72"/>
                          <w14:textFill>
                            <w14:solidFill>
                              <w14:schemeClr w14:val="bg1"/>
                            </w14:solidFill>
                          </w14:textFill>
                        </w:rPr>
                      </w:pPr>
                      <w:r>
                        <w:rPr>
                          <w:rFonts w:hint="eastAsia" w:ascii="微软雅黑" w:hAnsi="微软雅黑" w:eastAsia="微软雅黑"/>
                          <w:b/>
                          <w:color w:val="FFFFFF" w:themeColor="background1"/>
                          <w:sz w:val="72"/>
                          <w:szCs w:val="72"/>
                          <w14:textFill>
                            <w14:solidFill>
                              <w14:schemeClr w14:val="bg1"/>
                            </w14:solidFill>
                          </w14:textFill>
                        </w:rPr>
                        <w:t>盐城幼儿</w:t>
                      </w:r>
                      <w:r>
                        <w:rPr>
                          <w:rFonts w:ascii="微软雅黑" w:hAnsi="微软雅黑" w:eastAsia="微软雅黑"/>
                          <w:b/>
                          <w:color w:val="FFFFFF" w:themeColor="background1"/>
                          <w:sz w:val="72"/>
                          <w:szCs w:val="72"/>
                          <w14:textFill>
                            <w14:solidFill>
                              <w14:schemeClr w14:val="bg1"/>
                            </w14:solidFill>
                          </w14:textFill>
                        </w:rPr>
                        <w:t>师范高等专科学校</w:t>
                      </w:r>
                    </w:p>
                    <w:p>
                      <w:pPr>
                        <w:ind w:firstLine="0" w:firstLineChars="0"/>
                        <w:jc w:val="center"/>
                        <w:rPr>
                          <w:rFonts w:ascii="微软雅黑" w:hAnsi="微软雅黑" w:eastAsia="微软雅黑"/>
                          <w:b/>
                          <w:color w:val="FFFFFF" w:themeColor="background1"/>
                          <w:sz w:val="48"/>
                          <w:szCs w:val="4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margin">
                  <wp:posOffset>-995680</wp:posOffset>
                </wp:positionH>
                <wp:positionV relativeFrom="paragraph">
                  <wp:posOffset>8216265</wp:posOffset>
                </wp:positionV>
                <wp:extent cx="7572375" cy="666750"/>
                <wp:effectExtent l="0" t="0" r="0" b="0"/>
                <wp:wrapNone/>
                <wp:docPr id="53" name="文本框 53"/>
                <wp:cNvGraphicFramePr/>
                <a:graphic xmlns:a="http://schemas.openxmlformats.org/drawingml/2006/main">
                  <a:graphicData uri="http://schemas.microsoft.com/office/word/2010/wordprocessingShape">
                    <wps:wsp>
                      <wps:cNvSpPr txBox="1"/>
                      <wps:spPr bwMode="auto">
                        <a:xfrm>
                          <a:off x="0" y="0"/>
                          <a:ext cx="7572375" cy="666750"/>
                        </a:xfrm>
                        <a:prstGeom prst="rect">
                          <a:avLst/>
                        </a:prstGeom>
                        <a:noFill/>
                        <a:ln w="6350">
                          <a:noFill/>
                        </a:ln>
                      </wps:spPr>
                      <wps:txbx>
                        <w:txbxContent>
                          <w:p>
                            <w:pPr>
                              <w:ind w:firstLine="0" w:firstLineChars="0"/>
                              <w:jc w:val="center"/>
                              <w:rPr>
                                <w:rFonts w:ascii="微软雅黑" w:hAnsi="微软雅黑" w:eastAsia="微软雅黑"/>
                              </w:rPr>
                            </w:pPr>
                            <w:r>
                              <w:rPr>
                                <w:rFonts w:hint="eastAsia" w:ascii="微软雅黑" w:hAnsi="微软雅黑" w:eastAsia="微软雅黑"/>
                                <w:szCs w:val="24"/>
                              </w:rPr>
                              <w:t>盐城幼儿</w:t>
                            </w:r>
                            <w:r>
                              <w:rPr>
                                <w:rFonts w:ascii="微软雅黑" w:hAnsi="微软雅黑" w:eastAsia="微软雅黑"/>
                                <w:szCs w:val="24"/>
                              </w:rPr>
                              <w:t>师范高等专科学校</w:t>
                            </w:r>
                            <w:r>
                              <w:rPr>
                                <w:rFonts w:hint="eastAsia" w:ascii="微软雅黑" w:hAnsi="微软雅黑" w:eastAsia="微软雅黑"/>
                                <w:szCs w:val="24"/>
                              </w:rPr>
                              <w:t>招生</w:t>
                            </w:r>
                            <w:r>
                              <w:rPr>
                                <w:rFonts w:ascii="微软雅黑" w:hAnsi="微软雅黑" w:eastAsia="微软雅黑"/>
                                <w:szCs w:val="24"/>
                              </w:rPr>
                              <w:t>就业处</w:t>
                            </w:r>
                            <w:r>
                              <w:rPr>
                                <w:rFonts w:hint="eastAsia" w:ascii="微软雅黑" w:hAnsi="微软雅黑" w:eastAsia="微软雅黑"/>
                                <w:szCs w:val="24"/>
                              </w:rPr>
                              <w:t xml:space="preserve"> </w:t>
                            </w:r>
                            <w:r>
                              <w:rPr>
                                <w:rFonts w:hint="eastAsia" w:ascii="微软雅黑" w:hAnsi="微软雅黑" w:eastAsia="微软雅黑"/>
                              </w:rPr>
                              <w:t>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pt;margin-top:646.95pt;height:52.5pt;width:596.25pt;mso-position-horizontal-relative:margin;z-index:251718656;mso-width-relative:page;mso-height-relative:page;" filled="f" stroked="f" coordsize="21600,21600" o:gfxdata="UEsDBAoAAAAAAIdO4kAAAAAAAAAAAAAAAAAEAAAAZHJzL1BLAwQUAAAACACHTuJAAvXt598AAAAP&#10;AQAADwAAAGRycy9kb3ducmV2LnhtbE2PzU7DMBCE70i8g7VI3Fo7iVKSEKdCkSokBIeWXrht4m0S&#10;Edshdn/g6XFPcJvVjGa+LdcXPbITzW6wRkK0FMDItFYNppOwf98sMmDOo1E4WkMSvsnBurq9KbFQ&#10;9my2dNr5joUS4wqU0Hs/FZy7tieNbmknMsE72FmjD+fccTXjOZTrkcdCrLjGwYSFHieqe2o/d0ct&#10;4aXevOG2iXX2M9bPr4en6Wv/kUp5fxeJR2CeLv4vDFf8gA5VYGrs0SjHRgmLKF0Fdh+cOE9yYNeM&#10;SNIHYE1QSZ7lwKuS//+j+gVQSwMEFAAAAAgAh07iQB4CmFAoAgAAKAQAAA4AAABkcnMvZTJvRG9j&#10;LnhtbK1TS44TMRDdI3EHy3vS+QeidEZhRkFIgRkpINaO25201O0ytpPucADmBqzYsOdcOQfPzofw&#10;WSE2Vrmq/Kreq/LkpqlKtlPWFaRT3mm1OVNaUlbodcrfv5s/e86Z80JnoiStUr5Xjt9Mnz6Z1Gas&#10;urShMlOWAUS7cW1SvvHejJPEyY2qhGuRURrBnGwlPK52nWRW1ECvyqTbbg+TmmxmLEnlHLx3xyCf&#10;Rvw8V9Lf57lTnpUpR28+njaeq3Am04kYr60wm0Ke2hD/0EUlCo2iF6g74QXb2uIPqKqQlhzlviWp&#10;SijPC6kiB7DptH9js9wIoyIXiOPMRSb3/2Dl292DZUWW8kGPMy0qzOjw5fHw9fvh22cGHwSqjRsj&#10;b2mQ6ZuX1GDQZ78LzlX9hjI8FFtPUYUmt1VQA/wYsiH8/iK2ajyTcI4Go25vNOBMIjYcDkeDOI1E&#10;jM+vjXX+laKKBSPlFsOM6GK3cB59IfWcEoppmhdlGQdaalYDtAfIXyJ4UWo8DIxC50duvlk1J5or&#10;yvYgZOm4KM7IeYHiC+H8g7DYDFDBtvt7HHlJKEIni7MN2U9/84d8DAxRzmpsWsrdx62wirPytcYo&#10;X3T6/bCa8dKHKrjY68jqOqK31S1hmTv4V0ZGM+T78mzmlqoP+BSzUBUhoSVqp9yfzVt/3H98Kqlm&#10;s5iEZTTCL/TSyAB9FG2GceZFVDoIdtTmpB7WMQ7g9HXCvl/fY9bPDz7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L17effAAAADwEAAA8AAAAAAAAAAQAgAAAAIgAAAGRycy9kb3ducmV2LnhtbFBL&#10;AQIUABQAAAAIAIdO4kAeAphQKAIAACgEAAAOAAAAAAAAAAEAIAAAAC4BAABkcnMvZTJvRG9jLnht&#10;bFBLBQYAAAAABgAGAFkBAADIBQAAAAA=&#10;">
                <v:fill on="f" focussize="0,0"/>
                <v:stroke on="f" weight="0.5pt"/>
                <v:imagedata o:title=""/>
                <o:lock v:ext="edit" aspectratio="f"/>
                <v:textbox>
                  <w:txbxContent>
                    <w:p>
                      <w:pPr>
                        <w:ind w:firstLine="0" w:firstLineChars="0"/>
                        <w:jc w:val="center"/>
                        <w:rPr>
                          <w:rFonts w:ascii="微软雅黑" w:hAnsi="微软雅黑" w:eastAsia="微软雅黑"/>
                        </w:rPr>
                      </w:pPr>
                      <w:r>
                        <w:rPr>
                          <w:rFonts w:hint="eastAsia" w:ascii="微软雅黑" w:hAnsi="微软雅黑" w:eastAsia="微软雅黑"/>
                          <w:szCs w:val="24"/>
                        </w:rPr>
                        <w:t>盐城幼儿</w:t>
                      </w:r>
                      <w:r>
                        <w:rPr>
                          <w:rFonts w:ascii="微软雅黑" w:hAnsi="微软雅黑" w:eastAsia="微软雅黑"/>
                          <w:szCs w:val="24"/>
                        </w:rPr>
                        <w:t>师范高等专科学校</w:t>
                      </w:r>
                      <w:r>
                        <w:rPr>
                          <w:rFonts w:hint="eastAsia" w:ascii="微软雅黑" w:hAnsi="微软雅黑" w:eastAsia="微软雅黑"/>
                          <w:szCs w:val="24"/>
                        </w:rPr>
                        <w:t>招生</w:t>
                      </w:r>
                      <w:r>
                        <w:rPr>
                          <w:rFonts w:ascii="微软雅黑" w:hAnsi="微软雅黑" w:eastAsia="微软雅黑"/>
                          <w:szCs w:val="24"/>
                        </w:rPr>
                        <w:t>就业处</w:t>
                      </w:r>
                      <w:r>
                        <w:rPr>
                          <w:rFonts w:hint="eastAsia" w:ascii="微软雅黑" w:hAnsi="微软雅黑" w:eastAsia="微软雅黑"/>
                          <w:szCs w:val="24"/>
                        </w:rPr>
                        <w:t xml:space="preserve"> </w:t>
                      </w:r>
                      <w:r>
                        <w:rPr>
                          <w:rFonts w:hint="eastAsia" w:ascii="微软雅黑" w:hAnsi="微软雅黑" w:eastAsia="微软雅黑"/>
                        </w:rPr>
                        <w:t>编</w:t>
                      </w:r>
                    </w:p>
                  </w:txbxContent>
                </v:textbox>
              </v:shape>
            </w:pict>
          </mc:Fallback>
        </mc:AlternateContent>
      </w:r>
      <w:r>
        <w:drawing>
          <wp:anchor distT="0" distB="0" distL="114300" distR="114300" simplePos="0" relativeHeight="251716608" behindDoc="0" locked="0" layoutInCell="1" allowOverlap="1">
            <wp:simplePos x="0" y="0"/>
            <wp:positionH relativeFrom="page">
              <wp:posOffset>-52705</wp:posOffset>
            </wp:positionH>
            <wp:positionV relativeFrom="paragraph">
              <wp:posOffset>-900430</wp:posOffset>
            </wp:positionV>
            <wp:extent cx="7710805" cy="10286365"/>
            <wp:effectExtent l="0" t="0" r="5080" b="635"/>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48">
                      <a:extLst>
                        <a:ext uri="{28A0092B-C50C-407E-A947-70E740481C1C}">
                          <a14:useLocalDpi xmlns:a14="http://schemas.microsoft.com/office/drawing/2010/main" val="0"/>
                        </a:ext>
                      </a:extLst>
                    </a:blip>
                    <a:stretch>
                      <a:fillRect/>
                    </a:stretch>
                  </pic:blipFill>
                  <pic:spPr>
                    <a:xfrm>
                      <a:off x="0" y="0"/>
                      <a:ext cx="7714253" cy="10291511"/>
                    </a:xfrm>
                    <a:prstGeom prst="rect">
                      <a:avLst/>
                    </a:prstGeom>
                  </pic:spPr>
                </pic:pic>
              </a:graphicData>
            </a:graphic>
          </wp:anchor>
        </w:drawing>
      </w:r>
      <w:r>
        <w:rPr>
          <w:rFonts w:hint="eastAsia" w:cs="Times New Roman"/>
          <w:b/>
          <w:bCs/>
          <w:sz w:val="28"/>
          <w:szCs w:val="28"/>
        </w:rPr>
        <w:t>9</w:t>
      </w:r>
    </w:p>
    <w:sectPr>
      <w:pgSz w:w="11907" w:h="16160"/>
      <w:pgMar w:top="1418" w:right="1418" w:bottom="1418" w:left="1701" w:header="680" w:footer="992" w:gutter="0"/>
      <w:pgNumType w:start="1"/>
      <w:cols w:space="425"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ˎ̥">
    <w:altName w:val="Times New Roman"/>
    <w:panose1 w:val="00000000000000000000"/>
    <w:charset w:val="00"/>
    <w:family w:val="roman"/>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0" w:usb3="00000000" w:csb0="0000019F" w:csb1="00000000"/>
  </w:font>
  <w:font w:name="楷体">
    <w:altName w:val="楷体_GB2312"/>
    <w:panose1 w:val="00000000000000000000"/>
    <w:charset w:val="86"/>
    <w:family w:val="modern"/>
    <w:pitch w:val="default"/>
    <w:sig w:usb0="00000000" w:usb1="00000000"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0F3C52" w:usb2="00000016" w:usb3="00000000" w:csb0="0004001F" w:csb1="00000000"/>
  </w:font>
  <w:font w:name="Arial">
    <w:panose1 w:val="020B0604020202020204"/>
    <w:charset w:val="00"/>
    <w:family w:val="swiss"/>
    <w:pitch w:val="default"/>
    <w:sig w:usb0="00007A87" w:usb1="80000000" w:usb2="00000008" w:usb3="00000000" w:csb0="400001FF" w:csb1="FFFF0000"/>
  </w:font>
  <w:font w:name="Tahoma">
    <w:panose1 w:val="020B0604030504040204"/>
    <w:charset w:val="00"/>
    <w:family w:val="swiss"/>
    <w:pitch w:val="variable"/>
    <w:sig w:usb0="61007A87" w:usb1="80000000" w:usb2="00000008" w:usb3="00000000" w:csb0="200101FF" w:csb1="2028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0477331"/>
      <w:docPartObj>
        <w:docPartGallery w:val="AutoText"/>
      </w:docPartObj>
    </w:sdtPr>
    <w:sdtContent>
      <w:p>
        <w:pPr>
          <w:pStyle w:val="20"/>
          <w:ind w:firstLine="0" w:firstLineChars="0"/>
          <w:jc w:val="center"/>
        </w:pPr>
        <w:r>
          <w:fldChar w:fldCharType="begin"/>
        </w:r>
        <w:r>
          <w:instrText xml:space="preserve">PAGE   \* MERGEFORMAT</w:instrText>
        </w:r>
        <w:r>
          <w:fldChar w:fldCharType="separate"/>
        </w:r>
        <w:r>
          <w:t>24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5"/>
        <w:spacing w:line="240" w:lineRule="auto"/>
        <w:ind w:firstLine="360"/>
      </w:pPr>
      <w:r>
        <w:rPr>
          <w:rStyle w:val="40"/>
        </w:rPr>
        <w:footnoteRef/>
      </w:r>
      <w:r>
        <w:rPr>
          <w:rFonts w:hint="eastAsia"/>
        </w:rPr>
        <w:t>针对毕业</w:t>
      </w:r>
      <w:r>
        <w:t>去向为：</w:t>
      </w:r>
      <w:r>
        <w:rPr>
          <w:rFonts w:hint="eastAsia"/>
        </w:rPr>
        <w:t>签就业协议形式就业、</w:t>
      </w:r>
      <w:r>
        <w:t>其他录用形式就业和</w:t>
      </w:r>
      <w:r>
        <w:rPr>
          <w:rFonts w:hint="eastAsia"/>
        </w:rPr>
        <w:t>签劳动合同形式就业</w:t>
      </w:r>
      <w:r>
        <w:t>的毕业生</w:t>
      </w:r>
      <w:r>
        <w:rPr>
          <w:rFonts w:hint="eastAsia"/>
        </w:rPr>
        <w:t>进一步</w:t>
      </w:r>
      <w:r>
        <w:t>统计分析</w:t>
      </w:r>
      <w:r>
        <w:rPr>
          <w:rFonts w:hint="eastAsia"/>
        </w:rPr>
        <w:t>其</w:t>
      </w:r>
      <w:r>
        <w:t>就业地区、就业单位、就业行业及就业职业分布</w:t>
      </w:r>
      <w:r>
        <w:rPr>
          <w:rFonts w:hint="eastAsia"/>
        </w:rPr>
        <w:t>。</w:t>
      </w:r>
    </w:p>
  </w:footnote>
  <w:footnote w:id="1">
    <w:p>
      <w:pPr>
        <w:pStyle w:val="25"/>
        <w:ind w:firstLine="360"/>
      </w:pPr>
      <w:r>
        <w:rPr>
          <w:rStyle w:val="40"/>
        </w:rPr>
        <w:footnoteRef/>
      </w:r>
      <w:r>
        <w:t>由于</w:t>
      </w:r>
      <w:r>
        <w:rPr>
          <w:rFonts w:hint="eastAsia"/>
        </w:rPr>
        <w:t>学校</w:t>
      </w:r>
      <w:r>
        <w:t>委托第三方</w:t>
      </w:r>
      <w:r>
        <w:rPr>
          <w:rFonts w:hint="eastAsia"/>
        </w:rPr>
        <w:t>机构（新锦成）开展</w:t>
      </w:r>
      <w:r>
        <w:rPr>
          <w:rFonts w:ascii="Times New Roman" w:hAnsi="Times New Roman" w:cs="Times New Roman"/>
        </w:rPr>
        <w:t>201</w:t>
      </w:r>
      <w:r>
        <w:rPr>
          <w:rFonts w:hint="eastAsia" w:ascii="Times New Roman" w:hAnsi="Times New Roman" w:cs="Times New Roman"/>
        </w:rPr>
        <w:t>7</w:t>
      </w:r>
      <w:r>
        <w:rPr>
          <w:rFonts w:hint="eastAsia"/>
        </w:rPr>
        <w:t>届</w:t>
      </w:r>
      <w:r>
        <w:t>毕业生就业与培养质量调查</w:t>
      </w:r>
      <w:r>
        <w:rPr>
          <w:rFonts w:hint="eastAsia"/>
        </w:rPr>
        <w:t>的</w:t>
      </w:r>
      <w:r>
        <w:t>时间</w:t>
      </w:r>
      <w:r>
        <w:rPr>
          <w:rFonts w:hint="eastAsia"/>
        </w:rPr>
        <w:t>节点不同于学校</w:t>
      </w:r>
      <w:r>
        <w:t>统计毕业生</w:t>
      </w:r>
      <w:r>
        <w:rPr>
          <w:rFonts w:hint="eastAsia"/>
        </w:rPr>
        <w:t>就业率的</w:t>
      </w:r>
      <w:r>
        <w:t>时间</w:t>
      </w:r>
      <w:r>
        <w:rPr>
          <w:rFonts w:hint="eastAsia"/>
        </w:rPr>
        <w:t>节点</w:t>
      </w:r>
      <w:r>
        <w:t>，故此处</w:t>
      </w:r>
      <w:r>
        <w:rPr>
          <w:rFonts w:hint="eastAsia"/>
        </w:rPr>
        <w:t>自主</w:t>
      </w:r>
      <w:r>
        <w:t>创业人数与前</w:t>
      </w:r>
      <w:r>
        <w:rPr>
          <w:rFonts w:hint="eastAsia"/>
        </w:rPr>
        <w:t>面毕业生</w:t>
      </w:r>
      <w:r>
        <w:t>总体就业形式的</w:t>
      </w:r>
      <w:r>
        <w:rPr>
          <w:rFonts w:hint="eastAsia"/>
        </w:rPr>
        <w:t>统计</w:t>
      </w:r>
      <w:r>
        <w:t>数据</w:t>
      </w:r>
      <w:r>
        <w:rPr>
          <w:rFonts w:hint="eastAsia"/>
        </w:rPr>
        <w:t>存在</w:t>
      </w:r>
      <w:r>
        <w:t>出入。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rPr>
        <w:color w:val="FF0000"/>
      </w:rPr>
    </w:pPr>
    <w:r>
      <w:rPr>
        <w:rFonts w:hint="eastAsia"/>
      </w:rPr>
      <w:t>新锦成职业技术学院</w:t>
    </w:r>
    <w:r>
      <w:rPr>
        <w:rFonts w:hint="eastAsia" w:ascii="Times New Roman" w:hAnsi="Times New Roman"/>
      </w:rPr>
      <w:t>2016</w:t>
    </w:r>
    <w:r>
      <w:rPr>
        <w:rFonts w:hint="eastAsia"/>
      </w:rPr>
      <w:t>届</w:t>
    </w:r>
    <w:r>
      <w:t>毕业生就业质量</w:t>
    </w:r>
    <w:r>
      <w:rPr>
        <w:rFonts w:hint="eastAsia"/>
      </w:rPr>
      <w:t>年度报告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tabs>
        <w:tab w:val="right" w:pos="8788"/>
        <w:tab w:val="clear" w:pos="4153"/>
        <w:tab w:val="clear" w:pos="8306"/>
      </w:tabs>
      <w:ind w:firstLine="0" w:firstLineChars="0"/>
      <w:jc w:val="left"/>
    </w:pPr>
    <w:r>
      <w:drawing>
        <wp:anchor distT="0" distB="0" distL="114300" distR="114300" simplePos="0" relativeHeight="251658240" behindDoc="0" locked="0" layoutInCell="1" allowOverlap="1">
          <wp:simplePos x="0" y="0"/>
          <wp:positionH relativeFrom="column">
            <wp:posOffset>-22860</wp:posOffset>
          </wp:positionH>
          <wp:positionV relativeFrom="paragraph">
            <wp:posOffset>44450</wp:posOffset>
          </wp:positionV>
          <wp:extent cx="5633720" cy="189865"/>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33720" cy="189851"/>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DD3575"/>
    <w:multiLevelType w:val="multilevel"/>
    <w:tmpl w:val="61DD3575"/>
    <w:lvl w:ilvl="0" w:tentative="0">
      <w:start w:val="1"/>
      <w:numFmt w:val="bullet"/>
      <w:pStyle w:val="10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A5927AD"/>
    <w:multiLevelType w:val="multilevel"/>
    <w:tmpl w:val="6A5927AD"/>
    <w:lvl w:ilvl="0" w:tentative="0">
      <w:start w:val="1"/>
      <w:numFmt w:val="bullet"/>
      <w:pStyle w:val="122"/>
      <w:lvlText w:val=""/>
      <w:lvlJc w:val="left"/>
      <w:pPr>
        <w:ind w:left="284" w:hanging="284"/>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550"/>
    <w:rsid w:val="00000D08"/>
    <w:rsid w:val="00003A92"/>
    <w:rsid w:val="0000412E"/>
    <w:rsid w:val="00004C1F"/>
    <w:rsid w:val="00005345"/>
    <w:rsid w:val="00006348"/>
    <w:rsid w:val="00006AE8"/>
    <w:rsid w:val="00006E41"/>
    <w:rsid w:val="000070D4"/>
    <w:rsid w:val="00007126"/>
    <w:rsid w:val="0000731E"/>
    <w:rsid w:val="000102A6"/>
    <w:rsid w:val="00010510"/>
    <w:rsid w:val="00010CC3"/>
    <w:rsid w:val="000128F5"/>
    <w:rsid w:val="0001455B"/>
    <w:rsid w:val="00015A2F"/>
    <w:rsid w:val="00017570"/>
    <w:rsid w:val="0001774D"/>
    <w:rsid w:val="00017AD3"/>
    <w:rsid w:val="00020719"/>
    <w:rsid w:val="000214EE"/>
    <w:rsid w:val="00021ABB"/>
    <w:rsid w:val="00024596"/>
    <w:rsid w:val="00025472"/>
    <w:rsid w:val="00026E26"/>
    <w:rsid w:val="00027122"/>
    <w:rsid w:val="000278E5"/>
    <w:rsid w:val="000306C9"/>
    <w:rsid w:val="000316B5"/>
    <w:rsid w:val="00031904"/>
    <w:rsid w:val="00031B71"/>
    <w:rsid w:val="000320FB"/>
    <w:rsid w:val="000330D5"/>
    <w:rsid w:val="00033334"/>
    <w:rsid w:val="000337BD"/>
    <w:rsid w:val="00034410"/>
    <w:rsid w:val="000367AB"/>
    <w:rsid w:val="00040915"/>
    <w:rsid w:val="00042483"/>
    <w:rsid w:val="00043971"/>
    <w:rsid w:val="00043A77"/>
    <w:rsid w:val="00043E4F"/>
    <w:rsid w:val="000445A1"/>
    <w:rsid w:val="00044BF1"/>
    <w:rsid w:val="00044D19"/>
    <w:rsid w:val="000457D9"/>
    <w:rsid w:val="00045B23"/>
    <w:rsid w:val="00045DEB"/>
    <w:rsid w:val="00046E07"/>
    <w:rsid w:val="000479D4"/>
    <w:rsid w:val="00050804"/>
    <w:rsid w:val="00050BB9"/>
    <w:rsid w:val="0005197D"/>
    <w:rsid w:val="00051D70"/>
    <w:rsid w:val="000520B8"/>
    <w:rsid w:val="000525C9"/>
    <w:rsid w:val="00052C06"/>
    <w:rsid w:val="00052FC6"/>
    <w:rsid w:val="000537DE"/>
    <w:rsid w:val="00054FBF"/>
    <w:rsid w:val="0005545F"/>
    <w:rsid w:val="00055DFE"/>
    <w:rsid w:val="00056DC0"/>
    <w:rsid w:val="000605EB"/>
    <w:rsid w:val="000607C6"/>
    <w:rsid w:val="000607D6"/>
    <w:rsid w:val="00060C1B"/>
    <w:rsid w:val="00061C2E"/>
    <w:rsid w:val="00062269"/>
    <w:rsid w:val="00062FB6"/>
    <w:rsid w:val="00063D4E"/>
    <w:rsid w:val="000649A7"/>
    <w:rsid w:val="00065CAA"/>
    <w:rsid w:val="00065D13"/>
    <w:rsid w:val="0007168E"/>
    <w:rsid w:val="00071C47"/>
    <w:rsid w:val="00072B75"/>
    <w:rsid w:val="000734B4"/>
    <w:rsid w:val="0007360E"/>
    <w:rsid w:val="0007548E"/>
    <w:rsid w:val="000761A2"/>
    <w:rsid w:val="00076773"/>
    <w:rsid w:val="00076A91"/>
    <w:rsid w:val="000772C9"/>
    <w:rsid w:val="00077D93"/>
    <w:rsid w:val="000816FA"/>
    <w:rsid w:val="0008280C"/>
    <w:rsid w:val="00082A16"/>
    <w:rsid w:val="00082A8A"/>
    <w:rsid w:val="00082E20"/>
    <w:rsid w:val="00083008"/>
    <w:rsid w:val="00083F80"/>
    <w:rsid w:val="000843ED"/>
    <w:rsid w:val="00085BCE"/>
    <w:rsid w:val="00086EC5"/>
    <w:rsid w:val="00087101"/>
    <w:rsid w:val="00087B06"/>
    <w:rsid w:val="00087CD3"/>
    <w:rsid w:val="00087D8D"/>
    <w:rsid w:val="000901CA"/>
    <w:rsid w:val="00090564"/>
    <w:rsid w:val="00091158"/>
    <w:rsid w:val="00093EAE"/>
    <w:rsid w:val="00094109"/>
    <w:rsid w:val="0009612F"/>
    <w:rsid w:val="000967DE"/>
    <w:rsid w:val="00096C41"/>
    <w:rsid w:val="00096E71"/>
    <w:rsid w:val="00097464"/>
    <w:rsid w:val="00097763"/>
    <w:rsid w:val="000978D2"/>
    <w:rsid w:val="000A10B0"/>
    <w:rsid w:val="000A1182"/>
    <w:rsid w:val="000A2730"/>
    <w:rsid w:val="000A306F"/>
    <w:rsid w:val="000A326B"/>
    <w:rsid w:val="000A3B59"/>
    <w:rsid w:val="000A408B"/>
    <w:rsid w:val="000A42AA"/>
    <w:rsid w:val="000A46DF"/>
    <w:rsid w:val="000A4AF7"/>
    <w:rsid w:val="000A5D3A"/>
    <w:rsid w:val="000A6792"/>
    <w:rsid w:val="000A6F99"/>
    <w:rsid w:val="000A74A2"/>
    <w:rsid w:val="000B03E5"/>
    <w:rsid w:val="000B09FF"/>
    <w:rsid w:val="000B14A2"/>
    <w:rsid w:val="000B21B3"/>
    <w:rsid w:val="000B2518"/>
    <w:rsid w:val="000B2CF3"/>
    <w:rsid w:val="000B3D00"/>
    <w:rsid w:val="000B40F8"/>
    <w:rsid w:val="000B4E67"/>
    <w:rsid w:val="000B4E6D"/>
    <w:rsid w:val="000B67AF"/>
    <w:rsid w:val="000B6860"/>
    <w:rsid w:val="000C02DC"/>
    <w:rsid w:val="000C1B60"/>
    <w:rsid w:val="000C28CB"/>
    <w:rsid w:val="000C2B52"/>
    <w:rsid w:val="000C33F3"/>
    <w:rsid w:val="000C37C5"/>
    <w:rsid w:val="000C60EF"/>
    <w:rsid w:val="000C7B64"/>
    <w:rsid w:val="000D0851"/>
    <w:rsid w:val="000D1796"/>
    <w:rsid w:val="000D1B47"/>
    <w:rsid w:val="000D282F"/>
    <w:rsid w:val="000D2B89"/>
    <w:rsid w:val="000D3C5E"/>
    <w:rsid w:val="000D4612"/>
    <w:rsid w:val="000D52CD"/>
    <w:rsid w:val="000D7262"/>
    <w:rsid w:val="000E06E6"/>
    <w:rsid w:val="000E179E"/>
    <w:rsid w:val="000E2EA9"/>
    <w:rsid w:val="000E3486"/>
    <w:rsid w:val="000E4137"/>
    <w:rsid w:val="000E4DDA"/>
    <w:rsid w:val="000E4E52"/>
    <w:rsid w:val="000E5819"/>
    <w:rsid w:val="000E5F6F"/>
    <w:rsid w:val="000E6DFE"/>
    <w:rsid w:val="000E7500"/>
    <w:rsid w:val="000F05C8"/>
    <w:rsid w:val="000F1F3B"/>
    <w:rsid w:val="000F453E"/>
    <w:rsid w:val="000F4ADD"/>
    <w:rsid w:val="000F6D76"/>
    <w:rsid w:val="000F7D0A"/>
    <w:rsid w:val="00103626"/>
    <w:rsid w:val="00103BF6"/>
    <w:rsid w:val="00104701"/>
    <w:rsid w:val="00104776"/>
    <w:rsid w:val="001052B6"/>
    <w:rsid w:val="00105328"/>
    <w:rsid w:val="00105443"/>
    <w:rsid w:val="00105F26"/>
    <w:rsid w:val="001063F4"/>
    <w:rsid w:val="0010736C"/>
    <w:rsid w:val="0010755C"/>
    <w:rsid w:val="00110C5D"/>
    <w:rsid w:val="0011479F"/>
    <w:rsid w:val="001147BD"/>
    <w:rsid w:val="00114AD8"/>
    <w:rsid w:val="001155FE"/>
    <w:rsid w:val="00115641"/>
    <w:rsid w:val="0011677E"/>
    <w:rsid w:val="001172C0"/>
    <w:rsid w:val="0011747B"/>
    <w:rsid w:val="0012038D"/>
    <w:rsid w:val="001216FC"/>
    <w:rsid w:val="0012234D"/>
    <w:rsid w:val="00123153"/>
    <w:rsid w:val="0012371A"/>
    <w:rsid w:val="00123A8D"/>
    <w:rsid w:val="00123B75"/>
    <w:rsid w:val="00123C79"/>
    <w:rsid w:val="0012478E"/>
    <w:rsid w:val="00124DE5"/>
    <w:rsid w:val="00125A09"/>
    <w:rsid w:val="00126C11"/>
    <w:rsid w:val="00127F54"/>
    <w:rsid w:val="001303F8"/>
    <w:rsid w:val="001310BD"/>
    <w:rsid w:val="00132F90"/>
    <w:rsid w:val="001345B7"/>
    <w:rsid w:val="00135456"/>
    <w:rsid w:val="001359B2"/>
    <w:rsid w:val="00137821"/>
    <w:rsid w:val="00141284"/>
    <w:rsid w:val="001413A2"/>
    <w:rsid w:val="001418C5"/>
    <w:rsid w:val="00141C16"/>
    <w:rsid w:val="00141F59"/>
    <w:rsid w:val="00142429"/>
    <w:rsid w:val="00142577"/>
    <w:rsid w:val="00142CEC"/>
    <w:rsid w:val="00142DC2"/>
    <w:rsid w:val="001441D2"/>
    <w:rsid w:val="00144914"/>
    <w:rsid w:val="00144A25"/>
    <w:rsid w:val="00144FFC"/>
    <w:rsid w:val="001453B6"/>
    <w:rsid w:val="0014578E"/>
    <w:rsid w:val="001460C6"/>
    <w:rsid w:val="00146B25"/>
    <w:rsid w:val="001476AD"/>
    <w:rsid w:val="00147AE3"/>
    <w:rsid w:val="0015023D"/>
    <w:rsid w:val="0015140C"/>
    <w:rsid w:val="0015146D"/>
    <w:rsid w:val="0015179F"/>
    <w:rsid w:val="00156599"/>
    <w:rsid w:val="00156D97"/>
    <w:rsid w:val="0015733D"/>
    <w:rsid w:val="0015783B"/>
    <w:rsid w:val="0016078F"/>
    <w:rsid w:val="00160D6E"/>
    <w:rsid w:val="00161B41"/>
    <w:rsid w:val="00163ADB"/>
    <w:rsid w:val="00163F94"/>
    <w:rsid w:val="00170572"/>
    <w:rsid w:val="00171487"/>
    <w:rsid w:val="00171ED4"/>
    <w:rsid w:val="00172A2A"/>
    <w:rsid w:val="00173463"/>
    <w:rsid w:val="0017370F"/>
    <w:rsid w:val="00173A59"/>
    <w:rsid w:val="00175848"/>
    <w:rsid w:val="00175D07"/>
    <w:rsid w:val="00177FF9"/>
    <w:rsid w:val="00181979"/>
    <w:rsid w:val="001828A6"/>
    <w:rsid w:val="00182941"/>
    <w:rsid w:val="00182D70"/>
    <w:rsid w:val="00183180"/>
    <w:rsid w:val="0018337D"/>
    <w:rsid w:val="001838A0"/>
    <w:rsid w:val="00183FA0"/>
    <w:rsid w:val="0018514D"/>
    <w:rsid w:val="001858D4"/>
    <w:rsid w:val="00185A20"/>
    <w:rsid w:val="00185BFD"/>
    <w:rsid w:val="00185F72"/>
    <w:rsid w:val="001862DE"/>
    <w:rsid w:val="00187637"/>
    <w:rsid w:val="001903CD"/>
    <w:rsid w:val="0019069A"/>
    <w:rsid w:val="0019096F"/>
    <w:rsid w:val="00191EE9"/>
    <w:rsid w:val="00192BDD"/>
    <w:rsid w:val="00193832"/>
    <w:rsid w:val="00194BC2"/>
    <w:rsid w:val="00194BC7"/>
    <w:rsid w:val="00194CDB"/>
    <w:rsid w:val="00194EDF"/>
    <w:rsid w:val="00195AA3"/>
    <w:rsid w:val="00195B85"/>
    <w:rsid w:val="00195C24"/>
    <w:rsid w:val="00196B4F"/>
    <w:rsid w:val="00196DC0"/>
    <w:rsid w:val="0019727C"/>
    <w:rsid w:val="001A0FD9"/>
    <w:rsid w:val="001A12AA"/>
    <w:rsid w:val="001A1426"/>
    <w:rsid w:val="001A48C9"/>
    <w:rsid w:val="001A5CE8"/>
    <w:rsid w:val="001A62E4"/>
    <w:rsid w:val="001A6480"/>
    <w:rsid w:val="001A66A1"/>
    <w:rsid w:val="001A6F63"/>
    <w:rsid w:val="001A7230"/>
    <w:rsid w:val="001B20D1"/>
    <w:rsid w:val="001B244A"/>
    <w:rsid w:val="001B2BD6"/>
    <w:rsid w:val="001B2D62"/>
    <w:rsid w:val="001B4F6F"/>
    <w:rsid w:val="001B5F2D"/>
    <w:rsid w:val="001C047C"/>
    <w:rsid w:val="001C0AC7"/>
    <w:rsid w:val="001C1C5E"/>
    <w:rsid w:val="001C2473"/>
    <w:rsid w:val="001C267D"/>
    <w:rsid w:val="001C2702"/>
    <w:rsid w:val="001C3CD6"/>
    <w:rsid w:val="001C62FF"/>
    <w:rsid w:val="001C7B38"/>
    <w:rsid w:val="001D0E99"/>
    <w:rsid w:val="001D5CA1"/>
    <w:rsid w:val="001D6D51"/>
    <w:rsid w:val="001D78B2"/>
    <w:rsid w:val="001D7FEA"/>
    <w:rsid w:val="001E077E"/>
    <w:rsid w:val="001E1346"/>
    <w:rsid w:val="001E1449"/>
    <w:rsid w:val="001E18CC"/>
    <w:rsid w:val="001E1A40"/>
    <w:rsid w:val="001E1C25"/>
    <w:rsid w:val="001E2ED9"/>
    <w:rsid w:val="001E37C7"/>
    <w:rsid w:val="001E5FE2"/>
    <w:rsid w:val="001E62AD"/>
    <w:rsid w:val="001E6EFE"/>
    <w:rsid w:val="001E725F"/>
    <w:rsid w:val="001F0442"/>
    <w:rsid w:val="001F045A"/>
    <w:rsid w:val="001F0638"/>
    <w:rsid w:val="001F13B6"/>
    <w:rsid w:val="001F1E9B"/>
    <w:rsid w:val="001F254C"/>
    <w:rsid w:val="001F4DB6"/>
    <w:rsid w:val="001F4FF4"/>
    <w:rsid w:val="001F5B97"/>
    <w:rsid w:val="001F5EC3"/>
    <w:rsid w:val="001F73F3"/>
    <w:rsid w:val="002018E2"/>
    <w:rsid w:val="002027D6"/>
    <w:rsid w:val="00203BEA"/>
    <w:rsid w:val="00205957"/>
    <w:rsid w:val="0020612B"/>
    <w:rsid w:val="00206E6A"/>
    <w:rsid w:val="00207A4E"/>
    <w:rsid w:val="00210444"/>
    <w:rsid w:val="00210513"/>
    <w:rsid w:val="00211656"/>
    <w:rsid w:val="00211709"/>
    <w:rsid w:val="0021293D"/>
    <w:rsid w:val="00212D4D"/>
    <w:rsid w:val="002131F0"/>
    <w:rsid w:val="00213E3E"/>
    <w:rsid w:val="00213F1B"/>
    <w:rsid w:val="00213FD7"/>
    <w:rsid w:val="00214A3F"/>
    <w:rsid w:val="00215804"/>
    <w:rsid w:val="0021616F"/>
    <w:rsid w:val="002166B7"/>
    <w:rsid w:val="0021704F"/>
    <w:rsid w:val="002204D8"/>
    <w:rsid w:val="00221B14"/>
    <w:rsid w:val="00222B5D"/>
    <w:rsid w:val="0022375C"/>
    <w:rsid w:val="00224398"/>
    <w:rsid w:val="00224A7D"/>
    <w:rsid w:val="00225C06"/>
    <w:rsid w:val="00225F93"/>
    <w:rsid w:val="002268F9"/>
    <w:rsid w:val="00227823"/>
    <w:rsid w:val="00227DFB"/>
    <w:rsid w:val="0023010F"/>
    <w:rsid w:val="002303CD"/>
    <w:rsid w:val="00230927"/>
    <w:rsid w:val="002317EB"/>
    <w:rsid w:val="00234127"/>
    <w:rsid w:val="002356AE"/>
    <w:rsid w:val="00235858"/>
    <w:rsid w:val="0023586E"/>
    <w:rsid w:val="002367DE"/>
    <w:rsid w:val="002374A4"/>
    <w:rsid w:val="002374CF"/>
    <w:rsid w:val="00237B1B"/>
    <w:rsid w:val="00237F44"/>
    <w:rsid w:val="00242766"/>
    <w:rsid w:val="002446D5"/>
    <w:rsid w:val="00244C55"/>
    <w:rsid w:val="0024547F"/>
    <w:rsid w:val="0024554A"/>
    <w:rsid w:val="00245D1F"/>
    <w:rsid w:val="00246184"/>
    <w:rsid w:val="002463A9"/>
    <w:rsid w:val="00247939"/>
    <w:rsid w:val="00251792"/>
    <w:rsid w:val="00251B2B"/>
    <w:rsid w:val="0025290F"/>
    <w:rsid w:val="00253948"/>
    <w:rsid w:val="00253965"/>
    <w:rsid w:val="00253968"/>
    <w:rsid w:val="00253B53"/>
    <w:rsid w:val="00253E79"/>
    <w:rsid w:val="00254C71"/>
    <w:rsid w:val="00255A7E"/>
    <w:rsid w:val="002565A7"/>
    <w:rsid w:val="00257340"/>
    <w:rsid w:val="002574AE"/>
    <w:rsid w:val="002576E3"/>
    <w:rsid w:val="00257CD7"/>
    <w:rsid w:val="002606AF"/>
    <w:rsid w:val="00260BA1"/>
    <w:rsid w:val="00261FEC"/>
    <w:rsid w:val="00262BBC"/>
    <w:rsid w:val="00263353"/>
    <w:rsid w:val="00263C65"/>
    <w:rsid w:val="00264E0C"/>
    <w:rsid w:val="00267B55"/>
    <w:rsid w:val="00267CA3"/>
    <w:rsid w:val="00267CD4"/>
    <w:rsid w:val="00267E9E"/>
    <w:rsid w:val="002727A4"/>
    <w:rsid w:val="00272CEC"/>
    <w:rsid w:val="00273786"/>
    <w:rsid w:val="00274BDE"/>
    <w:rsid w:val="00275169"/>
    <w:rsid w:val="00276D4E"/>
    <w:rsid w:val="00281D34"/>
    <w:rsid w:val="002823A7"/>
    <w:rsid w:val="002829A5"/>
    <w:rsid w:val="00282BE0"/>
    <w:rsid w:val="002830BA"/>
    <w:rsid w:val="00286588"/>
    <w:rsid w:val="00287A4D"/>
    <w:rsid w:val="00290940"/>
    <w:rsid w:val="00290C90"/>
    <w:rsid w:val="00291720"/>
    <w:rsid w:val="00291C58"/>
    <w:rsid w:val="00291EB4"/>
    <w:rsid w:val="00293AE6"/>
    <w:rsid w:val="00293BDB"/>
    <w:rsid w:val="0029419E"/>
    <w:rsid w:val="00294686"/>
    <w:rsid w:val="0029589E"/>
    <w:rsid w:val="00296548"/>
    <w:rsid w:val="00296B27"/>
    <w:rsid w:val="00296E12"/>
    <w:rsid w:val="0029773A"/>
    <w:rsid w:val="002A165E"/>
    <w:rsid w:val="002A17D1"/>
    <w:rsid w:val="002A2556"/>
    <w:rsid w:val="002A2757"/>
    <w:rsid w:val="002A2D9E"/>
    <w:rsid w:val="002A4F93"/>
    <w:rsid w:val="002A535A"/>
    <w:rsid w:val="002A546E"/>
    <w:rsid w:val="002A5633"/>
    <w:rsid w:val="002A654D"/>
    <w:rsid w:val="002A6841"/>
    <w:rsid w:val="002A730B"/>
    <w:rsid w:val="002B04B6"/>
    <w:rsid w:val="002B119E"/>
    <w:rsid w:val="002B4BAF"/>
    <w:rsid w:val="002B4E84"/>
    <w:rsid w:val="002B558D"/>
    <w:rsid w:val="002B5883"/>
    <w:rsid w:val="002B5A27"/>
    <w:rsid w:val="002B6CD8"/>
    <w:rsid w:val="002B6E68"/>
    <w:rsid w:val="002C027D"/>
    <w:rsid w:val="002C0B55"/>
    <w:rsid w:val="002C1ECB"/>
    <w:rsid w:val="002C1F98"/>
    <w:rsid w:val="002C2628"/>
    <w:rsid w:val="002C3432"/>
    <w:rsid w:val="002C3857"/>
    <w:rsid w:val="002C3965"/>
    <w:rsid w:val="002C3E69"/>
    <w:rsid w:val="002C4615"/>
    <w:rsid w:val="002C7F4C"/>
    <w:rsid w:val="002C7FCB"/>
    <w:rsid w:val="002D0C5E"/>
    <w:rsid w:val="002D459D"/>
    <w:rsid w:val="002D4D10"/>
    <w:rsid w:val="002D4FFD"/>
    <w:rsid w:val="002D5A05"/>
    <w:rsid w:val="002D66F0"/>
    <w:rsid w:val="002D74D9"/>
    <w:rsid w:val="002D79B3"/>
    <w:rsid w:val="002D7F3E"/>
    <w:rsid w:val="002E0537"/>
    <w:rsid w:val="002E0F9A"/>
    <w:rsid w:val="002E293B"/>
    <w:rsid w:val="002E3051"/>
    <w:rsid w:val="002E3230"/>
    <w:rsid w:val="002E4B8E"/>
    <w:rsid w:val="002E557B"/>
    <w:rsid w:val="002E605F"/>
    <w:rsid w:val="002E64C6"/>
    <w:rsid w:val="002E6B01"/>
    <w:rsid w:val="002F10E9"/>
    <w:rsid w:val="002F12DC"/>
    <w:rsid w:val="002F13FD"/>
    <w:rsid w:val="002F1579"/>
    <w:rsid w:val="002F1ADA"/>
    <w:rsid w:val="002F1D85"/>
    <w:rsid w:val="002F2383"/>
    <w:rsid w:val="002F3265"/>
    <w:rsid w:val="002F48D3"/>
    <w:rsid w:val="002F4A18"/>
    <w:rsid w:val="002F7506"/>
    <w:rsid w:val="002F78A6"/>
    <w:rsid w:val="003003DE"/>
    <w:rsid w:val="0030058D"/>
    <w:rsid w:val="00300E3B"/>
    <w:rsid w:val="0030174A"/>
    <w:rsid w:val="003032AC"/>
    <w:rsid w:val="00303D5E"/>
    <w:rsid w:val="003041CA"/>
    <w:rsid w:val="00305546"/>
    <w:rsid w:val="00306132"/>
    <w:rsid w:val="00306331"/>
    <w:rsid w:val="00307799"/>
    <w:rsid w:val="00307F21"/>
    <w:rsid w:val="0031013F"/>
    <w:rsid w:val="003103C3"/>
    <w:rsid w:val="00310B99"/>
    <w:rsid w:val="0031113A"/>
    <w:rsid w:val="0031195F"/>
    <w:rsid w:val="00312383"/>
    <w:rsid w:val="00312518"/>
    <w:rsid w:val="0031258F"/>
    <w:rsid w:val="00312C7A"/>
    <w:rsid w:val="00312FC2"/>
    <w:rsid w:val="003136C7"/>
    <w:rsid w:val="003154F8"/>
    <w:rsid w:val="0031555C"/>
    <w:rsid w:val="00316598"/>
    <w:rsid w:val="00317FA8"/>
    <w:rsid w:val="0032053F"/>
    <w:rsid w:val="00321114"/>
    <w:rsid w:val="003218B8"/>
    <w:rsid w:val="00322A1F"/>
    <w:rsid w:val="00323948"/>
    <w:rsid w:val="003239FF"/>
    <w:rsid w:val="00323A24"/>
    <w:rsid w:val="00325C3D"/>
    <w:rsid w:val="00325D13"/>
    <w:rsid w:val="003260B5"/>
    <w:rsid w:val="003263A6"/>
    <w:rsid w:val="00326E3F"/>
    <w:rsid w:val="003303CB"/>
    <w:rsid w:val="0033056B"/>
    <w:rsid w:val="00331127"/>
    <w:rsid w:val="0033215D"/>
    <w:rsid w:val="00332C44"/>
    <w:rsid w:val="00332E9E"/>
    <w:rsid w:val="00335CDD"/>
    <w:rsid w:val="0033641A"/>
    <w:rsid w:val="00340958"/>
    <w:rsid w:val="0034277A"/>
    <w:rsid w:val="00343EC4"/>
    <w:rsid w:val="00343FEE"/>
    <w:rsid w:val="003440F7"/>
    <w:rsid w:val="003466AB"/>
    <w:rsid w:val="003469D2"/>
    <w:rsid w:val="00347014"/>
    <w:rsid w:val="00347700"/>
    <w:rsid w:val="003511E1"/>
    <w:rsid w:val="0035239D"/>
    <w:rsid w:val="00353686"/>
    <w:rsid w:val="00354502"/>
    <w:rsid w:val="003549D4"/>
    <w:rsid w:val="00354B42"/>
    <w:rsid w:val="003552FA"/>
    <w:rsid w:val="003556B1"/>
    <w:rsid w:val="00355D57"/>
    <w:rsid w:val="00356309"/>
    <w:rsid w:val="00356BC1"/>
    <w:rsid w:val="00356C2C"/>
    <w:rsid w:val="0035798E"/>
    <w:rsid w:val="00360E17"/>
    <w:rsid w:val="00361025"/>
    <w:rsid w:val="003613EE"/>
    <w:rsid w:val="00363266"/>
    <w:rsid w:val="003650B8"/>
    <w:rsid w:val="00365DE4"/>
    <w:rsid w:val="00371E5B"/>
    <w:rsid w:val="00371F2D"/>
    <w:rsid w:val="003733DF"/>
    <w:rsid w:val="003734EC"/>
    <w:rsid w:val="0037382D"/>
    <w:rsid w:val="00373F20"/>
    <w:rsid w:val="003742C3"/>
    <w:rsid w:val="003748CE"/>
    <w:rsid w:val="00375099"/>
    <w:rsid w:val="0037585A"/>
    <w:rsid w:val="0037630F"/>
    <w:rsid w:val="0037684D"/>
    <w:rsid w:val="00376F65"/>
    <w:rsid w:val="00377C4D"/>
    <w:rsid w:val="003802CD"/>
    <w:rsid w:val="00380686"/>
    <w:rsid w:val="003807EB"/>
    <w:rsid w:val="0038192D"/>
    <w:rsid w:val="00382270"/>
    <w:rsid w:val="003830CA"/>
    <w:rsid w:val="00383DE4"/>
    <w:rsid w:val="00385068"/>
    <w:rsid w:val="00385A7B"/>
    <w:rsid w:val="00386788"/>
    <w:rsid w:val="00386A3F"/>
    <w:rsid w:val="003874EF"/>
    <w:rsid w:val="00387D95"/>
    <w:rsid w:val="003907FF"/>
    <w:rsid w:val="003909C1"/>
    <w:rsid w:val="003918C6"/>
    <w:rsid w:val="00391B9E"/>
    <w:rsid w:val="0039322D"/>
    <w:rsid w:val="003932C5"/>
    <w:rsid w:val="00395072"/>
    <w:rsid w:val="003956ED"/>
    <w:rsid w:val="00395B35"/>
    <w:rsid w:val="00396EE5"/>
    <w:rsid w:val="00397726"/>
    <w:rsid w:val="003A3C1F"/>
    <w:rsid w:val="003A3EF1"/>
    <w:rsid w:val="003A48E7"/>
    <w:rsid w:val="003A5058"/>
    <w:rsid w:val="003A7658"/>
    <w:rsid w:val="003B01E0"/>
    <w:rsid w:val="003B05A9"/>
    <w:rsid w:val="003B083A"/>
    <w:rsid w:val="003B0A06"/>
    <w:rsid w:val="003B0C94"/>
    <w:rsid w:val="003B19FB"/>
    <w:rsid w:val="003B234C"/>
    <w:rsid w:val="003B28A1"/>
    <w:rsid w:val="003B4D1B"/>
    <w:rsid w:val="003B5791"/>
    <w:rsid w:val="003B57D7"/>
    <w:rsid w:val="003C003C"/>
    <w:rsid w:val="003C0BB4"/>
    <w:rsid w:val="003C199E"/>
    <w:rsid w:val="003C1DCA"/>
    <w:rsid w:val="003C1E0F"/>
    <w:rsid w:val="003C1EC5"/>
    <w:rsid w:val="003C2C26"/>
    <w:rsid w:val="003C33BC"/>
    <w:rsid w:val="003C38F9"/>
    <w:rsid w:val="003C4B3D"/>
    <w:rsid w:val="003C51AB"/>
    <w:rsid w:val="003C64BC"/>
    <w:rsid w:val="003C65B7"/>
    <w:rsid w:val="003C67CC"/>
    <w:rsid w:val="003C68C2"/>
    <w:rsid w:val="003C6916"/>
    <w:rsid w:val="003C74A1"/>
    <w:rsid w:val="003D0016"/>
    <w:rsid w:val="003D1AC0"/>
    <w:rsid w:val="003D1ECD"/>
    <w:rsid w:val="003D278A"/>
    <w:rsid w:val="003D2A5D"/>
    <w:rsid w:val="003D30DF"/>
    <w:rsid w:val="003D373F"/>
    <w:rsid w:val="003D3FF1"/>
    <w:rsid w:val="003D49DF"/>
    <w:rsid w:val="003D54B7"/>
    <w:rsid w:val="003D562F"/>
    <w:rsid w:val="003D5801"/>
    <w:rsid w:val="003D6311"/>
    <w:rsid w:val="003D635E"/>
    <w:rsid w:val="003D648B"/>
    <w:rsid w:val="003D6FFF"/>
    <w:rsid w:val="003D73A1"/>
    <w:rsid w:val="003D74F5"/>
    <w:rsid w:val="003D7F05"/>
    <w:rsid w:val="003E005F"/>
    <w:rsid w:val="003E180D"/>
    <w:rsid w:val="003E703B"/>
    <w:rsid w:val="003E7509"/>
    <w:rsid w:val="003F081D"/>
    <w:rsid w:val="003F186C"/>
    <w:rsid w:val="003F19B7"/>
    <w:rsid w:val="003F305C"/>
    <w:rsid w:val="003F45E5"/>
    <w:rsid w:val="003F4C3A"/>
    <w:rsid w:val="003F4DE2"/>
    <w:rsid w:val="003F575C"/>
    <w:rsid w:val="00400B34"/>
    <w:rsid w:val="00401192"/>
    <w:rsid w:val="00402031"/>
    <w:rsid w:val="0040463B"/>
    <w:rsid w:val="00404C97"/>
    <w:rsid w:val="00407FB9"/>
    <w:rsid w:val="0041071F"/>
    <w:rsid w:val="004108D1"/>
    <w:rsid w:val="004110A5"/>
    <w:rsid w:val="004110C3"/>
    <w:rsid w:val="0041159B"/>
    <w:rsid w:val="00412BAC"/>
    <w:rsid w:val="00413805"/>
    <w:rsid w:val="00413A6D"/>
    <w:rsid w:val="00414403"/>
    <w:rsid w:val="00415C16"/>
    <w:rsid w:val="00415FC7"/>
    <w:rsid w:val="00416AAE"/>
    <w:rsid w:val="004173FC"/>
    <w:rsid w:val="004174CC"/>
    <w:rsid w:val="00417F6E"/>
    <w:rsid w:val="004204D4"/>
    <w:rsid w:val="00420AAC"/>
    <w:rsid w:val="00420BF6"/>
    <w:rsid w:val="00420FEB"/>
    <w:rsid w:val="004229C7"/>
    <w:rsid w:val="00423BA2"/>
    <w:rsid w:val="004243E4"/>
    <w:rsid w:val="004258EE"/>
    <w:rsid w:val="00426905"/>
    <w:rsid w:val="00427636"/>
    <w:rsid w:val="00427E85"/>
    <w:rsid w:val="00430CE8"/>
    <w:rsid w:val="00431FE8"/>
    <w:rsid w:val="00432278"/>
    <w:rsid w:val="004324EA"/>
    <w:rsid w:val="00433DD2"/>
    <w:rsid w:val="004342C0"/>
    <w:rsid w:val="004348AD"/>
    <w:rsid w:val="00435543"/>
    <w:rsid w:val="00435A5C"/>
    <w:rsid w:val="00435CB3"/>
    <w:rsid w:val="00436822"/>
    <w:rsid w:val="00437A7F"/>
    <w:rsid w:val="00437CFC"/>
    <w:rsid w:val="00437D48"/>
    <w:rsid w:val="00440062"/>
    <w:rsid w:val="0044046C"/>
    <w:rsid w:val="00440640"/>
    <w:rsid w:val="00440AD2"/>
    <w:rsid w:val="00441663"/>
    <w:rsid w:val="00442AE3"/>
    <w:rsid w:val="00443B58"/>
    <w:rsid w:val="00444C8C"/>
    <w:rsid w:val="00445494"/>
    <w:rsid w:val="00445D90"/>
    <w:rsid w:val="00445F18"/>
    <w:rsid w:val="00447EF8"/>
    <w:rsid w:val="004539B4"/>
    <w:rsid w:val="00453D0B"/>
    <w:rsid w:val="00454077"/>
    <w:rsid w:val="00454289"/>
    <w:rsid w:val="004545C0"/>
    <w:rsid w:val="00454896"/>
    <w:rsid w:val="00457BED"/>
    <w:rsid w:val="00460697"/>
    <w:rsid w:val="0046073F"/>
    <w:rsid w:val="00463318"/>
    <w:rsid w:val="00463BCF"/>
    <w:rsid w:val="004659E0"/>
    <w:rsid w:val="0046604A"/>
    <w:rsid w:val="004661A0"/>
    <w:rsid w:val="0046645E"/>
    <w:rsid w:val="00473722"/>
    <w:rsid w:val="00474468"/>
    <w:rsid w:val="00474B42"/>
    <w:rsid w:val="004750CE"/>
    <w:rsid w:val="004753E5"/>
    <w:rsid w:val="00475BC8"/>
    <w:rsid w:val="00475E88"/>
    <w:rsid w:val="004776D6"/>
    <w:rsid w:val="00477C2D"/>
    <w:rsid w:val="00477D7D"/>
    <w:rsid w:val="00477F02"/>
    <w:rsid w:val="004803FA"/>
    <w:rsid w:val="00480F91"/>
    <w:rsid w:val="0048120E"/>
    <w:rsid w:val="00483471"/>
    <w:rsid w:val="004838B3"/>
    <w:rsid w:val="00483A87"/>
    <w:rsid w:val="00485D5D"/>
    <w:rsid w:val="00486CBB"/>
    <w:rsid w:val="00486EDC"/>
    <w:rsid w:val="00490DEF"/>
    <w:rsid w:val="00491745"/>
    <w:rsid w:val="0049237F"/>
    <w:rsid w:val="00492E31"/>
    <w:rsid w:val="00493C36"/>
    <w:rsid w:val="00493EE6"/>
    <w:rsid w:val="0049502F"/>
    <w:rsid w:val="0049785B"/>
    <w:rsid w:val="00497C79"/>
    <w:rsid w:val="004A2125"/>
    <w:rsid w:val="004A27A6"/>
    <w:rsid w:val="004A46DE"/>
    <w:rsid w:val="004A67AD"/>
    <w:rsid w:val="004A6B3F"/>
    <w:rsid w:val="004A713A"/>
    <w:rsid w:val="004A7CBF"/>
    <w:rsid w:val="004B0102"/>
    <w:rsid w:val="004B0A7A"/>
    <w:rsid w:val="004B0D22"/>
    <w:rsid w:val="004B0D5A"/>
    <w:rsid w:val="004B353B"/>
    <w:rsid w:val="004B44AE"/>
    <w:rsid w:val="004B4A6D"/>
    <w:rsid w:val="004B5500"/>
    <w:rsid w:val="004B6432"/>
    <w:rsid w:val="004B6E70"/>
    <w:rsid w:val="004B7231"/>
    <w:rsid w:val="004B78C8"/>
    <w:rsid w:val="004B7FD2"/>
    <w:rsid w:val="004C0934"/>
    <w:rsid w:val="004C1AAD"/>
    <w:rsid w:val="004C2B2D"/>
    <w:rsid w:val="004C31C3"/>
    <w:rsid w:val="004C35FB"/>
    <w:rsid w:val="004C526E"/>
    <w:rsid w:val="004C53CE"/>
    <w:rsid w:val="004C54A0"/>
    <w:rsid w:val="004C5883"/>
    <w:rsid w:val="004C6CB5"/>
    <w:rsid w:val="004C7615"/>
    <w:rsid w:val="004D22E8"/>
    <w:rsid w:val="004D3CF4"/>
    <w:rsid w:val="004D4DD3"/>
    <w:rsid w:val="004D5C8B"/>
    <w:rsid w:val="004D682C"/>
    <w:rsid w:val="004D7133"/>
    <w:rsid w:val="004D795A"/>
    <w:rsid w:val="004E0392"/>
    <w:rsid w:val="004E11B6"/>
    <w:rsid w:val="004E2595"/>
    <w:rsid w:val="004E26A9"/>
    <w:rsid w:val="004E49F7"/>
    <w:rsid w:val="004E591C"/>
    <w:rsid w:val="004E6334"/>
    <w:rsid w:val="004E6D0C"/>
    <w:rsid w:val="004E778B"/>
    <w:rsid w:val="004E7A1A"/>
    <w:rsid w:val="004F1204"/>
    <w:rsid w:val="004F16FD"/>
    <w:rsid w:val="004F1794"/>
    <w:rsid w:val="004F2AA5"/>
    <w:rsid w:val="004F2D62"/>
    <w:rsid w:val="004F32A2"/>
    <w:rsid w:val="004F3977"/>
    <w:rsid w:val="004F415C"/>
    <w:rsid w:val="004F4479"/>
    <w:rsid w:val="004F44D7"/>
    <w:rsid w:val="004F6B3A"/>
    <w:rsid w:val="004F6CB8"/>
    <w:rsid w:val="004F7B36"/>
    <w:rsid w:val="005008E6"/>
    <w:rsid w:val="00500BE5"/>
    <w:rsid w:val="00500FD5"/>
    <w:rsid w:val="0050105A"/>
    <w:rsid w:val="00501216"/>
    <w:rsid w:val="0050202D"/>
    <w:rsid w:val="00502415"/>
    <w:rsid w:val="00503AB9"/>
    <w:rsid w:val="00503E89"/>
    <w:rsid w:val="00504756"/>
    <w:rsid w:val="0050492B"/>
    <w:rsid w:val="00504DE7"/>
    <w:rsid w:val="005061FB"/>
    <w:rsid w:val="005067B5"/>
    <w:rsid w:val="00506B3B"/>
    <w:rsid w:val="00506D2F"/>
    <w:rsid w:val="00511C4C"/>
    <w:rsid w:val="005126E2"/>
    <w:rsid w:val="00513A70"/>
    <w:rsid w:val="00515528"/>
    <w:rsid w:val="005165C1"/>
    <w:rsid w:val="00516B1E"/>
    <w:rsid w:val="00517498"/>
    <w:rsid w:val="005176CE"/>
    <w:rsid w:val="005202DE"/>
    <w:rsid w:val="00520804"/>
    <w:rsid w:val="00520EC8"/>
    <w:rsid w:val="00521BA4"/>
    <w:rsid w:val="00521BF6"/>
    <w:rsid w:val="00521D58"/>
    <w:rsid w:val="00522433"/>
    <w:rsid w:val="00522B48"/>
    <w:rsid w:val="005232C8"/>
    <w:rsid w:val="00523900"/>
    <w:rsid w:val="00524608"/>
    <w:rsid w:val="00524999"/>
    <w:rsid w:val="005254D1"/>
    <w:rsid w:val="005254EF"/>
    <w:rsid w:val="005257F3"/>
    <w:rsid w:val="005258F4"/>
    <w:rsid w:val="00525B56"/>
    <w:rsid w:val="00525CAD"/>
    <w:rsid w:val="00525CBD"/>
    <w:rsid w:val="005267F0"/>
    <w:rsid w:val="0052697B"/>
    <w:rsid w:val="00527440"/>
    <w:rsid w:val="005279C4"/>
    <w:rsid w:val="00531A4B"/>
    <w:rsid w:val="00532FEE"/>
    <w:rsid w:val="005337F5"/>
    <w:rsid w:val="005349B1"/>
    <w:rsid w:val="00534C7F"/>
    <w:rsid w:val="00534D94"/>
    <w:rsid w:val="00535025"/>
    <w:rsid w:val="0053505C"/>
    <w:rsid w:val="00535224"/>
    <w:rsid w:val="005354B5"/>
    <w:rsid w:val="00535721"/>
    <w:rsid w:val="00535C38"/>
    <w:rsid w:val="005365BD"/>
    <w:rsid w:val="0053794F"/>
    <w:rsid w:val="00541631"/>
    <w:rsid w:val="00541C71"/>
    <w:rsid w:val="00542CF4"/>
    <w:rsid w:val="00543931"/>
    <w:rsid w:val="00543D16"/>
    <w:rsid w:val="00545FD8"/>
    <w:rsid w:val="005465D2"/>
    <w:rsid w:val="005470F9"/>
    <w:rsid w:val="005506CF"/>
    <w:rsid w:val="00550FEE"/>
    <w:rsid w:val="005511BC"/>
    <w:rsid w:val="0055143D"/>
    <w:rsid w:val="0055194E"/>
    <w:rsid w:val="00551AA0"/>
    <w:rsid w:val="0055426D"/>
    <w:rsid w:val="005547BA"/>
    <w:rsid w:val="005547C5"/>
    <w:rsid w:val="005565E7"/>
    <w:rsid w:val="00557115"/>
    <w:rsid w:val="0055755C"/>
    <w:rsid w:val="00557EFF"/>
    <w:rsid w:val="00560B41"/>
    <w:rsid w:val="00561483"/>
    <w:rsid w:val="00561AB2"/>
    <w:rsid w:val="00561AE3"/>
    <w:rsid w:val="00562147"/>
    <w:rsid w:val="0056268B"/>
    <w:rsid w:val="005631AD"/>
    <w:rsid w:val="00563274"/>
    <w:rsid w:val="00563A70"/>
    <w:rsid w:val="00563D8A"/>
    <w:rsid w:val="00565EE7"/>
    <w:rsid w:val="00566B14"/>
    <w:rsid w:val="00566E70"/>
    <w:rsid w:val="0056788B"/>
    <w:rsid w:val="005679FC"/>
    <w:rsid w:val="00570C28"/>
    <w:rsid w:val="005714B9"/>
    <w:rsid w:val="00571C81"/>
    <w:rsid w:val="005721D3"/>
    <w:rsid w:val="005723EF"/>
    <w:rsid w:val="00573CBC"/>
    <w:rsid w:val="00574410"/>
    <w:rsid w:val="0057493A"/>
    <w:rsid w:val="00574E09"/>
    <w:rsid w:val="00576612"/>
    <w:rsid w:val="00577A37"/>
    <w:rsid w:val="00580610"/>
    <w:rsid w:val="0058093C"/>
    <w:rsid w:val="00580F67"/>
    <w:rsid w:val="0058177C"/>
    <w:rsid w:val="00581A1F"/>
    <w:rsid w:val="00582449"/>
    <w:rsid w:val="00583CCF"/>
    <w:rsid w:val="005858A4"/>
    <w:rsid w:val="005861D7"/>
    <w:rsid w:val="00586391"/>
    <w:rsid w:val="0058644F"/>
    <w:rsid w:val="005874FE"/>
    <w:rsid w:val="00587AE0"/>
    <w:rsid w:val="00587FE3"/>
    <w:rsid w:val="00590ECE"/>
    <w:rsid w:val="0059250E"/>
    <w:rsid w:val="00592AAA"/>
    <w:rsid w:val="005936D0"/>
    <w:rsid w:val="00594077"/>
    <w:rsid w:val="005949D2"/>
    <w:rsid w:val="00595836"/>
    <w:rsid w:val="00596095"/>
    <w:rsid w:val="005964B0"/>
    <w:rsid w:val="0059694B"/>
    <w:rsid w:val="00596A81"/>
    <w:rsid w:val="00597D08"/>
    <w:rsid w:val="005A1CCF"/>
    <w:rsid w:val="005A28FB"/>
    <w:rsid w:val="005A295D"/>
    <w:rsid w:val="005A2CD0"/>
    <w:rsid w:val="005A38DD"/>
    <w:rsid w:val="005A4480"/>
    <w:rsid w:val="005A7752"/>
    <w:rsid w:val="005A782B"/>
    <w:rsid w:val="005A7AB8"/>
    <w:rsid w:val="005B0E18"/>
    <w:rsid w:val="005B169F"/>
    <w:rsid w:val="005B1750"/>
    <w:rsid w:val="005B1AE7"/>
    <w:rsid w:val="005B1DCC"/>
    <w:rsid w:val="005B2099"/>
    <w:rsid w:val="005B2923"/>
    <w:rsid w:val="005B4B03"/>
    <w:rsid w:val="005B4E3B"/>
    <w:rsid w:val="005B520C"/>
    <w:rsid w:val="005B5ADA"/>
    <w:rsid w:val="005B5FDA"/>
    <w:rsid w:val="005B742C"/>
    <w:rsid w:val="005C081D"/>
    <w:rsid w:val="005C0AD6"/>
    <w:rsid w:val="005C1B13"/>
    <w:rsid w:val="005C204A"/>
    <w:rsid w:val="005C295E"/>
    <w:rsid w:val="005C29E9"/>
    <w:rsid w:val="005C3045"/>
    <w:rsid w:val="005C30EB"/>
    <w:rsid w:val="005C3F4E"/>
    <w:rsid w:val="005C5876"/>
    <w:rsid w:val="005C647D"/>
    <w:rsid w:val="005C6A64"/>
    <w:rsid w:val="005C717C"/>
    <w:rsid w:val="005C7528"/>
    <w:rsid w:val="005D0FA0"/>
    <w:rsid w:val="005D1569"/>
    <w:rsid w:val="005D2462"/>
    <w:rsid w:val="005D2472"/>
    <w:rsid w:val="005D2E1A"/>
    <w:rsid w:val="005D3021"/>
    <w:rsid w:val="005D39C5"/>
    <w:rsid w:val="005D40DA"/>
    <w:rsid w:val="005D6709"/>
    <w:rsid w:val="005D68B8"/>
    <w:rsid w:val="005D6B99"/>
    <w:rsid w:val="005D6BE8"/>
    <w:rsid w:val="005D6F16"/>
    <w:rsid w:val="005E059D"/>
    <w:rsid w:val="005E0709"/>
    <w:rsid w:val="005E2DFA"/>
    <w:rsid w:val="005E3131"/>
    <w:rsid w:val="005E3AB1"/>
    <w:rsid w:val="005E4929"/>
    <w:rsid w:val="005E497C"/>
    <w:rsid w:val="005E6562"/>
    <w:rsid w:val="005E6772"/>
    <w:rsid w:val="005E7301"/>
    <w:rsid w:val="005E7570"/>
    <w:rsid w:val="005E7BF4"/>
    <w:rsid w:val="005F00FA"/>
    <w:rsid w:val="005F0B8A"/>
    <w:rsid w:val="005F0BBA"/>
    <w:rsid w:val="005F0D17"/>
    <w:rsid w:val="005F0EF7"/>
    <w:rsid w:val="005F1662"/>
    <w:rsid w:val="005F2F70"/>
    <w:rsid w:val="005F3991"/>
    <w:rsid w:val="005F423F"/>
    <w:rsid w:val="005F4F28"/>
    <w:rsid w:val="005F62F4"/>
    <w:rsid w:val="005F6753"/>
    <w:rsid w:val="005F6E66"/>
    <w:rsid w:val="006004DE"/>
    <w:rsid w:val="00600AED"/>
    <w:rsid w:val="006045D3"/>
    <w:rsid w:val="00605130"/>
    <w:rsid w:val="006056DC"/>
    <w:rsid w:val="00607961"/>
    <w:rsid w:val="00607B10"/>
    <w:rsid w:val="00611349"/>
    <w:rsid w:val="00611D29"/>
    <w:rsid w:val="00611E7B"/>
    <w:rsid w:val="006122BA"/>
    <w:rsid w:val="00612E2B"/>
    <w:rsid w:val="00614582"/>
    <w:rsid w:val="00614952"/>
    <w:rsid w:val="006159C9"/>
    <w:rsid w:val="00615A65"/>
    <w:rsid w:val="0061733A"/>
    <w:rsid w:val="00617B25"/>
    <w:rsid w:val="006200AF"/>
    <w:rsid w:val="006201C2"/>
    <w:rsid w:val="00620D9A"/>
    <w:rsid w:val="00622DDC"/>
    <w:rsid w:val="0062304F"/>
    <w:rsid w:val="0062433B"/>
    <w:rsid w:val="0062524E"/>
    <w:rsid w:val="0062527D"/>
    <w:rsid w:val="006265B8"/>
    <w:rsid w:val="00627549"/>
    <w:rsid w:val="00627564"/>
    <w:rsid w:val="00627F9D"/>
    <w:rsid w:val="006305AB"/>
    <w:rsid w:val="00630AC8"/>
    <w:rsid w:val="00630B34"/>
    <w:rsid w:val="00631E0B"/>
    <w:rsid w:val="00631E95"/>
    <w:rsid w:val="006325E5"/>
    <w:rsid w:val="0063465C"/>
    <w:rsid w:val="006350DF"/>
    <w:rsid w:val="006361FA"/>
    <w:rsid w:val="0063761A"/>
    <w:rsid w:val="006403EC"/>
    <w:rsid w:val="00641256"/>
    <w:rsid w:val="00641D78"/>
    <w:rsid w:val="00642A15"/>
    <w:rsid w:val="00643367"/>
    <w:rsid w:val="00644159"/>
    <w:rsid w:val="00645596"/>
    <w:rsid w:val="00645FBB"/>
    <w:rsid w:val="00647C8C"/>
    <w:rsid w:val="0065041E"/>
    <w:rsid w:val="006511B5"/>
    <w:rsid w:val="0065180E"/>
    <w:rsid w:val="00651B4E"/>
    <w:rsid w:val="00652EFD"/>
    <w:rsid w:val="0065448E"/>
    <w:rsid w:val="00654746"/>
    <w:rsid w:val="00655B55"/>
    <w:rsid w:val="00656553"/>
    <w:rsid w:val="00657235"/>
    <w:rsid w:val="00660284"/>
    <w:rsid w:val="00660C9E"/>
    <w:rsid w:val="00660CDE"/>
    <w:rsid w:val="0066105C"/>
    <w:rsid w:val="00661605"/>
    <w:rsid w:val="00661634"/>
    <w:rsid w:val="006631E5"/>
    <w:rsid w:val="006636CB"/>
    <w:rsid w:val="0066423E"/>
    <w:rsid w:val="00665366"/>
    <w:rsid w:val="0066578E"/>
    <w:rsid w:val="00665C4F"/>
    <w:rsid w:val="00666856"/>
    <w:rsid w:val="00666CDB"/>
    <w:rsid w:val="006678CB"/>
    <w:rsid w:val="0067039F"/>
    <w:rsid w:val="00670910"/>
    <w:rsid w:val="00670FAE"/>
    <w:rsid w:val="00671264"/>
    <w:rsid w:val="00672BB2"/>
    <w:rsid w:val="00672E6C"/>
    <w:rsid w:val="00673825"/>
    <w:rsid w:val="006741BA"/>
    <w:rsid w:val="0067511C"/>
    <w:rsid w:val="00675C77"/>
    <w:rsid w:val="006769A9"/>
    <w:rsid w:val="00676FFB"/>
    <w:rsid w:val="00677580"/>
    <w:rsid w:val="0068056E"/>
    <w:rsid w:val="00680793"/>
    <w:rsid w:val="00681419"/>
    <w:rsid w:val="0068147D"/>
    <w:rsid w:val="00681C17"/>
    <w:rsid w:val="0068416D"/>
    <w:rsid w:val="0068464C"/>
    <w:rsid w:val="0068584E"/>
    <w:rsid w:val="006867F7"/>
    <w:rsid w:val="0068790B"/>
    <w:rsid w:val="00690E17"/>
    <w:rsid w:val="006927C6"/>
    <w:rsid w:val="006932F1"/>
    <w:rsid w:val="0069378B"/>
    <w:rsid w:val="00693F00"/>
    <w:rsid w:val="00694C29"/>
    <w:rsid w:val="00695136"/>
    <w:rsid w:val="00695880"/>
    <w:rsid w:val="006963F5"/>
    <w:rsid w:val="00696518"/>
    <w:rsid w:val="00696831"/>
    <w:rsid w:val="00696AFD"/>
    <w:rsid w:val="006A022A"/>
    <w:rsid w:val="006A03FA"/>
    <w:rsid w:val="006A154E"/>
    <w:rsid w:val="006A2A1B"/>
    <w:rsid w:val="006A2B0D"/>
    <w:rsid w:val="006A4F2F"/>
    <w:rsid w:val="006A5B56"/>
    <w:rsid w:val="006A6448"/>
    <w:rsid w:val="006A6F35"/>
    <w:rsid w:val="006A7132"/>
    <w:rsid w:val="006A73AA"/>
    <w:rsid w:val="006A7B3B"/>
    <w:rsid w:val="006A7D98"/>
    <w:rsid w:val="006B02AA"/>
    <w:rsid w:val="006B2BEF"/>
    <w:rsid w:val="006B2C4F"/>
    <w:rsid w:val="006B4AEB"/>
    <w:rsid w:val="006B5D33"/>
    <w:rsid w:val="006B5F7D"/>
    <w:rsid w:val="006B61C9"/>
    <w:rsid w:val="006C0044"/>
    <w:rsid w:val="006C0045"/>
    <w:rsid w:val="006C08CC"/>
    <w:rsid w:val="006C0C6C"/>
    <w:rsid w:val="006C13A4"/>
    <w:rsid w:val="006C181D"/>
    <w:rsid w:val="006C33FE"/>
    <w:rsid w:val="006C393C"/>
    <w:rsid w:val="006C4031"/>
    <w:rsid w:val="006C4EDD"/>
    <w:rsid w:val="006C5580"/>
    <w:rsid w:val="006C55B6"/>
    <w:rsid w:val="006C5684"/>
    <w:rsid w:val="006C702E"/>
    <w:rsid w:val="006C7C13"/>
    <w:rsid w:val="006C7E3F"/>
    <w:rsid w:val="006D2887"/>
    <w:rsid w:val="006D29FD"/>
    <w:rsid w:val="006D39DD"/>
    <w:rsid w:val="006D4452"/>
    <w:rsid w:val="006D4640"/>
    <w:rsid w:val="006D47CF"/>
    <w:rsid w:val="006D513C"/>
    <w:rsid w:val="006D53AA"/>
    <w:rsid w:val="006D595E"/>
    <w:rsid w:val="006D65A1"/>
    <w:rsid w:val="006D7172"/>
    <w:rsid w:val="006D7BB6"/>
    <w:rsid w:val="006E0DA8"/>
    <w:rsid w:val="006E2DFA"/>
    <w:rsid w:val="006E431D"/>
    <w:rsid w:val="006E45A3"/>
    <w:rsid w:val="006E4E48"/>
    <w:rsid w:val="006E5BFD"/>
    <w:rsid w:val="006F1012"/>
    <w:rsid w:val="006F1D5E"/>
    <w:rsid w:val="006F2568"/>
    <w:rsid w:val="006F257E"/>
    <w:rsid w:val="006F2D18"/>
    <w:rsid w:val="006F34A0"/>
    <w:rsid w:val="006F470F"/>
    <w:rsid w:val="006F5667"/>
    <w:rsid w:val="006F5734"/>
    <w:rsid w:val="006F70D2"/>
    <w:rsid w:val="006F71AE"/>
    <w:rsid w:val="006F75D8"/>
    <w:rsid w:val="006F7CB4"/>
    <w:rsid w:val="00701818"/>
    <w:rsid w:val="0070225B"/>
    <w:rsid w:val="00702477"/>
    <w:rsid w:val="007036B8"/>
    <w:rsid w:val="00704992"/>
    <w:rsid w:val="00705410"/>
    <w:rsid w:val="00705C8A"/>
    <w:rsid w:val="00705C95"/>
    <w:rsid w:val="00706287"/>
    <w:rsid w:val="007066F0"/>
    <w:rsid w:val="00706F10"/>
    <w:rsid w:val="00707128"/>
    <w:rsid w:val="00710701"/>
    <w:rsid w:val="0071081C"/>
    <w:rsid w:val="00710B62"/>
    <w:rsid w:val="00710E85"/>
    <w:rsid w:val="0071112A"/>
    <w:rsid w:val="0071242D"/>
    <w:rsid w:val="0071281B"/>
    <w:rsid w:val="00712E05"/>
    <w:rsid w:val="00713C13"/>
    <w:rsid w:val="0071485F"/>
    <w:rsid w:val="007148F4"/>
    <w:rsid w:val="00714EF6"/>
    <w:rsid w:val="00717999"/>
    <w:rsid w:val="00717D48"/>
    <w:rsid w:val="00717F25"/>
    <w:rsid w:val="00717FD1"/>
    <w:rsid w:val="00722DE4"/>
    <w:rsid w:val="0072350A"/>
    <w:rsid w:val="00723658"/>
    <w:rsid w:val="00726451"/>
    <w:rsid w:val="007267EA"/>
    <w:rsid w:val="00726B78"/>
    <w:rsid w:val="00727B5F"/>
    <w:rsid w:val="00727BAB"/>
    <w:rsid w:val="0073173A"/>
    <w:rsid w:val="0073200A"/>
    <w:rsid w:val="00732425"/>
    <w:rsid w:val="00732B16"/>
    <w:rsid w:val="0073378E"/>
    <w:rsid w:val="00734C4D"/>
    <w:rsid w:val="0073508A"/>
    <w:rsid w:val="007352A8"/>
    <w:rsid w:val="0073557D"/>
    <w:rsid w:val="00736AB7"/>
    <w:rsid w:val="00737682"/>
    <w:rsid w:val="0073780D"/>
    <w:rsid w:val="007400DC"/>
    <w:rsid w:val="00740477"/>
    <w:rsid w:val="007418AD"/>
    <w:rsid w:val="00741EE3"/>
    <w:rsid w:val="00743092"/>
    <w:rsid w:val="007434B3"/>
    <w:rsid w:val="007435BB"/>
    <w:rsid w:val="00745E59"/>
    <w:rsid w:val="00746E48"/>
    <w:rsid w:val="0074764B"/>
    <w:rsid w:val="0075090E"/>
    <w:rsid w:val="007515C2"/>
    <w:rsid w:val="00751DDF"/>
    <w:rsid w:val="007524B1"/>
    <w:rsid w:val="007524BD"/>
    <w:rsid w:val="00752F34"/>
    <w:rsid w:val="00753012"/>
    <w:rsid w:val="00753781"/>
    <w:rsid w:val="00753893"/>
    <w:rsid w:val="00753A3F"/>
    <w:rsid w:val="0075478C"/>
    <w:rsid w:val="00754BB8"/>
    <w:rsid w:val="0075717E"/>
    <w:rsid w:val="00757B13"/>
    <w:rsid w:val="00762840"/>
    <w:rsid w:val="00762C1E"/>
    <w:rsid w:val="007630E0"/>
    <w:rsid w:val="007637B6"/>
    <w:rsid w:val="00763B4E"/>
    <w:rsid w:val="00764548"/>
    <w:rsid w:val="007658C5"/>
    <w:rsid w:val="007659F0"/>
    <w:rsid w:val="00766B43"/>
    <w:rsid w:val="00766C61"/>
    <w:rsid w:val="00766FD0"/>
    <w:rsid w:val="00767647"/>
    <w:rsid w:val="007678B3"/>
    <w:rsid w:val="00770222"/>
    <w:rsid w:val="007709FD"/>
    <w:rsid w:val="00771212"/>
    <w:rsid w:val="00771C9A"/>
    <w:rsid w:val="00771DBC"/>
    <w:rsid w:val="00772187"/>
    <w:rsid w:val="007722B6"/>
    <w:rsid w:val="00773E42"/>
    <w:rsid w:val="00774056"/>
    <w:rsid w:val="00774AFA"/>
    <w:rsid w:val="00775871"/>
    <w:rsid w:val="00776FBE"/>
    <w:rsid w:val="00777BAA"/>
    <w:rsid w:val="00780F1D"/>
    <w:rsid w:val="00782E12"/>
    <w:rsid w:val="00784474"/>
    <w:rsid w:val="00784AA7"/>
    <w:rsid w:val="00786F9D"/>
    <w:rsid w:val="00787601"/>
    <w:rsid w:val="00790306"/>
    <w:rsid w:val="00790C71"/>
    <w:rsid w:val="00791270"/>
    <w:rsid w:val="00792066"/>
    <w:rsid w:val="00792DC9"/>
    <w:rsid w:val="00793311"/>
    <w:rsid w:val="00793901"/>
    <w:rsid w:val="00793969"/>
    <w:rsid w:val="00793BB0"/>
    <w:rsid w:val="00794BB9"/>
    <w:rsid w:val="007951BB"/>
    <w:rsid w:val="00795666"/>
    <w:rsid w:val="00795C83"/>
    <w:rsid w:val="00797B88"/>
    <w:rsid w:val="00797CDF"/>
    <w:rsid w:val="007A0B50"/>
    <w:rsid w:val="007A1E67"/>
    <w:rsid w:val="007A22E7"/>
    <w:rsid w:val="007A4480"/>
    <w:rsid w:val="007A4621"/>
    <w:rsid w:val="007A4E7C"/>
    <w:rsid w:val="007A4FAB"/>
    <w:rsid w:val="007A5132"/>
    <w:rsid w:val="007A6162"/>
    <w:rsid w:val="007A6413"/>
    <w:rsid w:val="007A6D6A"/>
    <w:rsid w:val="007A7231"/>
    <w:rsid w:val="007B002C"/>
    <w:rsid w:val="007B0867"/>
    <w:rsid w:val="007B092F"/>
    <w:rsid w:val="007B0D63"/>
    <w:rsid w:val="007B135F"/>
    <w:rsid w:val="007B15D9"/>
    <w:rsid w:val="007B23B1"/>
    <w:rsid w:val="007B277D"/>
    <w:rsid w:val="007B27A7"/>
    <w:rsid w:val="007B3A0C"/>
    <w:rsid w:val="007B3BFE"/>
    <w:rsid w:val="007B442C"/>
    <w:rsid w:val="007B448F"/>
    <w:rsid w:val="007B58BA"/>
    <w:rsid w:val="007B6464"/>
    <w:rsid w:val="007B6799"/>
    <w:rsid w:val="007C0824"/>
    <w:rsid w:val="007C119E"/>
    <w:rsid w:val="007C1D74"/>
    <w:rsid w:val="007C23FE"/>
    <w:rsid w:val="007C2981"/>
    <w:rsid w:val="007C471E"/>
    <w:rsid w:val="007C4B0C"/>
    <w:rsid w:val="007C75C2"/>
    <w:rsid w:val="007C772D"/>
    <w:rsid w:val="007C77A8"/>
    <w:rsid w:val="007C78D8"/>
    <w:rsid w:val="007D0121"/>
    <w:rsid w:val="007D1617"/>
    <w:rsid w:val="007D1CAC"/>
    <w:rsid w:val="007D1EC1"/>
    <w:rsid w:val="007D21DA"/>
    <w:rsid w:val="007D27CD"/>
    <w:rsid w:val="007D2F3E"/>
    <w:rsid w:val="007D3480"/>
    <w:rsid w:val="007D3E4F"/>
    <w:rsid w:val="007D50D2"/>
    <w:rsid w:val="007D5287"/>
    <w:rsid w:val="007D5879"/>
    <w:rsid w:val="007D599A"/>
    <w:rsid w:val="007D5B64"/>
    <w:rsid w:val="007D65D4"/>
    <w:rsid w:val="007D73BF"/>
    <w:rsid w:val="007D74CA"/>
    <w:rsid w:val="007D767E"/>
    <w:rsid w:val="007D7B15"/>
    <w:rsid w:val="007E07DE"/>
    <w:rsid w:val="007E1801"/>
    <w:rsid w:val="007E190E"/>
    <w:rsid w:val="007E1D5B"/>
    <w:rsid w:val="007E29C5"/>
    <w:rsid w:val="007E2BA8"/>
    <w:rsid w:val="007E2F54"/>
    <w:rsid w:val="007E4349"/>
    <w:rsid w:val="007E47E8"/>
    <w:rsid w:val="007E57FB"/>
    <w:rsid w:val="007E6E99"/>
    <w:rsid w:val="007F0527"/>
    <w:rsid w:val="007F1554"/>
    <w:rsid w:val="007F1D9E"/>
    <w:rsid w:val="007F24FF"/>
    <w:rsid w:val="007F2921"/>
    <w:rsid w:val="007F2FA3"/>
    <w:rsid w:val="007F49FA"/>
    <w:rsid w:val="007F4C19"/>
    <w:rsid w:val="007F4D5D"/>
    <w:rsid w:val="007F4EDD"/>
    <w:rsid w:val="007F630B"/>
    <w:rsid w:val="007F6C22"/>
    <w:rsid w:val="007F6E53"/>
    <w:rsid w:val="00800F8A"/>
    <w:rsid w:val="008024F0"/>
    <w:rsid w:val="0080294D"/>
    <w:rsid w:val="00802F06"/>
    <w:rsid w:val="00803772"/>
    <w:rsid w:val="0080405B"/>
    <w:rsid w:val="00804AC5"/>
    <w:rsid w:val="00804E9C"/>
    <w:rsid w:val="00805131"/>
    <w:rsid w:val="00806050"/>
    <w:rsid w:val="0081021B"/>
    <w:rsid w:val="00810828"/>
    <w:rsid w:val="00811A7A"/>
    <w:rsid w:val="0081283A"/>
    <w:rsid w:val="00814558"/>
    <w:rsid w:val="00815421"/>
    <w:rsid w:val="0081619B"/>
    <w:rsid w:val="00816BC2"/>
    <w:rsid w:val="008200D4"/>
    <w:rsid w:val="00820553"/>
    <w:rsid w:val="00822639"/>
    <w:rsid w:val="00825826"/>
    <w:rsid w:val="00825C63"/>
    <w:rsid w:val="00825EB9"/>
    <w:rsid w:val="00826545"/>
    <w:rsid w:val="00826DB3"/>
    <w:rsid w:val="00827E66"/>
    <w:rsid w:val="00830376"/>
    <w:rsid w:val="008305B8"/>
    <w:rsid w:val="008319BA"/>
    <w:rsid w:val="00832D76"/>
    <w:rsid w:val="00832FD0"/>
    <w:rsid w:val="008335B5"/>
    <w:rsid w:val="008347BA"/>
    <w:rsid w:val="00835AAA"/>
    <w:rsid w:val="00837666"/>
    <w:rsid w:val="00837C85"/>
    <w:rsid w:val="008401DF"/>
    <w:rsid w:val="00840281"/>
    <w:rsid w:val="00840388"/>
    <w:rsid w:val="00840742"/>
    <w:rsid w:val="00842993"/>
    <w:rsid w:val="00843023"/>
    <w:rsid w:val="008433B4"/>
    <w:rsid w:val="00843508"/>
    <w:rsid w:val="008438EE"/>
    <w:rsid w:val="00843D66"/>
    <w:rsid w:val="008464E0"/>
    <w:rsid w:val="008471CE"/>
    <w:rsid w:val="0084772F"/>
    <w:rsid w:val="00850B58"/>
    <w:rsid w:val="0085115F"/>
    <w:rsid w:val="0085335E"/>
    <w:rsid w:val="00854BD4"/>
    <w:rsid w:val="0085573F"/>
    <w:rsid w:val="00855EEC"/>
    <w:rsid w:val="00861280"/>
    <w:rsid w:val="00861E5A"/>
    <w:rsid w:val="00861EFE"/>
    <w:rsid w:val="00862CAF"/>
    <w:rsid w:val="00862EEF"/>
    <w:rsid w:val="008637AB"/>
    <w:rsid w:val="00864528"/>
    <w:rsid w:val="0086455F"/>
    <w:rsid w:val="008649B1"/>
    <w:rsid w:val="00864AFE"/>
    <w:rsid w:val="008652D1"/>
    <w:rsid w:val="008655B6"/>
    <w:rsid w:val="00865E24"/>
    <w:rsid w:val="008662A6"/>
    <w:rsid w:val="008663C4"/>
    <w:rsid w:val="00866779"/>
    <w:rsid w:val="00867ADC"/>
    <w:rsid w:val="00870002"/>
    <w:rsid w:val="00870653"/>
    <w:rsid w:val="00870BED"/>
    <w:rsid w:val="00872095"/>
    <w:rsid w:val="00872765"/>
    <w:rsid w:val="008729B8"/>
    <w:rsid w:val="00873844"/>
    <w:rsid w:val="00873C59"/>
    <w:rsid w:val="008744CC"/>
    <w:rsid w:val="00874DC6"/>
    <w:rsid w:val="00876A5B"/>
    <w:rsid w:val="00876AFB"/>
    <w:rsid w:val="00880DAB"/>
    <w:rsid w:val="008811E5"/>
    <w:rsid w:val="008817B6"/>
    <w:rsid w:val="00883D92"/>
    <w:rsid w:val="00884554"/>
    <w:rsid w:val="00884817"/>
    <w:rsid w:val="00885C72"/>
    <w:rsid w:val="00890141"/>
    <w:rsid w:val="008906FB"/>
    <w:rsid w:val="00890C44"/>
    <w:rsid w:val="00890EB6"/>
    <w:rsid w:val="00892195"/>
    <w:rsid w:val="00892BA8"/>
    <w:rsid w:val="00893CE6"/>
    <w:rsid w:val="00894B9F"/>
    <w:rsid w:val="008953BD"/>
    <w:rsid w:val="0089548B"/>
    <w:rsid w:val="008954D0"/>
    <w:rsid w:val="00896262"/>
    <w:rsid w:val="00896396"/>
    <w:rsid w:val="008965DF"/>
    <w:rsid w:val="00896C5E"/>
    <w:rsid w:val="00897072"/>
    <w:rsid w:val="0089741A"/>
    <w:rsid w:val="008A00B5"/>
    <w:rsid w:val="008A0438"/>
    <w:rsid w:val="008A1356"/>
    <w:rsid w:val="008A1D5F"/>
    <w:rsid w:val="008A2C4A"/>
    <w:rsid w:val="008A305E"/>
    <w:rsid w:val="008A3992"/>
    <w:rsid w:val="008A3BBF"/>
    <w:rsid w:val="008A3C93"/>
    <w:rsid w:val="008A3E1B"/>
    <w:rsid w:val="008A43E1"/>
    <w:rsid w:val="008A45E3"/>
    <w:rsid w:val="008A4BFE"/>
    <w:rsid w:val="008A56FF"/>
    <w:rsid w:val="008A6F52"/>
    <w:rsid w:val="008A7297"/>
    <w:rsid w:val="008A76D2"/>
    <w:rsid w:val="008A7D02"/>
    <w:rsid w:val="008B0244"/>
    <w:rsid w:val="008B1505"/>
    <w:rsid w:val="008B1980"/>
    <w:rsid w:val="008B1A96"/>
    <w:rsid w:val="008B1D9A"/>
    <w:rsid w:val="008B231D"/>
    <w:rsid w:val="008B372E"/>
    <w:rsid w:val="008B3E92"/>
    <w:rsid w:val="008B4673"/>
    <w:rsid w:val="008B4F9E"/>
    <w:rsid w:val="008B52F3"/>
    <w:rsid w:val="008B62C4"/>
    <w:rsid w:val="008B7775"/>
    <w:rsid w:val="008B7A7B"/>
    <w:rsid w:val="008B7D47"/>
    <w:rsid w:val="008C07DB"/>
    <w:rsid w:val="008C11A5"/>
    <w:rsid w:val="008C192C"/>
    <w:rsid w:val="008C1E05"/>
    <w:rsid w:val="008C1F79"/>
    <w:rsid w:val="008C2004"/>
    <w:rsid w:val="008C2475"/>
    <w:rsid w:val="008C3502"/>
    <w:rsid w:val="008C37EE"/>
    <w:rsid w:val="008C3AB5"/>
    <w:rsid w:val="008C402E"/>
    <w:rsid w:val="008C6B1F"/>
    <w:rsid w:val="008D0766"/>
    <w:rsid w:val="008D2001"/>
    <w:rsid w:val="008D2616"/>
    <w:rsid w:val="008D3045"/>
    <w:rsid w:val="008D3491"/>
    <w:rsid w:val="008D44B9"/>
    <w:rsid w:val="008D45A2"/>
    <w:rsid w:val="008D5042"/>
    <w:rsid w:val="008D5423"/>
    <w:rsid w:val="008D65AC"/>
    <w:rsid w:val="008D6EE8"/>
    <w:rsid w:val="008D783B"/>
    <w:rsid w:val="008E0709"/>
    <w:rsid w:val="008E0D6D"/>
    <w:rsid w:val="008E13B3"/>
    <w:rsid w:val="008E1442"/>
    <w:rsid w:val="008E1981"/>
    <w:rsid w:val="008E238A"/>
    <w:rsid w:val="008E388E"/>
    <w:rsid w:val="008E39C1"/>
    <w:rsid w:val="008E4263"/>
    <w:rsid w:val="008E5980"/>
    <w:rsid w:val="008E604D"/>
    <w:rsid w:val="008E6151"/>
    <w:rsid w:val="008F056E"/>
    <w:rsid w:val="008F24A0"/>
    <w:rsid w:val="008F273C"/>
    <w:rsid w:val="008F278E"/>
    <w:rsid w:val="008F28F0"/>
    <w:rsid w:val="008F2C20"/>
    <w:rsid w:val="008F3C29"/>
    <w:rsid w:val="008F3F1B"/>
    <w:rsid w:val="008F4A78"/>
    <w:rsid w:val="008F699B"/>
    <w:rsid w:val="009002A9"/>
    <w:rsid w:val="0090161B"/>
    <w:rsid w:val="00901C0A"/>
    <w:rsid w:val="00901E60"/>
    <w:rsid w:val="009022E0"/>
    <w:rsid w:val="00902A3F"/>
    <w:rsid w:val="00904114"/>
    <w:rsid w:val="00904C3C"/>
    <w:rsid w:val="009052BD"/>
    <w:rsid w:val="009063D3"/>
    <w:rsid w:val="00906A03"/>
    <w:rsid w:val="00907CEA"/>
    <w:rsid w:val="0091073E"/>
    <w:rsid w:val="009107A1"/>
    <w:rsid w:val="009109D4"/>
    <w:rsid w:val="0091191F"/>
    <w:rsid w:val="009130BC"/>
    <w:rsid w:val="009131BE"/>
    <w:rsid w:val="0091389E"/>
    <w:rsid w:val="0091513E"/>
    <w:rsid w:val="00915437"/>
    <w:rsid w:val="0091592F"/>
    <w:rsid w:val="009159D1"/>
    <w:rsid w:val="00915B34"/>
    <w:rsid w:val="00915EE0"/>
    <w:rsid w:val="00916BC1"/>
    <w:rsid w:val="00917B2F"/>
    <w:rsid w:val="00917D20"/>
    <w:rsid w:val="0092042F"/>
    <w:rsid w:val="009209F3"/>
    <w:rsid w:val="00920AE9"/>
    <w:rsid w:val="00920EE5"/>
    <w:rsid w:val="00921366"/>
    <w:rsid w:val="00921903"/>
    <w:rsid w:val="00921BA8"/>
    <w:rsid w:val="0092242C"/>
    <w:rsid w:val="009234AA"/>
    <w:rsid w:val="009238D6"/>
    <w:rsid w:val="00923D12"/>
    <w:rsid w:val="0092414B"/>
    <w:rsid w:val="00924248"/>
    <w:rsid w:val="009246B5"/>
    <w:rsid w:val="009247D3"/>
    <w:rsid w:val="00925506"/>
    <w:rsid w:val="0092576C"/>
    <w:rsid w:val="00926BC2"/>
    <w:rsid w:val="00926D9B"/>
    <w:rsid w:val="00927DD1"/>
    <w:rsid w:val="009305C5"/>
    <w:rsid w:val="00930990"/>
    <w:rsid w:val="0093105F"/>
    <w:rsid w:val="00931EB8"/>
    <w:rsid w:val="009344D7"/>
    <w:rsid w:val="00934B7A"/>
    <w:rsid w:val="00935E47"/>
    <w:rsid w:val="00935FE4"/>
    <w:rsid w:val="00940105"/>
    <w:rsid w:val="00940695"/>
    <w:rsid w:val="009409BE"/>
    <w:rsid w:val="009421D6"/>
    <w:rsid w:val="00942DF5"/>
    <w:rsid w:val="009433C3"/>
    <w:rsid w:val="00943FD0"/>
    <w:rsid w:val="00944729"/>
    <w:rsid w:val="00945D84"/>
    <w:rsid w:val="00945DED"/>
    <w:rsid w:val="00946D25"/>
    <w:rsid w:val="00947184"/>
    <w:rsid w:val="0094723A"/>
    <w:rsid w:val="009472C0"/>
    <w:rsid w:val="00947B97"/>
    <w:rsid w:val="00950E89"/>
    <w:rsid w:val="00951F19"/>
    <w:rsid w:val="00952D6D"/>
    <w:rsid w:val="009530FE"/>
    <w:rsid w:val="009532BB"/>
    <w:rsid w:val="009577AF"/>
    <w:rsid w:val="00961907"/>
    <w:rsid w:val="00962CFE"/>
    <w:rsid w:val="00963896"/>
    <w:rsid w:val="0096512E"/>
    <w:rsid w:val="00965729"/>
    <w:rsid w:val="0096643C"/>
    <w:rsid w:val="009709DE"/>
    <w:rsid w:val="00971175"/>
    <w:rsid w:val="00971ADF"/>
    <w:rsid w:val="00972366"/>
    <w:rsid w:val="0097270E"/>
    <w:rsid w:val="00973BBE"/>
    <w:rsid w:val="009752D7"/>
    <w:rsid w:val="00975983"/>
    <w:rsid w:val="00975DC2"/>
    <w:rsid w:val="00976253"/>
    <w:rsid w:val="00976547"/>
    <w:rsid w:val="00976591"/>
    <w:rsid w:val="009768C3"/>
    <w:rsid w:val="00976BAD"/>
    <w:rsid w:val="00976E03"/>
    <w:rsid w:val="00980CE8"/>
    <w:rsid w:val="00981217"/>
    <w:rsid w:val="0098190B"/>
    <w:rsid w:val="00983924"/>
    <w:rsid w:val="009855DC"/>
    <w:rsid w:val="00986200"/>
    <w:rsid w:val="009878A5"/>
    <w:rsid w:val="009900C2"/>
    <w:rsid w:val="009928F3"/>
    <w:rsid w:val="009930E5"/>
    <w:rsid w:val="0099431C"/>
    <w:rsid w:val="00994D69"/>
    <w:rsid w:val="00995B18"/>
    <w:rsid w:val="00995ED6"/>
    <w:rsid w:val="00996548"/>
    <w:rsid w:val="00997657"/>
    <w:rsid w:val="00997F0A"/>
    <w:rsid w:val="009A0AC8"/>
    <w:rsid w:val="009A15D8"/>
    <w:rsid w:val="009A15F2"/>
    <w:rsid w:val="009A226B"/>
    <w:rsid w:val="009A2E35"/>
    <w:rsid w:val="009A4224"/>
    <w:rsid w:val="009A44FA"/>
    <w:rsid w:val="009A4A13"/>
    <w:rsid w:val="009A6123"/>
    <w:rsid w:val="009B06C3"/>
    <w:rsid w:val="009B1B94"/>
    <w:rsid w:val="009B1F23"/>
    <w:rsid w:val="009B517A"/>
    <w:rsid w:val="009B547C"/>
    <w:rsid w:val="009B57EF"/>
    <w:rsid w:val="009B5C51"/>
    <w:rsid w:val="009B63C7"/>
    <w:rsid w:val="009B68C7"/>
    <w:rsid w:val="009B6AED"/>
    <w:rsid w:val="009B7173"/>
    <w:rsid w:val="009B7331"/>
    <w:rsid w:val="009B7995"/>
    <w:rsid w:val="009B7D25"/>
    <w:rsid w:val="009B7ED9"/>
    <w:rsid w:val="009C045A"/>
    <w:rsid w:val="009C07F6"/>
    <w:rsid w:val="009C0AA2"/>
    <w:rsid w:val="009C0ECB"/>
    <w:rsid w:val="009C1319"/>
    <w:rsid w:val="009C1E28"/>
    <w:rsid w:val="009C3327"/>
    <w:rsid w:val="009C4D4F"/>
    <w:rsid w:val="009C579D"/>
    <w:rsid w:val="009C672F"/>
    <w:rsid w:val="009D0895"/>
    <w:rsid w:val="009D09A8"/>
    <w:rsid w:val="009D0B83"/>
    <w:rsid w:val="009D25B1"/>
    <w:rsid w:val="009D27EC"/>
    <w:rsid w:val="009D2A3B"/>
    <w:rsid w:val="009D326C"/>
    <w:rsid w:val="009D4485"/>
    <w:rsid w:val="009D4B77"/>
    <w:rsid w:val="009D5B9E"/>
    <w:rsid w:val="009D5BFD"/>
    <w:rsid w:val="009D63FB"/>
    <w:rsid w:val="009D6A5F"/>
    <w:rsid w:val="009E1664"/>
    <w:rsid w:val="009E241B"/>
    <w:rsid w:val="009E2C40"/>
    <w:rsid w:val="009E345D"/>
    <w:rsid w:val="009E3460"/>
    <w:rsid w:val="009E417B"/>
    <w:rsid w:val="009E4607"/>
    <w:rsid w:val="009E4981"/>
    <w:rsid w:val="009E552D"/>
    <w:rsid w:val="009E55B3"/>
    <w:rsid w:val="009E6B1B"/>
    <w:rsid w:val="009E6C48"/>
    <w:rsid w:val="009E7974"/>
    <w:rsid w:val="009F0419"/>
    <w:rsid w:val="009F0B77"/>
    <w:rsid w:val="009F0BA3"/>
    <w:rsid w:val="009F2B42"/>
    <w:rsid w:val="009F3CB3"/>
    <w:rsid w:val="009F3E57"/>
    <w:rsid w:val="009F4ECC"/>
    <w:rsid w:val="009F5476"/>
    <w:rsid w:val="009F6B50"/>
    <w:rsid w:val="00A000E1"/>
    <w:rsid w:val="00A00290"/>
    <w:rsid w:val="00A00B22"/>
    <w:rsid w:val="00A00F3E"/>
    <w:rsid w:val="00A01B38"/>
    <w:rsid w:val="00A01D7C"/>
    <w:rsid w:val="00A028AB"/>
    <w:rsid w:val="00A03609"/>
    <w:rsid w:val="00A0562D"/>
    <w:rsid w:val="00A05F50"/>
    <w:rsid w:val="00A06728"/>
    <w:rsid w:val="00A07C6D"/>
    <w:rsid w:val="00A10803"/>
    <w:rsid w:val="00A10B2B"/>
    <w:rsid w:val="00A10BF5"/>
    <w:rsid w:val="00A10D50"/>
    <w:rsid w:val="00A1143A"/>
    <w:rsid w:val="00A1329E"/>
    <w:rsid w:val="00A13E4F"/>
    <w:rsid w:val="00A15931"/>
    <w:rsid w:val="00A159DB"/>
    <w:rsid w:val="00A15B37"/>
    <w:rsid w:val="00A17FD2"/>
    <w:rsid w:val="00A210FA"/>
    <w:rsid w:val="00A21280"/>
    <w:rsid w:val="00A24231"/>
    <w:rsid w:val="00A2488E"/>
    <w:rsid w:val="00A254D5"/>
    <w:rsid w:val="00A259A1"/>
    <w:rsid w:val="00A25ECB"/>
    <w:rsid w:val="00A26C33"/>
    <w:rsid w:val="00A27B03"/>
    <w:rsid w:val="00A3512D"/>
    <w:rsid w:val="00A35706"/>
    <w:rsid w:val="00A35996"/>
    <w:rsid w:val="00A35E51"/>
    <w:rsid w:val="00A36BBE"/>
    <w:rsid w:val="00A36E09"/>
    <w:rsid w:val="00A370EB"/>
    <w:rsid w:val="00A377B8"/>
    <w:rsid w:val="00A40E37"/>
    <w:rsid w:val="00A410A6"/>
    <w:rsid w:val="00A41B13"/>
    <w:rsid w:val="00A41B28"/>
    <w:rsid w:val="00A41F02"/>
    <w:rsid w:val="00A4553D"/>
    <w:rsid w:val="00A45595"/>
    <w:rsid w:val="00A455F2"/>
    <w:rsid w:val="00A45ABA"/>
    <w:rsid w:val="00A4619E"/>
    <w:rsid w:val="00A47D7B"/>
    <w:rsid w:val="00A502BC"/>
    <w:rsid w:val="00A50672"/>
    <w:rsid w:val="00A50D7C"/>
    <w:rsid w:val="00A51080"/>
    <w:rsid w:val="00A52090"/>
    <w:rsid w:val="00A53FB8"/>
    <w:rsid w:val="00A55273"/>
    <w:rsid w:val="00A555A4"/>
    <w:rsid w:val="00A56890"/>
    <w:rsid w:val="00A56F49"/>
    <w:rsid w:val="00A57148"/>
    <w:rsid w:val="00A61BCB"/>
    <w:rsid w:val="00A61DFF"/>
    <w:rsid w:val="00A61F5A"/>
    <w:rsid w:val="00A63768"/>
    <w:rsid w:val="00A63C7B"/>
    <w:rsid w:val="00A63E62"/>
    <w:rsid w:val="00A658A4"/>
    <w:rsid w:val="00A674C1"/>
    <w:rsid w:val="00A70708"/>
    <w:rsid w:val="00A73E43"/>
    <w:rsid w:val="00A742A7"/>
    <w:rsid w:val="00A745EF"/>
    <w:rsid w:val="00A75310"/>
    <w:rsid w:val="00A76D1F"/>
    <w:rsid w:val="00A771D3"/>
    <w:rsid w:val="00A772D6"/>
    <w:rsid w:val="00A77FA4"/>
    <w:rsid w:val="00A83FE7"/>
    <w:rsid w:val="00A843EF"/>
    <w:rsid w:val="00A849D7"/>
    <w:rsid w:val="00A84AAB"/>
    <w:rsid w:val="00A85E5F"/>
    <w:rsid w:val="00A9093D"/>
    <w:rsid w:val="00A90E04"/>
    <w:rsid w:val="00A9106C"/>
    <w:rsid w:val="00A92367"/>
    <w:rsid w:val="00A92458"/>
    <w:rsid w:val="00A92461"/>
    <w:rsid w:val="00A92C21"/>
    <w:rsid w:val="00A92C7F"/>
    <w:rsid w:val="00A93B08"/>
    <w:rsid w:val="00A9589B"/>
    <w:rsid w:val="00A9684D"/>
    <w:rsid w:val="00A9706C"/>
    <w:rsid w:val="00A979C4"/>
    <w:rsid w:val="00AA098A"/>
    <w:rsid w:val="00AA1CD9"/>
    <w:rsid w:val="00AA32F0"/>
    <w:rsid w:val="00AA4528"/>
    <w:rsid w:val="00AA45F5"/>
    <w:rsid w:val="00AA489F"/>
    <w:rsid w:val="00AA4F16"/>
    <w:rsid w:val="00AA5E1B"/>
    <w:rsid w:val="00AA5FBD"/>
    <w:rsid w:val="00AA642F"/>
    <w:rsid w:val="00AB0637"/>
    <w:rsid w:val="00AB1B0D"/>
    <w:rsid w:val="00AB2A53"/>
    <w:rsid w:val="00AB2D7D"/>
    <w:rsid w:val="00AB3B61"/>
    <w:rsid w:val="00AB4E4A"/>
    <w:rsid w:val="00AB74EB"/>
    <w:rsid w:val="00AC0A8C"/>
    <w:rsid w:val="00AC3BD9"/>
    <w:rsid w:val="00AC4154"/>
    <w:rsid w:val="00AC4F89"/>
    <w:rsid w:val="00AC56A8"/>
    <w:rsid w:val="00AC5C81"/>
    <w:rsid w:val="00AC61CF"/>
    <w:rsid w:val="00AC6583"/>
    <w:rsid w:val="00AC7212"/>
    <w:rsid w:val="00AC7E2A"/>
    <w:rsid w:val="00AD0047"/>
    <w:rsid w:val="00AD1058"/>
    <w:rsid w:val="00AD15E1"/>
    <w:rsid w:val="00AD16D2"/>
    <w:rsid w:val="00AD1DF2"/>
    <w:rsid w:val="00AD1EA0"/>
    <w:rsid w:val="00AD2645"/>
    <w:rsid w:val="00AD280C"/>
    <w:rsid w:val="00AD2CAA"/>
    <w:rsid w:val="00AD3863"/>
    <w:rsid w:val="00AD38B2"/>
    <w:rsid w:val="00AD3E8D"/>
    <w:rsid w:val="00AD43ED"/>
    <w:rsid w:val="00AD45E2"/>
    <w:rsid w:val="00AD5637"/>
    <w:rsid w:val="00AD5CCB"/>
    <w:rsid w:val="00AD7185"/>
    <w:rsid w:val="00AD7392"/>
    <w:rsid w:val="00AD760C"/>
    <w:rsid w:val="00AE0373"/>
    <w:rsid w:val="00AE1021"/>
    <w:rsid w:val="00AE118A"/>
    <w:rsid w:val="00AE15BE"/>
    <w:rsid w:val="00AE4822"/>
    <w:rsid w:val="00AE4F77"/>
    <w:rsid w:val="00AE5791"/>
    <w:rsid w:val="00AE5A9F"/>
    <w:rsid w:val="00AE663A"/>
    <w:rsid w:val="00AE6BB1"/>
    <w:rsid w:val="00AE6F3A"/>
    <w:rsid w:val="00AE7115"/>
    <w:rsid w:val="00AE75AA"/>
    <w:rsid w:val="00AE7D52"/>
    <w:rsid w:val="00AF0470"/>
    <w:rsid w:val="00AF1018"/>
    <w:rsid w:val="00AF18E1"/>
    <w:rsid w:val="00AF36D4"/>
    <w:rsid w:val="00AF6B73"/>
    <w:rsid w:val="00B012BF"/>
    <w:rsid w:val="00B0329E"/>
    <w:rsid w:val="00B054BE"/>
    <w:rsid w:val="00B05541"/>
    <w:rsid w:val="00B05C9D"/>
    <w:rsid w:val="00B06419"/>
    <w:rsid w:val="00B06FB5"/>
    <w:rsid w:val="00B107EA"/>
    <w:rsid w:val="00B110D2"/>
    <w:rsid w:val="00B11304"/>
    <w:rsid w:val="00B11DA6"/>
    <w:rsid w:val="00B1380B"/>
    <w:rsid w:val="00B149BE"/>
    <w:rsid w:val="00B14D8F"/>
    <w:rsid w:val="00B15316"/>
    <w:rsid w:val="00B15BF0"/>
    <w:rsid w:val="00B15CD6"/>
    <w:rsid w:val="00B15EF8"/>
    <w:rsid w:val="00B16E35"/>
    <w:rsid w:val="00B20629"/>
    <w:rsid w:val="00B21D0B"/>
    <w:rsid w:val="00B222BA"/>
    <w:rsid w:val="00B22659"/>
    <w:rsid w:val="00B2302D"/>
    <w:rsid w:val="00B2389D"/>
    <w:rsid w:val="00B249AF"/>
    <w:rsid w:val="00B24A28"/>
    <w:rsid w:val="00B25105"/>
    <w:rsid w:val="00B2519D"/>
    <w:rsid w:val="00B25633"/>
    <w:rsid w:val="00B27597"/>
    <w:rsid w:val="00B30FA4"/>
    <w:rsid w:val="00B31E76"/>
    <w:rsid w:val="00B324AF"/>
    <w:rsid w:val="00B3284C"/>
    <w:rsid w:val="00B3289A"/>
    <w:rsid w:val="00B3291B"/>
    <w:rsid w:val="00B33EFC"/>
    <w:rsid w:val="00B34FAF"/>
    <w:rsid w:val="00B35336"/>
    <w:rsid w:val="00B35B62"/>
    <w:rsid w:val="00B35CED"/>
    <w:rsid w:val="00B36368"/>
    <w:rsid w:val="00B36371"/>
    <w:rsid w:val="00B37F9B"/>
    <w:rsid w:val="00B4065B"/>
    <w:rsid w:val="00B40CB0"/>
    <w:rsid w:val="00B41390"/>
    <w:rsid w:val="00B417E1"/>
    <w:rsid w:val="00B41A06"/>
    <w:rsid w:val="00B41A0D"/>
    <w:rsid w:val="00B42402"/>
    <w:rsid w:val="00B47453"/>
    <w:rsid w:val="00B51025"/>
    <w:rsid w:val="00B511D9"/>
    <w:rsid w:val="00B51672"/>
    <w:rsid w:val="00B51C87"/>
    <w:rsid w:val="00B52D56"/>
    <w:rsid w:val="00B56C71"/>
    <w:rsid w:val="00B5753D"/>
    <w:rsid w:val="00B577E5"/>
    <w:rsid w:val="00B6176A"/>
    <w:rsid w:val="00B6360C"/>
    <w:rsid w:val="00B663E6"/>
    <w:rsid w:val="00B66CC1"/>
    <w:rsid w:val="00B7054D"/>
    <w:rsid w:val="00B7057A"/>
    <w:rsid w:val="00B708A1"/>
    <w:rsid w:val="00B71F3C"/>
    <w:rsid w:val="00B72676"/>
    <w:rsid w:val="00B72DA3"/>
    <w:rsid w:val="00B735D8"/>
    <w:rsid w:val="00B73D29"/>
    <w:rsid w:val="00B73DBE"/>
    <w:rsid w:val="00B74D01"/>
    <w:rsid w:val="00B75EBF"/>
    <w:rsid w:val="00B765C3"/>
    <w:rsid w:val="00B77271"/>
    <w:rsid w:val="00B80DEC"/>
    <w:rsid w:val="00B823BF"/>
    <w:rsid w:val="00B86198"/>
    <w:rsid w:val="00B86624"/>
    <w:rsid w:val="00B866D3"/>
    <w:rsid w:val="00B9010E"/>
    <w:rsid w:val="00B90C80"/>
    <w:rsid w:val="00B90DFE"/>
    <w:rsid w:val="00B90FEC"/>
    <w:rsid w:val="00B911AE"/>
    <w:rsid w:val="00B91486"/>
    <w:rsid w:val="00B917AD"/>
    <w:rsid w:val="00B92069"/>
    <w:rsid w:val="00B920ED"/>
    <w:rsid w:val="00B92720"/>
    <w:rsid w:val="00B92B3B"/>
    <w:rsid w:val="00B92DA3"/>
    <w:rsid w:val="00B9363E"/>
    <w:rsid w:val="00B93851"/>
    <w:rsid w:val="00B93CE6"/>
    <w:rsid w:val="00B9479A"/>
    <w:rsid w:val="00B9486D"/>
    <w:rsid w:val="00B94F3B"/>
    <w:rsid w:val="00B9644C"/>
    <w:rsid w:val="00B9653C"/>
    <w:rsid w:val="00B96553"/>
    <w:rsid w:val="00B9728D"/>
    <w:rsid w:val="00BA0824"/>
    <w:rsid w:val="00BA0EEE"/>
    <w:rsid w:val="00BA1123"/>
    <w:rsid w:val="00BA16C2"/>
    <w:rsid w:val="00BA371F"/>
    <w:rsid w:val="00BA37C0"/>
    <w:rsid w:val="00BA44E2"/>
    <w:rsid w:val="00BA48E9"/>
    <w:rsid w:val="00BA5D93"/>
    <w:rsid w:val="00BA6343"/>
    <w:rsid w:val="00BA71E3"/>
    <w:rsid w:val="00BB0E43"/>
    <w:rsid w:val="00BB0F32"/>
    <w:rsid w:val="00BB2B90"/>
    <w:rsid w:val="00BB5563"/>
    <w:rsid w:val="00BB5FD4"/>
    <w:rsid w:val="00BB7277"/>
    <w:rsid w:val="00BB75E6"/>
    <w:rsid w:val="00BB799B"/>
    <w:rsid w:val="00BB7A59"/>
    <w:rsid w:val="00BC079A"/>
    <w:rsid w:val="00BC2ADB"/>
    <w:rsid w:val="00BC2EE0"/>
    <w:rsid w:val="00BC570E"/>
    <w:rsid w:val="00BD0D52"/>
    <w:rsid w:val="00BD22F8"/>
    <w:rsid w:val="00BD2518"/>
    <w:rsid w:val="00BD259C"/>
    <w:rsid w:val="00BD260B"/>
    <w:rsid w:val="00BD33BA"/>
    <w:rsid w:val="00BD3866"/>
    <w:rsid w:val="00BD58E5"/>
    <w:rsid w:val="00BD6319"/>
    <w:rsid w:val="00BD6B4F"/>
    <w:rsid w:val="00BD6D4B"/>
    <w:rsid w:val="00BD7669"/>
    <w:rsid w:val="00BD77A3"/>
    <w:rsid w:val="00BD7AE1"/>
    <w:rsid w:val="00BE0234"/>
    <w:rsid w:val="00BE1080"/>
    <w:rsid w:val="00BE13AC"/>
    <w:rsid w:val="00BE1624"/>
    <w:rsid w:val="00BE1B41"/>
    <w:rsid w:val="00BE1D86"/>
    <w:rsid w:val="00BE1D8E"/>
    <w:rsid w:val="00BE235C"/>
    <w:rsid w:val="00BE23A3"/>
    <w:rsid w:val="00BE23C5"/>
    <w:rsid w:val="00BE2AC9"/>
    <w:rsid w:val="00BE2DC1"/>
    <w:rsid w:val="00BE34EE"/>
    <w:rsid w:val="00BE39C0"/>
    <w:rsid w:val="00BE4530"/>
    <w:rsid w:val="00BE6C9B"/>
    <w:rsid w:val="00BE771D"/>
    <w:rsid w:val="00BE77DB"/>
    <w:rsid w:val="00BF0A9B"/>
    <w:rsid w:val="00BF0E9A"/>
    <w:rsid w:val="00BF2858"/>
    <w:rsid w:val="00BF3748"/>
    <w:rsid w:val="00BF3759"/>
    <w:rsid w:val="00BF3CE9"/>
    <w:rsid w:val="00BF48FB"/>
    <w:rsid w:val="00BF4F3F"/>
    <w:rsid w:val="00BF60F7"/>
    <w:rsid w:val="00BF64B0"/>
    <w:rsid w:val="00BF65A5"/>
    <w:rsid w:val="00C0178C"/>
    <w:rsid w:val="00C03103"/>
    <w:rsid w:val="00C0319D"/>
    <w:rsid w:val="00C03468"/>
    <w:rsid w:val="00C04222"/>
    <w:rsid w:val="00C0471E"/>
    <w:rsid w:val="00C04FD8"/>
    <w:rsid w:val="00C05FFF"/>
    <w:rsid w:val="00C06297"/>
    <w:rsid w:val="00C06FF6"/>
    <w:rsid w:val="00C07657"/>
    <w:rsid w:val="00C10AF0"/>
    <w:rsid w:val="00C14141"/>
    <w:rsid w:val="00C1549C"/>
    <w:rsid w:val="00C15835"/>
    <w:rsid w:val="00C174F9"/>
    <w:rsid w:val="00C200A9"/>
    <w:rsid w:val="00C20448"/>
    <w:rsid w:val="00C217DB"/>
    <w:rsid w:val="00C2336A"/>
    <w:rsid w:val="00C266EA"/>
    <w:rsid w:val="00C26B08"/>
    <w:rsid w:val="00C27BB9"/>
    <w:rsid w:val="00C304B3"/>
    <w:rsid w:val="00C3056D"/>
    <w:rsid w:val="00C31437"/>
    <w:rsid w:val="00C31ACC"/>
    <w:rsid w:val="00C31DB2"/>
    <w:rsid w:val="00C31F41"/>
    <w:rsid w:val="00C31FAB"/>
    <w:rsid w:val="00C32E75"/>
    <w:rsid w:val="00C334DB"/>
    <w:rsid w:val="00C33B47"/>
    <w:rsid w:val="00C3480A"/>
    <w:rsid w:val="00C34D68"/>
    <w:rsid w:val="00C370AA"/>
    <w:rsid w:val="00C374EE"/>
    <w:rsid w:val="00C410E4"/>
    <w:rsid w:val="00C41299"/>
    <w:rsid w:val="00C42532"/>
    <w:rsid w:val="00C429C6"/>
    <w:rsid w:val="00C43E06"/>
    <w:rsid w:val="00C444C9"/>
    <w:rsid w:val="00C44E61"/>
    <w:rsid w:val="00C469B2"/>
    <w:rsid w:val="00C47CCE"/>
    <w:rsid w:val="00C47E2A"/>
    <w:rsid w:val="00C500A0"/>
    <w:rsid w:val="00C51AE7"/>
    <w:rsid w:val="00C51B67"/>
    <w:rsid w:val="00C525B9"/>
    <w:rsid w:val="00C52710"/>
    <w:rsid w:val="00C533A7"/>
    <w:rsid w:val="00C536CB"/>
    <w:rsid w:val="00C538ED"/>
    <w:rsid w:val="00C54C2E"/>
    <w:rsid w:val="00C553DD"/>
    <w:rsid w:val="00C56CC9"/>
    <w:rsid w:val="00C56F6C"/>
    <w:rsid w:val="00C57025"/>
    <w:rsid w:val="00C57CE4"/>
    <w:rsid w:val="00C60707"/>
    <w:rsid w:val="00C61120"/>
    <w:rsid w:val="00C62CC4"/>
    <w:rsid w:val="00C62DFC"/>
    <w:rsid w:val="00C63081"/>
    <w:rsid w:val="00C6350E"/>
    <w:rsid w:val="00C63AD2"/>
    <w:rsid w:val="00C63E27"/>
    <w:rsid w:val="00C6414D"/>
    <w:rsid w:val="00C64A26"/>
    <w:rsid w:val="00C64A33"/>
    <w:rsid w:val="00C67583"/>
    <w:rsid w:val="00C70363"/>
    <w:rsid w:val="00C7092E"/>
    <w:rsid w:val="00C72A8E"/>
    <w:rsid w:val="00C738AF"/>
    <w:rsid w:val="00C73F9A"/>
    <w:rsid w:val="00C74D7E"/>
    <w:rsid w:val="00C74F2D"/>
    <w:rsid w:val="00C75412"/>
    <w:rsid w:val="00C75567"/>
    <w:rsid w:val="00C765CD"/>
    <w:rsid w:val="00C80EC0"/>
    <w:rsid w:val="00C80FBD"/>
    <w:rsid w:val="00C817C6"/>
    <w:rsid w:val="00C81814"/>
    <w:rsid w:val="00C82ED8"/>
    <w:rsid w:val="00C8340E"/>
    <w:rsid w:val="00C84341"/>
    <w:rsid w:val="00C85B4F"/>
    <w:rsid w:val="00C85EC4"/>
    <w:rsid w:val="00C864CB"/>
    <w:rsid w:val="00C865BA"/>
    <w:rsid w:val="00C87FBE"/>
    <w:rsid w:val="00C91678"/>
    <w:rsid w:val="00C91851"/>
    <w:rsid w:val="00C91B1C"/>
    <w:rsid w:val="00C93167"/>
    <w:rsid w:val="00C931A1"/>
    <w:rsid w:val="00C9386F"/>
    <w:rsid w:val="00C939CE"/>
    <w:rsid w:val="00C941F2"/>
    <w:rsid w:val="00C95478"/>
    <w:rsid w:val="00C958D3"/>
    <w:rsid w:val="00C9649E"/>
    <w:rsid w:val="00C964C4"/>
    <w:rsid w:val="00C967FD"/>
    <w:rsid w:val="00C9721D"/>
    <w:rsid w:val="00CA0079"/>
    <w:rsid w:val="00CA0CA1"/>
    <w:rsid w:val="00CA1075"/>
    <w:rsid w:val="00CA187A"/>
    <w:rsid w:val="00CA27C1"/>
    <w:rsid w:val="00CA2A2A"/>
    <w:rsid w:val="00CA39FF"/>
    <w:rsid w:val="00CA40C6"/>
    <w:rsid w:val="00CA4443"/>
    <w:rsid w:val="00CA5B90"/>
    <w:rsid w:val="00CA5C89"/>
    <w:rsid w:val="00CB0510"/>
    <w:rsid w:val="00CB079F"/>
    <w:rsid w:val="00CB0894"/>
    <w:rsid w:val="00CB16CA"/>
    <w:rsid w:val="00CB20C3"/>
    <w:rsid w:val="00CB21D1"/>
    <w:rsid w:val="00CB297D"/>
    <w:rsid w:val="00CB33D1"/>
    <w:rsid w:val="00CB3C77"/>
    <w:rsid w:val="00CB3EFC"/>
    <w:rsid w:val="00CB45F4"/>
    <w:rsid w:val="00CB5420"/>
    <w:rsid w:val="00CB5F7D"/>
    <w:rsid w:val="00CC170D"/>
    <w:rsid w:val="00CC1AB5"/>
    <w:rsid w:val="00CC21D3"/>
    <w:rsid w:val="00CC2505"/>
    <w:rsid w:val="00CC2622"/>
    <w:rsid w:val="00CC414B"/>
    <w:rsid w:val="00CC4D2C"/>
    <w:rsid w:val="00CC50B6"/>
    <w:rsid w:val="00CC6406"/>
    <w:rsid w:val="00CC71E3"/>
    <w:rsid w:val="00CC73C8"/>
    <w:rsid w:val="00CC7624"/>
    <w:rsid w:val="00CC7D1F"/>
    <w:rsid w:val="00CD0364"/>
    <w:rsid w:val="00CD03D8"/>
    <w:rsid w:val="00CD06FA"/>
    <w:rsid w:val="00CD178B"/>
    <w:rsid w:val="00CD1790"/>
    <w:rsid w:val="00CD1C5F"/>
    <w:rsid w:val="00CD2796"/>
    <w:rsid w:val="00CD296D"/>
    <w:rsid w:val="00CD2D74"/>
    <w:rsid w:val="00CD32A4"/>
    <w:rsid w:val="00CD3E53"/>
    <w:rsid w:val="00CD439D"/>
    <w:rsid w:val="00CD51EC"/>
    <w:rsid w:val="00CD5FCF"/>
    <w:rsid w:val="00CD6503"/>
    <w:rsid w:val="00CD67AD"/>
    <w:rsid w:val="00CD6F6C"/>
    <w:rsid w:val="00CE02B7"/>
    <w:rsid w:val="00CE094C"/>
    <w:rsid w:val="00CE1FEF"/>
    <w:rsid w:val="00CE2E67"/>
    <w:rsid w:val="00CE315B"/>
    <w:rsid w:val="00CE3A6A"/>
    <w:rsid w:val="00CE402F"/>
    <w:rsid w:val="00CE4287"/>
    <w:rsid w:val="00CE4457"/>
    <w:rsid w:val="00CE4A3C"/>
    <w:rsid w:val="00CE4C70"/>
    <w:rsid w:val="00CE6F9B"/>
    <w:rsid w:val="00CE7430"/>
    <w:rsid w:val="00CE7AD4"/>
    <w:rsid w:val="00CE7FB7"/>
    <w:rsid w:val="00CF01BB"/>
    <w:rsid w:val="00CF03C7"/>
    <w:rsid w:val="00CF1D29"/>
    <w:rsid w:val="00CF21A5"/>
    <w:rsid w:val="00CF29A6"/>
    <w:rsid w:val="00CF4535"/>
    <w:rsid w:val="00CF6D32"/>
    <w:rsid w:val="00D00309"/>
    <w:rsid w:val="00D009BE"/>
    <w:rsid w:val="00D00E1C"/>
    <w:rsid w:val="00D0106E"/>
    <w:rsid w:val="00D01D16"/>
    <w:rsid w:val="00D02157"/>
    <w:rsid w:val="00D03633"/>
    <w:rsid w:val="00D03F10"/>
    <w:rsid w:val="00D04504"/>
    <w:rsid w:val="00D05507"/>
    <w:rsid w:val="00D10532"/>
    <w:rsid w:val="00D1092C"/>
    <w:rsid w:val="00D10B7D"/>
    <w:rsid w:val="00D10CED"/>
    <w:rsid w:val="00D12B1F"/>
    <w:rsid w:val="00D1380E"/>
    <w:rsid w:val="00D13D64"/>
    <w:rsid w:val="00D14303"/>
    <w:rsid w:val="00D148B6"/>
    <w:rsid w:val="00D15E7B"/>
    <w:rsid w:val="00D1763D"/>
    <w:rsid w:val="00D20E7F"/>
    <w:rsid w:val="00D21542"/>
    <w:rsid w:val="00D22EEF"/>
    <w:rsid w:val="00D2361C"/>
    <w:rsid w:val="00D239AB"/>
    <w:rsid w:val="00D23D58"/>
    <w:rsid w:val="00D23FDE"/>
    <w:rsid w:val="00D26294"/>
    <w:rsid w:val="00D26DAF"/>
    <w:rsid w:val="00D26FDD"/>
    <w:rsid w:val="00D27892"/>
    <w:rsid w:val="00D30875"/>
    <w:rsid w:val="00D30A82"/>
    <w:rsid w:val="00D30E8D"/>
    <w:rsid w:val="00D318FD"/>
    <w:rsid w:val="00D32D4D"/>
    <w:rsid w:val="00D335C4"/>
    <w:rsid w:val="00D34D04"/>
    <w:rsid w:val="00D34E7E"/>
    <w:rsid w:val="00D35662"/>
    <w:rsid w:val="00D35C2E"/>
    <w:rsid w:val="00D36D22"/>
    <w:rsid w:val="00D36D30"/>
    <w:rsid w:val="00D37658"/>
    <w:rsid w:val="00D41C99"/>
    <w:rsid w:val="00D432E3"/>
    <w:rsid w:val="00D443EC"/>
    <w:rsid w:val="00D45B1F"/>
    <w:rsid w:val="00D45D37"/>
    <w:rsid w:val="00D45D40"/>
    <w:rsid w:val="00D477DB"/>
    <w:rsid w:val="00D5026F"/>
    <w:rsid w:val="00D5027C"/>
    <w:rsid w:val="00D5162C"/>
    <w:rsid w:val="00D52B79"/>
    <w:rsid w:val="00D52FE6"/>
    <w:rsid w:val="00D539B2"/>
    <w:rsid w:val="00D53B7B"/>
    <w:rsid w:val="00D554A4"/>
    <w:rsid w:val="00D56B5D"/>
    <w:rsid w:val="00D57475"/>
    <w:rsid w:val="00D57B84"/>
    <w:rsid w:val="00D6308F"/>
    <w:rsid w:val="00D6349C"/>
    <w:rsid w:val="00D63E83"/>
    <w:rsid w:val="00D6464F"/>
    <w:rsid w:val="00D64657"/>
    <w:rsid w:val="00D650EF"/>
    <w:rsid w:val="00D65AE5"/>
    <w:rsid w:val="00D6617A"/>
    <w:rsid w:val="00D6699B"/>
    <w:rsid w:val="00D67157"/>
    <w:rsid w:val="00D674DE"/>
    <w:rsid w:val="00D67536"/>
    <w:rsid w:val="00D675FF"/>
    <w:rsid w:val="00D67716"/>
    <w:rsid w:val="00D70F39"/>
    <w:rsid w:val="00D710C1"/>
    <w:rsid w:val="00D7134E"/>
    <w:rsid w:val="00D71409"/>
    <w:rsid w:val="00D71E3E"/>
    <w:rsid w:val="00D7292C"/>
    <w:rsid w:val="00D72E63"/>
    <w:rsid w:val="00D73202"/>
    <w:rsid w:val="00D749D5"/>
    <w:rsid w:val="00D74E6B"/>
    <w:rsid w:val="00D75217"/>
    <w:rsid w:val="00D76C10"/>
    <w:rsid w:val="00D77798"/>
    <w:rsid w:val="00D81BC7"/>
    <w:rsid w:val="00D81FB1"/>
    <w:rsid w:val="00D82BAC"/>
    <w:rsid w:val="00D839CD"/>
    <w:rsid w:val="00D83B25"/>
    <w:rsid w:val="00D842B4"/>
    <w:rsid w:val="00D8468D"/>
    <w:rsid w:val="00D85609"/>
    <w:rsid w:val="00D86D29"/>
    <w:rsid w:val="00D86EB9"/>
    <w:rsid w:val="00D87364"/>
    <w:rsid w:val="00D87F43"/>
    <w:rsid w:val="00D90B9F"/>
    <w:rsid w:val="00D9285F"/>
    <w:rsid w:val="00D94F5C"/>
    <w:rsid w:val="00D95558"/>
    <w:rsid w:val="00D95935"/>
    <w:rsid w:val="00D95B2E"/>
    <w:rsid w:val="00D974DC"/>
    <w:rsid w:val="00D97BEE"/>
    <w:rsid w:val="00DA0F5D"/>
    <w:rsid w:val="00DA1E09"/>
    <w:rsid w:val="00DA2741"/>
    <w:rsid w:val="00DA609E"/>
    <w:rsid w:val="00DA6623"/>
    <w:rsid w:val="00DA6DD4"/>
    <w:rsid w:val="00DA751B"/>
    <w:rsid w:val="00DA7F0D"/>
    <w:rsid w:val="00DB14A8"/>
    <w:rsid w:val="00DB14E5"/>
    <w:rsid w:val="00DB15F3"/>
    <w:rsid w:val="00DB20A7"/>
    <w:rsid w:val="00DB2FA2"/>
    <w:rsid w:val="00DB3428"/>
    <w:rsid w:val="00DB3AF3"/>
    <w:rsid w:val="00DB4364"/>
    <w:rsid w:val="00DB4708"/>
    <w:rsid w:val="00DB478C"/>
    <w:rsid w:val="00DB53F6"/>
    <w:rsid w:val="00DB6072"/>
    <w:rsid w:val="00DB65C5"/>
    <w:rsid w:val="00DB6968"/>
    <w:rsid w:val="00DB6F2F"/>
    <w:rsid w:val="00DB7733"/>
    <w:rsid w:val="00DC02E9"/>
    <w:rsid w:val="00DC0855"/>
    <w:rsid w:val="00DC13A1"/>
    <w:rsid w:val="00DC1DEE"/>
    <w:rsid w:val="00DC2064"/>
    <w:rsid w:val="00DC2541"/>
    <w:rsid w:val="00DC2ABA"/>
    <w:rsid w:val="00DC2BD9"/>
    <w:rsid w:val="00DC2D26"/>
    <w:rsid w:val="00DC384C"/>
    <w:rsid w:val="00DC3D28"/>
    <w:rsid w:val="00DC49AE"/>
    <w:rsid w:val="00DC4A68"/>
    <w:rsid w:val="00DC5EA2"/>
    <w:rsid w:val="00DC67BB"/>
    <w:rsid w:val="00DC7908"/>
    <w:rsid w:val="00DD0549"/>
    <w:rsid w:val="00DD22AE"/>
    <w:rsid w:val="00DD2D21"/>
    <w:rsid w:val="00DD4776"/>
    <w:rsid w:val="00DD4B60"/>
    <w:rsid w:val="00DD66EF"/>
    <w:rsid w:val="00DD7979"/>
    <w:rsid w:val="00DD7DF3"/>
    <w:rsid w:val="00DE01F8"/>
    <w:rsid w:val="00DE140F"/>
    <w:rsid w:val="00DE220F"/>
    <w:rsid w:val="00DE43C4"/>
    <w:rsid w:val="00DE4C82"/>
    <w:rsid w:val="00DE55AE"/>
    <w:rsid w:val="00DE7787"/>
    <w:rsid w:val="00DE7C63"/>
    <w:rsid w:val="00DF0E66"/>
    <w:rsid w:val="00DF1432"/>
    <w:rsid w:val="00DF2F02"/>
    <w:rsid w:val="00DF318C"/>
    <w:rsid w:val="00DF3570"/>
    <w:rsid w:val="00DF363F"/>
    <w:rsid w:val="00DF3737"/>
    <w:rsid w:val="00DF3B3F"/>
    <w:rsid w:val="00DF583C"/>
    <w:rsid w:val="00DF5B8B"/>
    <w:rsid w:val="00DF5CA0"/>
    <w:rsid w:val="00DF61A5"/>
    <w:rsid w:val="00DF6BDD"/>
    <w:rsid w:val="00DF7717"/>
    <w:rsid w:val="00DF78D5"/>
    <w:rsid w:val="00DF7CA2"/>
    <w:rsid w:val="00DF7DF6"/>
    <w:rsid w:val="00E00358"/>
    <w:rsid w:val="00E00964"/>
    <w:rsid w:val="00E01739"/>
    <w:rsid w:val="00E01EC7"/>
    <w:rsid w:val="00E0205A"/>
    <w:rsid w:val="00E023E7"/>
    <w:rsid w:val="00E049A9"/>
    <w:rsid w:val="00E066B2"/>
    <w:rsid w:val="00E06AA3"/>
    <w:rsid w:val="00E06D9B"/>
    <w:rsid w:val="00E0760E"/>
    <w:rsid w:val="00E076F8"/>
    <w:rsid w:val="00E11AF3"/>
    <w:rsid w:val="00E11B88"/>
    <w:rsid w:val="00E12488"/>
    <w:rsid w:val="00E13269"/>
    <w:rsid w:val="00E137B2"/>
    <w:rsid w:val="00E13ADF"/>
    <w:rsid w:val="00E14565"/>
    <w:rsid w:val="00E165FB"/>
    <w:rsid w:val="00E17391"/>
    <w:rsid w:val="00E17451"/>
    <w:rsid w:val="00E2107E"/>
    <w:rsid w:val="00E2383B"/>
    <w:rsid w:val="00E23B2B"/>
    <w:rsid w:val="00E23F61"/>
    <w:rsid w:val="00E24C8F"/>
    <w:rsid w:val="00E258FD"/>
    <w:rsid w:val="00E25F48"/>
    <w:rsid w:val="00E26FED"/>
    <w:rsid w:val="00E2798F"/>
    <w:rsid w:val="00E30EB2"/>
    <w:rsid w:val="00E31033"/>
    <w:rsid w:val="00E31167"/>
    <w:rsid w:val="00E32099"/>
    <w:rsid w:val="00E335AD"/>
    <w:rsid w:val="00E338FD"/>
    <w:rsid w:val="00E33A07"/>
    <w:rsid w:val="00E34A8F"/>
    <w:rsid w:val="00E3522F"/>
    <w:rsid w:val="00E374DC"/>
    <w:rsid w:val="00E4012A"/>
    <w:rsid w:val="00E4031B"/>
    <w:rsid w:val="00E414DA"/>
    <w:rsid w:val="00E4191E"/>
    <w:rsid w:val="00E42809"/>
    <w:rsid w:val="00E44279"/>
    <w:rsid w:val="00E45447"/>
    <w:rsid w:val="00E45597"/>
    <w:rsid w:val="00E45D85"/>
    <w:rsid w:val="00E479BD"/>
    <w:rsid w:val="00E52384"/>
    <w:rsid w:val="00E52B45"/>
    <w:rsid w:val="00E52C39"/>
    <w:rsid w:val="00E52DA6"/>
    <w:rsid w:val="00E533CC"/>
    <w:rsid w:val="00E53C20"/>
    <w:rsid w:val="00E54D09"/>
    <w:rsid w:val="00E550A6"/>
    <w:rsid w:val="00E55446"/>
    <w:rsid w:val="00E55767"/>
    <w:rsid w:val="00E55F99"/>
    <w:rsid w:val="00E56477"/>
    <w:rsid w:val="00E56DD3"/>
    <w:rsid w:val="00E575E5"/>
    <w:rsid w:val="00E57B12"/>
    <w:rsid w:val="00E57B19"/>
    <w:rsid w:val="00E601AB"/>
    <w:rsid w:val="00E608C8"/>
    <w:rsid w:val="00E61BB3"/>
    <w:rsid w:val="00E620BF"/>
    <w:rsid w:val="00E63701"/>
    <w:rsid w:val="00E6527B"/>
    <w:rsid w:val="00E659A0"/>
    <w:rsid w:val="00E65D32"/>
    <w:rsid w:val="00E66123"/>
    <w:rsid w:val="00E6629C"/>
    <w:rsid w:val="00E66D1A"/>
    <w:rsid w:val="00E70936"/>
    <w:rsid w:val="00E71E5B"/>
    <w:rsid w:val="00E72756"/>
    <w:rsid w:val="00E730C2"/>
    <w:rsid w:val="00E73C2F"/>
    <w:rsid w:val="00E74327"/>
    <w:rsid w:val="00E74413"/>
    <w:rsid w:val="00E74602"/>
    <w:rsid w:val="00E75FE2"/>
    <w:rsid w:val="00E76D93"/>
    <w:rsid w:val="00E77E21"/>
    <w:rsid w:val="00E80D58"/>
    <w:rsid w:val="00E80DE6"/>
    <w:rsid w:val="00E848D1"/>
    <w:rsid w:val="00E87DDE"/>
    <w:rsid w:val="00E90152"/>
    <w:rsid w:val="00E904D4"/>
    <w:rsid w:val="00E923D5"/>
    <w:rsid w:val="00E92656"/>
    <w:rsid w:val="00E92912"/>
    <w:rsid w:val="00E93B45"/>
    <w:rsid w:val="00E967F8"/>
    <w:rsid w:val="00E974BA"/>
    <w:rsid w:val="00EA129C"/>
    <w:rsid w:val="00EA1420"/>
    <w:rsid w:val="00EA33DD"/>
    <w:rsid w:val="00EA3CA1"/>
    <w:rsid w:val="00EA4037"/>
    <w:rsid w:val="00EA4938"/>
    <w:rsid w:val="00EB00AC"/>
    <w:rsid w:val="00EB0E12"/>
    <w:rsid w:val="00EB1BB9"/>
    <w:rsid w:val="00EB1BDA"/>
    <w:rsid w:val="00EB2F6E"/>
    <w:rsid w:val="00EB3494"/>
    <w:rsid w:val="00EB4E3B"/>
    <w:rsid w:val="00EB5025"/>
    <w:rsid w:val="00EB7D06"/>
    <w:rsid w:val="00EC18F1"/>
    <w:rsid w:val="00EC2DAA"/>
    <w:rsid w:val="00EC4110"/>
    <w:rsid w:val="00EC4BF5"/>
    <w:rsid w:val="00EC4C66"/>
    <w:rsid w:val="00EC4E9E"/>
    <w:rsid w:val="00EC5215"/>
    <w:rsid w:val="00EC7518"/>
    <w:rsid w:val="00ED092F"/>
    <w:rsid w:val="00ED1158"/>
    <w:rsid w:val="00ED240A"/>
    <w:rsid w:val="00ED2610"/>
    <w:rsid w:val="00ED6685"/>
    <w:rsid w:val="00ED67A5"/>
    <w:rsid w:val="00ED7526"/>
    <w:rsid w:val="00ED78EF"/>
    <w:rsid w:val="00EE13EB"/>
    <w:rsid w:val="00EE1B7E"/>
    <w:rsid w:val="00EE37AB"/>
    <w:rsid w:val="00EE390E"/>
    <w:rsid w:val="00EE4902"/>
    <w:rsid w:val="00EE5970"/>
    <w:rsid w:val="00EE62F9"/>
    <w:rsid w:val="00EE639D"/>
    <w:rsid w:val="00EF02BB"/>
    <w:rsid w:val="00EF13B7"/>
    <w:rsid w:val="00EF289B"/>
    <w:rsid w:val="00EF2FC8"/>
    <w:rsid w:val="00EF34C8"/>
    <w:rsid w:val="00EF4613"/>
    <w:rsid w:val="00EF5851"/>
    <w:rsid w:val="00EF617C"/>
    <w:rsid w:val="00EF7358"/>
    <w:rsid w:val="00EF7853"/>
    <w:rsid w:val="00F007E9"/>
    <w:rsid w:val="00F02227"/>
    <w:rsid w:val="00F0230F"/>
    <w:rsid w:val="00F02424"/>
    <w:rsid w:val="00F025E5"/>
    <w:rsid w:val="00F0508F"/>
    <w:rsid w:val="00F05976"/>
    <w:rsid w:val="00F05E87"/>
    <w:rsid w:val="00F0663D"/>
    <w:rsid w:val="00F06C9F"/>
    <w:rsid w:val="00F06CEC"/>
    <w:rsid w:val="00F070C3"/>
    <w:rsid w:val="00F072AC"/>
    <w:rsid w:val="00F07AB6"/>
    <w:rsid w:val="00F07CDC"/>
    <w:rsid w:val="00F10329"/>
    <w:rsid w:val="00F11836"/>
    <w:rsid w:val="00F11D7D"/>
    <w:rsid w:val="00F129E7"/>
    <w:rsid w:val="00F1313F"/>
    <w:rsid w:val="00F14710"/>
    <w:rsid w:val="00F148C0"/>
    <w:rsid w:val="00F1519A"/>
    <w:rsid w:val="00F159F9"/>
    <w:rsid w:val="00F16F4A"/>
    <w:rsid w:val="00F21718"/>
    <w:rsid w:val="00F22699"/>
    <w:rsid w:val="00F22C78"/>
    <w:rsid w:val="00F24D95"/>
    <w:rsid w:val="00F2507C"/>
    <w:rsid w:val="00F267F8"/>
    <w:rsid w:val="00F2792D"/>
    <w:rsid w:val="00F302C3"/>
    <w:rsid w:val="00F309F0"/>
    <w:rsid w:val="00F30AD0"/>
    <w:rsid w:val="00F3177D"/>
    <w:rsid w:val="00F31FB4"/>
    <w:rsid w:val="00F3216C"/>
    <w:rsid w:val="00F331B3"/>
    <w:rsid w:val="00F3434A"/>
    <w:rsid w:val="00F35A6C"/>
    <w:rsid w:val="00F35EBB"/>
    <w:rsid w:val="00F36404"/>
    <w:rsid w:val="00F37279"/>
    <w:rsid w:val="00F37640"/>
    <w:rsid w:val="00F37B1F"/>
    <w:rsid w:val="00F37C93"/>
    <w:rsid w:val="00F408A7"/>
    <w:rsid w:val="00F40C32"/>
    <w:rsid w:val="00F42B7F"/>
    <w:rsid w:val="00F42C80"/>
    <w:rsid w:val="00F430CA"/>
    <w:rsid w:val="00F435FF"/>
    <w:rsid w:val="00F45052"/>
    <w:rsid w:val="00F452CC"/>
    <w:rsid w:val="00F47094"/>
    <w:rsid w:val="00F47D59"/>
    <w:rsid w:val="00F47F30"/>
    <w:rsid w:val="00F504C7"/>
    <w:rsid w:val="00F51F46"/>
    <w:rsid w:val="00F533AF"/>
    <w:rsid w:val="00F535E1"/>
    <w:rsid w:val="00F53F2E"/>
    <w:rsid w:val="00F5489B"/>
    <w:rsid w:val="00F55BFA"/>
    <w:rsid w:val="00F566C3"/>
    <w:rsid w:val="00F567C1"/>
    <w:rsid w:val="00F56E5B"/>
    <w:rsid w:val="00F6048C"/>
    <w:rsid w:val="00F60FE2"/>
    <w:rsid w:val="00F61D9F"/>
    <w:rsid w:val="00F6404A"/>
    <w:rsid w:val="00F645A8"/>
    <w:rsid w:val="00F657B0"/>
    <w:rsid w:val="00F662F0"/>
    <w:rsid w:val="00F6685C"/>
    <w:rsid w:val="00F66C1B"/>
    <w:rsid w:val="00F66C29"/>
    <w:rsid w:val="00F66CEF"/>
    <w:rsid w:val="00F66D77"/>
    <w:rsid w:val="00F66F21"/>
    <w:rsid w:val="00F674A0"/>
    <w:rsid w:val="00F67B07"/>
    <w:rsid w:val="00F706FC"/>
    <w:rsid w:val="00F70D91"/>
    <w:rsid w:val="00F720C8"/>
    <w:rsid w:val="00F7249D"/>
    <w:rsid w:val="00F73ECA"/>
    <w:rsid w:val="00F742F4"/>
    <w:rsid w:val="00F747DE"/>
    <w:rsid w:val="00F74889"/>
    <w:rsid w:val="00F750CF"/>
    <w:rsid w:val="00F755F2"/>
    <w:rsid w:val="00F766AE"/>
    <w:rsid w:val="00F776FD"/>
    <w:rsid w:val="00F77CED"/>
    <w:rsid w:val="00F77CFA"/>
    <w:rsid w:val="00F80C12"/>
    <w:rsid w:val="00F81FA9"/>
    <w:rsid w:val="00F83D83"/>
    <w:rsid w:val="00F84C52"/>
    <w:rsid w:val="00F8562A"/>
    <w:rsid w:val="00F8564B"/>
    <w:rsid w:val="00F85B34"/>
    <w:rsid w:val="00F87BD1"/>
    <w:rsid w:val="00F87E21"/>
    <w:rsid w:val="00F90C0C"/>
    <w:rsid w:val="00F91332"/>
    <w:rsid w:val="00F91E9A"/>
    <w:rsid w:val="00F92E3F"/>
    <w:rsid w:val="00F934E9"/>
    <w:rsid w:val="00F93900"/>
    <w:rsid w:val="00F9481E"/>
    <w:rsid w:val="00F94EB9"/>
    <w:rsid w:val="00F965C2"/>
    <w:rsid w:val="00FA004A"/>
    <w:rsid w:val="00FA20C4"/>
    <w:rsid w:val="00FA24AE"/>
    <w:rsid w:val="00FA26B4"/>
    <w:rsid w:val="00FA2C64"/>
    <w:rsid w:val="00FA495A"/>
    <w:rsid w:val="00FA4C30"/>
    <w:rsid w:val="00FA62B8"/>
    <w:rsid w:val="00FA702A"/>
    <w:rsid w:val="00FA71AD"/>
    <w:rsid w:val="00FA7861"/>
    <w:rsid w:val="00FB04C5"/>
    <w:rsid w:val="00FB1515"/>
    <w:rsid w:val="00FB2B62"/>
    <w:rsid w:val="00FB3499"/>
    <w:rsid w:val="00FB3B6F"/>
    <w:rsid w:val="00FB3D43"/>
    <w:rsid w:val="00FB3ED3"/>
    <w:rsid w:val="00FB4BF6"/>
    <w:rsid w:val="00FB4F00"/>
    <w:rsid w:val="00FB621E"/>
    <w:rsid w:val="00FB6707"/>
    <w:rsid w:val="00FC2B61"/>
    <w:rsid w:val="00FC3012"/>
    <w:rsid w:val="00FC3233"/>
    <w:rsid w:val="00FC3392"/>
    <w:rsid w:val="00FC4460"/>
    <w:rsid w:val="00FC5337"/>
    <w:rsid w:val="00FC571E"/>
    <w:rsid w:val="00FC7F4A"/>
    <w:rsid w:val="00FD0032"/>
    <w:rsid w:val="00FD0993"/>
    <w:rsid w:val="00FD09BD"/>
    <w:rsid w:val="00FD0E88"/>
    <w:rsid w:val="00FD15AD"/>
    <w:rsid w:val="00FD1A2D"/>
    <w:rsid w:val="00FD37D6"/>
    <w:rsid w:val="00FD4A9F"/>
    <w:rsid w:val="00FD4B44"/>
    <w:rsid w:val="00FD4CB5"/>
    <w:rsid w:val="00FD4E0D"/>
    <w:rsid w:val="00FD5477"/>
    <w:rsid w:val="00FD5859"/>
    <w:rsid w:val="00FD5A46"/>
    <w:rsid w:val="00FD7884"/>
    <w:rsid w:val="00FE3C14"/>
    <w:rsid w:val="00FE5526"/>
    <w:rsid w:val="00FE60E5"/>
    <w:rsid w:val="00FE63DF"/>
    <w:rsid w:val="00FE68BC"/>
    <w:rsid w:val="00FE68DA"/>
    <w:rsid w:val="00FE6D60"/>
    <w:rsid w:val="00FF0428"/>
    <w:rsid w:val="00FF094A"/>
    <w:rsid w:val="00FF1052"/>
    <w:rsid w:val="00FF1235"/>
    <w:rsid w:val="00FF1D99"/>
    <w:rsid w:val="00FF217B"/>
    <w:rsid w:val="00FF5FB2"/>
    <w:rsid w:val="00FF6274"/>
    <w:rsid w:val="13ED5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9" w:semiHidden="0" w:name="heading 1"/>
    <w:lsdException w:uiPriority="9" w:semiHidden="0" w:name="heading 2"/>
    <w:lsdException w:uiPriority="9" w:semiHidden="0" w:name="heading 3"/>
    <w:lsdException w:uiPriority="9" w:semiHidden="0" w:name="heading 4"/>
    <w:lsdException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semiHidden="0" w:name="footnote text"/>
    <w:lsdException w:uiPriority="99" w:semiHidden="0" w:name="annotation text"/>
    <w:lsdException w:uiPriority="99" w:semiHidden="0" w:name="header"/>
    <w:lsdException w:uiPriority="99" w:semiHidden="0" w:name="footer"/>
    <w:lsdException w:uiPriority="99" w:name="index heading"/>
    <w:lsdException w:uiPriority="35" w:semiHidden="0" w:name="caption"/>
    <w:lsdException w:uiPriority="99" w:semiHidden="0" w:name="table of figures"/>
    <w:lsdException w:uiPriority="99" w:name="envelope address"/>
    <w:lsdException w:uiPriority="99" w:name="envelope return"/>
    <w:lsdException w:uiPriority="99" w:semiHidden="0"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29" w:semiHidden="0" w:name="Quote"/>
    <w:lsdException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0" w:after="0" w:line="360" w:lineRule="auto"/>
      <w:ind w:firstLine="200" w:firstLineChars="200"/>
    </w:pPr>
    <w:rPr>
      <w:rFonts w:asciiTheme="minorHAnsi" w:hAnsiTheme="minorHAnsi" w:eastAsiaTheme="minorEastAsia" w:cstheme="minorBidi"/>
      <w:sz w:val="24"/>
      <w:lang w:val="en-US" w:eastAsia="zh-CN" w:bidi="ar-SA"/>
    </w:rPr>
  </w:style>
  <w:style w:type="paragraph" w:styleId="2">
    <w:name w:val="heading 1"/>
    <w:basedOn w:val="1"/>
    <w:next w:val="1"/>
    <w:link w:val="46"/>
    <w:uiPriority w:val="9"/>
    <w:pPr>
      <w:pBdr>
        <w:top w:val="single" w:color="AACDE8" w:sz="24" w:space="0"/>
        <w:left w:val="single" w:color="AACDE8" w:sz="24" w:space="0"/>
        <w:bottom w:val="single" w:color="AACDE8" w:sz="24" w:space="0"/>
        <w:right w:val="single" w:color="AACDE8" w:sz="24" w:space="0"/>
      </w:pBdr>
      <w:shd w:val="clear" w:color="auto" w:fill="AACDE8"/>
      <w:spacing w:after="150" w:afterLines="150" w:line="288" w:lineRule="auto"/>
      <w:jc w:val="center"/>
      <w:outlineLvl w:val="0"/>
    </w:pPr>
    <w:rPr>
      <w:rFonts w:eastAsia="黑体"/>
      <w:b/>
      <w:caps/>
      <w:sz w:val="36"/>
      <w:szCs w:val="22"/>
    </w:rPr>
  </w:style>
  <w:style w:type="paragraph" w:styleId="3">
    <w:name w:val="heading 2"/>
    <w:basedOn w:val="1"/>
    <w:next w:val="1"/>
    <w:link w:val="47"/>
    <w:unhideWhenUsed/>
    <w:uiPriority w:val="9"/>
    <w:pPr>
      <w:pBdr>
        <w:top w:val="single" w:color="FFFFFF" w:themeColor="background1" w:sz="24" w:space="0"/>
        <w:left w:val="single" w:color="FFFFFF" w:themeColor="background1" w:sz="24" w:space="0"/>
        <w:bottom w:val="single" w:color="FFFFFF" w:themeColor="background1" w:sz="24" w:space="0"/>
        <w:right w:val="single" w:color="FFFFFF" w:themeColor="background1" w:sz="24" w:space="0"/>
      </w:pBdr>
      <w:spacing w:before="120" w:after="120" w:line="400" w:lineRule="atLeast"/>
      <w:ind w:firstLine="0" w:firstLineChars="0"/>
      <w:outlineLvl w:val="1"/>
    </w:pPr>
    <w:rPr>
      <w:rFonts w:eastAsia="黑体"/>
      <w:b/>
      <w:caps/>
      <w:sz w:val="32"/>
    </w:rPr>
  </w:style>
  <w:style w:type="paragraph" w:styleId="4">
    <w:name w:val="heading 3"/>
    <w:basedOn w:val="1"/>
    <w:next w:val="1"/>
    <w:link w:val="52"/>
    <w:unhideWhenUsed/>
    <w:uiPriority w:val="9"/>
    <w:pPr>
      <w:spacing w:before="50" w:beforeLines="50" w:after="50" w:afterLines="50" w:line="400" w:lineRule="atLeast"/>
      <w:ind w:left="100" w:leftChars="100" w:firstLine="0" w:firstLineChars="0"/>
      <w:outlineLvl w:val="2"/>
    </w:pPr>
    <w:rPr>
      <w:rFonts w:eastAsia="黑体"/>
      <w:b/>
      <w:caps/>
      <w:sz w:val="28"/>
    </w:rPr>
  </w:style>
  <w:style w:type="paragraph" w:styleId="5">
    <w:name w:val="heading 4"/>
    <w:basedOn w:val="1"/>
    <w:next w:val="1"/>
    <w:link w:val="76"/>
    <w:unhideWhenUsed/>
    <w:uiPriority w:val="9"/>
    <w:pPr>
      <w:spacing w:before="100" w:beforeLines="100" w:after="100" w:afterLines="100" w:line="400" w:lineRule="atLeast"/>
      <w:ind w:left="200" w:leftChars="200" w:firstLine="0" w:firstLineChars="0"/>
      <w:outlineLvl w:val="3"/>
    </w:pPr>
    <w:rPr>
      <w:rFonts w:eastAsia="黑体"/>
      <w:b/>
      <w:caps/>
    </w:rPr>
  </w:style>
  <w:style w:type="paragraph" w:styleId="6">
    <w:name w:val="heading 5"/>
    <w:basedOn w:val="1"/>
    <w:next w:val="1"/>
    <w:link w:val="77"/>
    <w:unhideWhenUsed/>
    <w:uiPriority w:val="9"/>
    <w:pPr>
      <w:pBdr>
        <w:bottom w:val="single" w:color="0F6FC6" w:themeColor="accent1" w:sz="6" w:space="1"/>
      </w:pBdr>
      <w:spacing w:before="200"/>
      <w:outlineLvl w:val="4"/>
    </w:pPr>
    <w:rPr>
      <w:caps/>
      <w:color w:val="0B5395" w:themeColor="accent1" w:themeShade="BF"/>
      <w:spacing w:val="10"/>
    </w:rPr>
  </w:style>
  <w:style w:type="paragraph" w:styleId="7">
    <w:name w:val="heading 6"/>
    <w:basedOn w:val="1"/>
    <w:next w:val="1"/>
    <w:link w:val="78"/>
    <w:semiHidden/>
    <w:unhideWhenUsed/>
    <w:uiPriority w:val="9"/>
    <w:pPr>
      <w:pBdr>
        <w:bottom w:val="dotted" w:color="0F6FC6" w:themeColor="accent1" w:sz="6" w:space="1"/>
      </w:pBdr>
      <w:spacing w:before="200"/>
      <w:outlineLvl w:val="5"/>
    </w:pPr>
    <w:rPr>
      <w:caps/>
      <w:color w:val="0B5395" w:themeColor="accent1" w:themeShade="BF"/>
      <w:spacing w:val="10"/>
    </w:rPr>
  </w:style>
  <w:style w:type="paragraph" w:styleId="8">
    <w:name w:val="heading 7"/>
    <w:basedOn w:val="1"/>
    <w:next w:val="1"/>
    <w:link w:val="79"/>
    <w:semiHidden/>
    <w:unhideWhenUsed/>
    <w:qFormat/>
    <w:uiPriority w:val="9"/>
    <w:pPr>
      <w:spacing w:before="200"/>
      <w:outlineLvl w:val="6"/>
    </w:pPr>
    <w:rPr>
      <w:caps/>
      <w:color w:val="0B5395" w:themeColor="accent1" w:themeShade="BF"/>
      <w:spacing w:val="10"/>
    </w:rPr>
  </w:style>
  <w:style w:type="paragraph" w:styleId="9">
    <w:name w:val="heading 8"/>
    <w:basedOn w:val="1"/>
    <w:next w:val="1"/>
    <w:link w:val="80"/>
    <w:semiHidden/>
    <w:unhideWhenUsed/>
    <w:qFormat/>
    <w:uiPriority w:val="9"/>
    <w:pPr>
      <w:spacing w:before="200"/>
      <w:outlineLvl w:val="7"/>
    </w:pPr>
    <w:rPr>
      <w:caps/>
      <w:spacing w:val="10"/>
      <w:sz w:val="18"/>
      <w:szCs w:val="18"/>
    </w:rPr>
  </w:style>
  <w:style w:type="paragraph" w:styleId="10">
    <w:name w:val="heading 9"/>
    <w:basedOn w:val="1"/>
    <w:next w:val="1"/>
    <w:link w:val="81"/>
    <w:semiHidden/>
    <w:unhideWhenUsed/>
    <w:qFormat/>
    <w:uiPriority w:val="9"/>
    <w:pPr>
      <w:spacing w:before="200"/>
      <w:outlineLvl w:val="8"/>
    </w:pPr>
    <w:rPr>
      <w:i/>
      <w:iCs/>
      <w:caps/>
      <w:spacing w:val="10"/>
      <w:sz w:val="18"/>
      <w:szCs w:val="18"/>
    </w:rPr>
  </w:style>
  <w:style w:type="character" w:default="1" w:styleId="33">
    <w:name w:val="Default Paragraph Font"/>
    <w:semiHidden/>
    <w:unhideWhenUsed/>
    <w:qFormat/>
    <w:uiPriority w:val="1"/>
  </w:style>
  <w:style w:type="table" w:default="1" w:styleId="41">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99"/>
    <w:semiHidden/>
    <w:unhideWhenUsed/>
    <w:uiPriority w:val="99"/>
    <w:rPr>
      <w:b/>
      <w:bCs/>
    </w:rPr>
  </w:style>
  <w:style w:type="paragraph" w:styleId="12">
    <w:name w:val="annotation text"/>
    <w:basedOn w:val="1"/>
    <w:link w:val="98"/>
    <w:unhideWhenUsed/>
    <w:uiPriority w:val="99"/>
  </w:style>
  <w:style w:type="paragraph" w:styleId="13">
    <w:name w:val="toc 7"/>
    <w:basedOn w:val="1"/>
    <w:next w:val="1"/>
    <w:unhideWhenUsed/>
    <w:uiPriority w:val="39"/>
    <w:pPr>
      <w:ind w:firstLine="0"/>
    </w:pPr>
    <w:rPr>
      <w:sz w:val="22"/>
      <w:szCs w:val="22"/>
    </w:rPr>
  </w:style>
  <w:style w:type="paragraph" w:styleId="14">
    <w:name w:val="caption"/>
    <w:basedOn w:val="1"/>
    <w:next w:val="1"/>
    <w:unhideWhenUsed/>
    <w:uiPriority w:val="35"/>
    <w:rPr>
      <w:b/>
      <w:bCs/>
      <w:color w:val="0B5395" w:themeColor="accent1" w:themeShade="BF"/>
      <w:sz w:val="16"/>
      <w:szCs w:val="16"/>
    </w:rPr>
  </w:style>
  <w:style w:type="paragraph" w:styleId="15">
    <w:name w:val="toc 5"/>
    <w:basedOn w:val="1"/>
    <w:next w:val="1"/>
    <w:unhideWhenUsed/>
    <w:uiPriority w:val="39"/>
    <w:pPr>
      <w:ind w:firstLine="0"/>
    </w:pPr>
    <w:rPr>
      <w:sz w:val="22"/>
      <w:szCs w:val="22"/>
    </w:rPr>
  </w:style>
  <w:style w:type="paragraph" w:styleId="16">
    <w:name w:val="toc 3"/>
    <w:basedOn w:val="1"/>
    <w:next w:val="1"/>
    <w:unhideWhenUsed/>
    <w:uiPriority w:val="39"/>
    <w:pPr>
      <w:ind w:firstLine="400" w:firstLineChars="400"/>
    </w:pPr>
    <w:rPr>
      <w:rFonts w:ascii="Times New Roman" w:hAnsi="Times New Roman"/>
      <w:smallCaps/>
      <w:color w:val="0F6FC6" w:themeColor="accent1"/>
      <w:szCs w:val="22"/>
      <w14:textFill>
        <w14:solidFill>
          <w14:schemeClr w14:val="accent1"/>
        </w14:solidFill>
      </w14:textFill>
    </w:rPr>
  </w:style>
  <w:style w:type="paragraph" w:styleId="17">
    <w:name w:val="toc 8"/>
    <w:basedOn w:val="1"/>
    <w:next w:val="1"/>
    <w:unhideWhenUsed/>
    <w:uiPriority w:val="39"/>
    <w:pPr>
      <w:ind w:firstLine="0"/>
    </w:pPr>
    <w:rPr>
      <w:sz w:val="22"/>
      <w:szCs w:val="22"/>
    </w:rPr>
  </w:style>
  <w:style w:type="paragraph" w:styleId="18">
    <w:name w:val="endnote text"/>
    <w:basedOn w:val="1"/>
    <w:link w:val="112"/>
    <w:semiHidden/>
    <w:unhideWhenUsed/>
    <w:uiPriority w:val="99"/>
    <w:pPr>
      <w:snapToGrid w:val="0"/>
    </w:pPr>
  </w:style>
  <w:style w:type="paragraph" w:styleId="19">
    <w:name w:val="Balloon Text"/>
    <w:basedOn w:val="1"/>
    <w:link w:val="65"/>
    <w:semiHidden/>
    <w:unhideWhenUsed/>
    <w:uiPriority w:val="99"/>
    <w:rPr>
      <w:sz w:val="18"/>
      <w:szCs w:val="18"/>
    </w:rPr>
  </w:style>
  <w:style w:type="paragraph" w:styleId="20">
    <w:name w:val="footer"/>
    <w:basedOn w:val="1"/>
    <w:link w:val="45"/>
    <w:unhideWhenUsed/>
    <w:uiPriority w:val="99"/>
    <w:pPr>
      <w:tabs>
        <w:tab w:val="center" w:pos="4153"/>
        <w:tab w:val="right" w:pos="8306"/>
      </w:tabs>
      <w:snapToGrid w:val="0"/>
    </w:pPr>
    <w:rPr>
      <w:sz w:val="18"/>
      <w:szCs w:val="18"/>
    </w:rPr>
  </w:style>
  <w:style w:type="paragraph" w:styleId="21">
    <w:name w:val="header"/>
    <w:basedOn w:val="1"/>
    <w:link w:val="44"/>
    <w:unhideWhenUsed/>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uiPriority w:val="39"/>
    <w:pPr>
      <w:tabs>
        <w:tab w:val="right" w:leader="dot" w:pos="8778"/>
      </w:tabs>
      <w:ind w:firstLine="0" w:firstLineChars="0"/>
    </w:pPr>
    <w:rPr>
      <w:rFonts w:ascii="Times New Roman" w:hAnsi="Times New Roman"/>
      <w:b/>
      <w:bCs/>
      <w:caps/>
      <w:color w:val="0F6FC6" w:themeColor="accent1"/>
      <w:szCs w:val="22"/>
      <w14:textFill>
        <w14:solidFill>
          <w14:schemeClr w14:val="accent1"/>
        </w14:solidFill>
      </w14:textFill>
    </w:rPr>
  </w:style>
  <w:style w:type="paragraph" w:styleId="23">
    <w:name w:val="toc 4"/>
    <w:basedOn w:val="1"/>
    <w:next w:val="1"/>
    <w:unhideWhenUsed/>
    <w:uiPriority w:val="39"/>
    <w:pPr>
      <w:ind w:firstLine="0"/>
    </w:pPr>
    <w:rPr>
      <w:sz w:val="22"/>
      <w:szCs w:val="22"/>
    </w:rPr>
  </w:style>
  <w:style w:type="paragraph" w:styleId="24">
    <w:name w:val="Subtitle"/>
    <w:basedOn w:val="1"/>
    <w:next w:val="1"/>
    <w:link w:val="75"/>
    <w:uiPriority w:val="11"/>
    <w:pPr>
      <w:spacing w:after="500" w:line="240" w:lineRule="auto"/>
    </w:pPr>
    <w:rPr>
      <w:caps/>
      <w:color w:val="595959" w:themeColor="text1" w:themeTint="A6"/>
      <w:spacing w:val="10"/>
      <w:sz w:val="21"/>
      <w:szCs w:val="21"/>
      <w14:textFill>
        <w14:solidFill>
          <w14:schemeClr w14:val="tx1">
            <w14:lumMod w14:val="65000"/>
            <w14:lumOff w14:val="35000"/>
          </w14:schemeClr>
        </w14:solidFill>
      </w14:textFill>
    </w:rPr>
  </w:style>
  <w:style w:type="paragraph" w:styleId="25">
    <w:name w:val="footnote text"/>
    <w:basedOn w:val="1"/>
    <w:link w:val="62"/>
    <w:unhideWhenUsed/>
    <w:uiPriority w:val="99"/>
    <w:pPr>
      <w:snapToGrid w:val="0"/>
    </w:pPr>
    <w:rPr>
      <w:sz w:val="18"/>
      <w:szCs w:val="18"/>
    </w:rPr>
  </w:style>
  <w:style w:type="paragraph" w:styleId="26">
    <w:name w:val="toc 6"/>
    <w:basedOn w:val="1"/>
    <w:next w:val="1"/>
    <w:unhideWhenUsed/>
    <w:uiPriority w:val="39"/>
    <w:pPr>
      <w:ind w:firstLine="0"/>
    </w:pPr>
    <w:rPr>
      <w:sz w:val="22"/>
      <w:szCs w:val="22"/>
    </w:rPr>
  </w:style>
  <w:style w:type="paragraph" w:styleId="27">
    <w:name w:val="Body Text Indent 3"/>
    <w:basedOn w:val="1"/>
    <w:link w:val="148"/>
    <w:uiPriority w:val="0"/>
    <w:pPr>
      <w:widowControl w:val="0"/>
      <w:spacing w:line="240" w:lineRule="auto"/>
      <w:ind w:left="225" w:firstLine="480" w:firstLineChars="0"/>
      <w:jc w:val="both"/>
    </w:pPr>
    <w:rPr>
      <w:rFonts w:ascii="Times New Roman" w:hAnsi="Times New Roman" w:eastAsia="宋体" w:cs="Times New Roman"/>
      <w:kern w:val="2"/>
      <w:sz w:val="21"/>
      <w:szCs w:val="24"/>
    </w:rPr>
  </w:style>
  <w:style w:type="paragraph" w:styleId="28">
    <w:name w:val="table of figures"/>
    <w:basedOn w:val="1"/>
    <w:next w:val="1"/>
    <w:unhideWhenUsed/>
    <w:uiPriority w:val="99"/>
    <w:pPr>
      <w:ind w:left="200" w:leftChars="200" w:hanging="200" w:hangingChars="200"/>
    </w:pPr>
  </w:style>
  <w:style w:type="paragraph" w:styleId="29">
    <w:name w:val="toc 2"/>
    <w:basedOn w:val="1"/>
    <w:next w:val="1"/>
    <w:unhideWhenUsed/>
    <w:uiPriority w:val="39"/>
    <w:rPr>
      <w:rFonts w:ascii="Times New Roman" w:hAnsi="Times New Roman"/>
      <w:bCs/>
      <w:smallCaps/>
      <w:color w:val="0F6FC6" w:themeColor="accent1"/>
      <w:szCs w:val="22"/>
      <w14:textFill>
        <w14:solidFill>
          <w14:schemeClr w14:val="accent1"/>
        </w14:solidFill>
      </w14:textFill>
    </w:rPr>
  </w:style>
  <w:style w:type="paragraph" w:styleId="30">
    <w:name w:val="toc 9"/>
    <w:basedOn w:val="1"/>
    <w:next w:val="1"/>
    <w:unhideWhenUsed/>
    <w:uiPriority w:val="39"/>
    <w:pPr>
      <w:ind w:firstLine="0"/>
    </w:pPr>
    <w:rPr>
      <w:sz w:val="22"/>
      <w:szCs w:val="22"/>
    </w:rPr>
  </w:style>
  <w:style w:type="paragraph" w:styleId="31">
    <w:name w:val="Normal (Web)"/>
    <w:basedOn w:val="1"/>
    <w:semiHidden/>
    <w:unhideWhenUsed/>
    <w:uiPriority w:val="99"/>
    <w:pPr>
      <w:spacing w:before="100" w:beforeAutospacing="1" w:after="100" w:afterAutospacing="1" w:line="240" w:lineRule="auto"/>
      <w:ind w:firstLine="0" w:firstLineChars="0"/>
    </w:pPr>
    <w:rPr>
      <w:rFonts w:ascii="宋体" w:hAnsi="宋体" w:eastAsia="宋体" w:cs="宋体"/>
      <w:szCs w:val="24"/>
    </w:rPr>
  </w:style>
  <w:style w:type="paragraph" w:styleId="32">
    <w:name w:val="Title"/>
    <w:basedOn w:val="1"/>
    <w:next w:val="1"/>
    <w:link w:val="82"/>
    <w:uiPriority w:val="10"/>
    <w:rPr>
      <w:rFonts w:asciiTheme="majorHAnsi" w:hAnsiTheme="majorHAnsi" w:eastAsiaTheme="majorEastAsia" w:cstheme="majorBidi"/>
      <w:caps/>
      <w:color w:val="0F6FC6" w:themeColor="accent1"/>
      <w:spacing w:val="10"/>
      <w:sz w:val="52"/>
      <w:szCs w:val="52"/>
      <w14:textFill>
        <w14:solidFill>
          <w14:schemeClr w14:val="accent1"/>
        </w14:solidFill>
      </w14:textFill>
    </w:rPr>
  </w:style>
  <w:style w:type="character" w:styleId="34">
    <w:name w:val="Strong"/>
    <w:qFormat/>
    <w:uiPriority w:val="22"/>
    <w:rPr>
      <w:b/>
      <w:bCs/>
    </w:rPr>
  </w:style>
  <w:style w:type="character" w:styleId="35">
    <w:name w:val="endnote reference"/>
    <w:basedOn w:val="33"/>
    <w:semiHidden/>
    <w:unhideWhenUsed/>
    <w:uiPriority w:val="99"/>
    <w:rPr>
      <w:vertAlign w:val="superscript"/>
    </w:rPr>
  </w:style>
  <w:style w:type="character" w:styleId="36">
    <w:name w:val="FollowedHyperlink"/>
    <w:basedOn w:val="33"/>
    <w:semiHidden/>
    <w:unhideWhenUsed/>
    <w:uiPriority w:val="99"/>
    <w:rPr>
      <w:color w:val="85DFD0" w:themeColor="followedHyperlink"/>
      <w:u w:val="single"/>
      <w14:textFill>
        <w14:solidFill>
          <w14:schemeClr w14:val="folHlink"/>
        </w14:solidFill>
      </w14:textFill>
    </w:rPr>
  </w:style>
  <w:style w:type="character" w:styleId="37">
    <w:name w:val="Emphasis"/>
    <w:uiPriority w:val="20"/>
    <w:rPr>
      <w:caps/>
      <w:color w:val="083863" w:themeColor="accent1" w:themeShade="80"/>
      <w:spacing w:val="5"/>
    </w:rPr>
  </w:style>
  <w:style w:type="character" w:styleId="38">
    <w:name w:val="Hyperlink"/>
    <w:unhideWhenUsed/>
    <w:uiPriority w:val="99"/>
    <w:rPr>
      <w:color w:val="0000FF"/>
      <w:u w:val="single"/>
    </w:rPr>
  </w:style>
  <w:style w:type="character" w:styleId="39">
    <w:name w:val="annotation reference"/>
    <w:basedOn w:val="33"/>
    <w:unhideWhenUsed/>
    <w:uiPriority w:val="99"/>
    <w:rPr>
      <w:sz w:val="21"/>
      <w:szCs w:val="21"/>
    </w:rPr>
  </w:style>
  <w:style w:type="character" w:styleId="40">
    <w:name w:val="footnote reference"/>
    <w:basedOn w:val="33"/>
    <w:unhideWhenUsed/>
    <w:uiPriority w:val="99"/>
    <w:rPr>
      <w:vertAlign w:val="superscript"/>
    </w:rPr>
  </w:style>
  <w:style w:type="table" w:styleId="42">
    <w:name w:val="Table Grid"/>
    <w:basedOn w:val="4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3">
    <w:name w:val="Medium Shading 2 Accent 5"/>
    <w:basedOn w:val="41"/>
    <w:uiPriority w:val="64"/>
    <w:pPr>
      <w:spacing w:before="0" w:after="0" w:line="240" w:lineRule="auto"/>
    </w:pPr>
    <w:rPr>
      <w:rFonts w:ascii="Calibri" w:hAnsi="Calibri" w:eastAsia="宋体" w:cs="Times New Roman"/>
    </w:rPr>
    <w:tblPr>
      <w:tblBorders>
        <w:top w:val="single" w:color="auto" w:sz="18" w:space="0"/>
        <w:bottom w:val="single" w:color="auto" w:sz="18" w:space="0"/>
      </w:tblBorders>
      <w:tblLayout w:type="fixed"/>
    </w:tblPr>
    <w:tblStylePr w:type="firstRow">
      <w:pPr>
        <w:spacing w:before="0" w:after="0" w:line="240" w:lineRule="auto"/>
      </w:pPr>
      <w:rPr>
        <w:b/>
        <w:bCs/>
        <w:color w:val="FFFFFF"/>
      </w:rPr>
      <w:tblPr>
        <w:tblLayout w:type="fixed"/>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blLayout w:type="fixed"/>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blLayout w:type="fixed"/>
      </w:tblPr>
      <w:tcPr>
        <w:tcBorders>
          <w:left w:val="nil"/>
          <w:right w:val="nil"/>
          <w:insideH w:val="nil"/>
          <w:insideV w:val="nil"/>
        </w:tcBorders>
        <w:shd w:val="clear" w:color="auto" w:fill="4BACC6"/>
      </w:tcPr>
    </w:tblStylePr>
    <w:tblStylePr w:type="band1Vert">
      <w:tblPr>
        <w:tblLayout w:type="fixed"/>
      </w:tblPr>
      <w:tcPr>
        <w:tcBorders>
          <w:left w:val="nil"/>
          <w:right w:val="nil"/>
          <w:insideH w:val="nil"/>
          <w:insideV w:val="nil"/>
        </w:tcBorders>
        <w:shd w:val="clear" w:color="auto" w:fill="D8D8D8"/>
      </w:tcPr>
    </w:tblStylePr>
    <w:tblStylePr w:type="band1Horz">
      <w:tblPr>
        <w:tblLayout w:type="fixed"/>
      </w:tblPr>
      <w:tcPr>
        <w:shd w:val="clear" w:color="auto" w:fill="D8D8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rPr>
      <w:tblPr>
        <w:tblLayout w:type="fixed"/>
      </w:tblPr>
      <w:tcPr>
        <w:tcBorders>
          <w:top w:val="single" w:color="auto" w:sz="18" w:space="0"/>
          <w:left w:val="nil"/>
          <w:bottom w:val="single" w:color="auto" w:sz="18" w:space="0"/>
          <w:right w:val="nil"/>
          <w:insideH w:val="nil"/>
          <w:insideV w:val="nil"/>
        </w:tcBorders>
      </w:tcPr>
    </w:tblStylePr>
  </w:style>
  <w:style w:type="character" w:customStyle="1" w:styleId="44">
    <w:name w:val="页眉 字符"/>
    <w:basedOn w:val="33"/>
    <w:link w:val="21"/>
    <w:qFormat/>
    <w:uiPriority w:val="99"/>
    <w:rPr>
      <w:sz w:val="18"/>
      <w:szCs w:val="18"/>
    </w:rPr>
  </w:style>
  <w:style w:type="character" w:customStyle="1" w:styleId="45">
    <w:name w:val="页脚 字符"/>
    <w:basedOn w:val="33"/>
    <w:link w:val="20"/>
    <w:uiPriority w:val="99"/>
    <w:rPr>
      <w:sz w:val="18"/>
      <w:szCs w:val="18"/>
    </w:rPr>
  </w:style>
  <w:style w:type="character" w:customStyle="1" w:styleId="46">
    <w:name w:val="标题 1 字符"/>
    <w:basedOn w:val="33"/>
    <w:link w:val="2"/>
    <w:uiPriority w:val="9"/>
    <w:rPr>
      <w:rFonts w:eastAsia="黑体"/>
      <w:b/>
      <w:caps/>
      <w:sz w:val="36"/>
      <w:szCs w:val="22"/>
      <w:shd w:val="clear" w:color="auto" w:fill="AACDE8"/>
    </w:rPr>
  </w:style>
  <w:style w:type="character" w:customStyle="1" w:styleId="47">
    <w:name w:val="标题 2 字符"/>
    <w:basedOn w:val="33"/>
    <w:link w:val="3"/>
    <w:uiPriority w:val="9"/>
    <w:rPr>
      <w:rFonts w:eastAsia="黑体"/>
      <w:b/>
      <w:caps/>
      <w:sz w:val="32"/>
    </w:rPr>
  </w:style>
  <w:style w:type="paragraph" w:customStyle="1" w:styleId="48">
    <w:name w:val="报告正文样式"/>
    <w:basedOn w:val="1"/>
    <w:link w:val="49"/>
    <w:uiPriority w:val="0"/>
    <w:pPr>
      <w:spacing w:beforeLines="50" w:after="163" w:afterLines="50"/>
      <w:ind w:firstLine="480"/>
    </w:pPr>
    <w:rPr>
      <w:rFonts w:cs="宋体" w:asciiTheme="minorEastAsia" w:hAnsiTheme="minorEastAsia"/>
      <w:color w:val="000000" w:themeColor="text1"/>
      <w:szCs w:val="21"/>
      <w14:textFill>
        <w14:solidFill>
          <w14:schemeClr w14:val="tx1"/>
        </w14:solidFill>
      </w14:textFill>
    </w:rPr>
  </w:style>
  <w:style w:type="character" w:customStyle="1" w:styleId="49">
    <w:name w:val="报告正文样式 Char"/>
    <w:basedOn w:val="33"/>
    <w:link w:val="48"/>
    <w:qFormat/>
    <w:uiPriority w:val="0"/>
    <w:rPr>
      <w:rFonts w:cs="宋体" w:asciiTheme="minorEastAsia" w:hAnsiTheme="minorEastAsia"/>
      <w:color w:val="000000" w:themeColor="text1"/>
      <w:kern w:val="0"/>
      <w:sz w:val="24"/>
      <w:szCs w:val="21"/>
      <w14:textFill>
        <w14:solidFill>
          <w14:schemeClr w14:val="tx1"/>
        </w14:solidFill>
      </w14:textFill>
    </w:rPr>
  </w:style>
  <w:style w:type="paragraph" w:customStyle="1" w:styleId="50">
    <w:name w:val="新报告二级"/>
    <w:basedOn w:val="1"/>
    <w:link w:val="51"/>
    <w:uiPriority w:val="0"/>
    <w:pPr>
      <w:spacing w:before="260" w:beforeLines="50" w:after="163" w:afterLines="50"/>
      <w:outlineLvl w:val="1"/>
    </w:pPr>
    <w:rPr>
      <w:rFonts w:ascii="黑体" w:hAnsi="黑体" w:eastAsia="黑体" w:cs="Times New Roman"/>
      <w:b/>
      <w:bCs/>
      <w:color w:val="000000" w:themeColor="text1"/>
      <w:sz w:val="30"/>
      <w:szCs w:val="30"/>
      <w14:textFill>
        <w14:solidFill>
          <w14:schemeClr w14:val="tx1"/>
        </w14:solidFill>
      </w14:textFill>
    </w:rPr>
  </w:style>
  <w:style w:type="character" w:customStyle="1" w:styleId="51">
    <w:name w:val="新报告二级 Char"/>
    <w:basedOn w:val="33"/>
    <w:link w:val="50"/>
    <w:uiPriority w:val="0"/>
    <w:rPr>
      <w:rFonts w:ascii="黑体" w:hAnsi="黑体" w:eastAsia="黑体" w:cs="Times New Roman"/>
      <w:b/>
      <w:bCs/>
      <w:color w:val="000000" w:themeColor="text1"/>
      <w:sz w:val="30"/>
      <w:szCs w:val="30"/>
      <w14:textFill>
        <w14:solidFill>
          <w14:schemeClr w14:val="tx1"/>
        </w14:solidFill>
      </w14:textFill>
    </w:rPr>
  </w:style>
  <w:style w:type="character" w:customStyle="1" w:styleId="52">
    <w:name w:val="标题 3 字符"/>
    <w:basedOn w:val="33"/>
    <w:link w:val="4"/>
    <w:uiPriority w:val="9"/>
    <w:rPr>
      <w:rFonts w:eastAsia="黑体"/>
      <w:b/>
      <w:caps/>
      <w:sz w:val="28"/>
    </w:rPr>
  </w:style>
  <w:style w:type="paragraph" w:customStyle="1" w:styleId="53">
    <w:name w:val="图标题"/>
    <w:basedOn w:val="1"/>
    <w:link w:val="54"/>
    <w:uiPriority w:val="0"/>
    <w:pPr>
      <w:spacing w:after="163" w:afterLines="50"/>
      <w:ind w:firstLine="422"/>
      <w:jc w:val="center"/>
    </w:pPr>
    <w:rPr>
      <w:rFonts w:ascii="Times New Roman" w:hAnsi="Times New Roman" w:eastAsia="黑体" w:cs="Times New Roman"/>
      <w:szCs w:val="21"/>
    </w:rPr>
  </w:style>
  <w:style w:type="character" w:customStyle="1" w:styleId="54">
    <w:name w:val="图标题 Char"/>
    <w:basedOn w:val="33"/>
    <w:link w:val="53"/>
    <w:uiPriority w:val="0"/>
    <w:rPr>
      <w:rFonts w:ascii="Times New Roman" w:hAnsi="Times New Roman" w:eastAsia="黑体" w:cs="Times New Roman"/>
      <w:szCs w:val="21"/>
    </w:rPr>
  </w:style>
  <w:style w:type="paragraph" w:customStyle="1" w:styleId="55">
    <w:name w:val="中图标"/>
    <w:basedOn w:val="53"/>
    <w:link w:val="56"/>
    <w:uiPriority w:val="0"/>
  </w:style>
  <w:style w:type="character" w:customStyle="1" w:styleId="56">
    <w:name w:val="中图标 Char"/>
    <w:basedOn w:val="54"/>
    <w:link w:val="55"/>
    <w:uiPriority w:val="0"/>
    <w:rPr>
      <w:rFonts w:ascii="Times New Roman" w:hAnsi="Times New Roman" w:eastAsia="黑体" w:cs="Times New Roman"/>
      <w:szCs w:val="21"/>
    </w:rPr>
  </w:style>
  <w:style w:type="table" w:customStyle="1" w:styleId="57">
    <w:name w:val="浅色底纹 - 强调文字颜色 11"/>
    <w:basedOn w:val="41"/>
    <w:uiPriority w:val="60"/>
    <w:rPr>
      <w:rFonts w:ascii="Calibri" w:hAnsi="Calibri" w:eastAsia="宋体" w:cs="Times New Roman"/>
      <w:color w:val="0B5395" w:themeColor="accent1" w:themeShade="BF"/>
    </w:rPr>
    <w:tblPr>
      <w:tblBorders>
        <w:top w:val="single" w:color="0F6FC6" w:themeColor="accent1" w:sz="8" w:space="0"/>
        <w:bottom w:val="single" w:color="0F6FC6" w:themeColor="accent1" w:sz="8" w:space="0"/>
      </w:tblBorders>
      <w:tblLayout w:type="fixed"/>
    </w:tblPr>
    <w:tblStylePr w:type="firstRow">
      <w:pPr>
        <w:spacing w:before="0" w:after="0" w:line="240" w:lineRule="auto"/>
      </w:pPr>
      <w:rPr>
        <w:b/>
        <w:bCs/>
      </w:rPr>
      <w:tcPr>
        <w:tcBorders>
          <w:top w:val="single" w:color="0F6FC6" w:themeColor="accent1" w:sz="8" w:space="0"/>
          <w:left w:val="nil"/>
          <w:bottom w:val="single" w:color="0F6FC6" w:themeColor="accent1" w:sz="8" w:space="0"/>
          <w:right w:val="nil"/>
          <w:insideH w:val="nil"/>
          <w:insideV w:val="nil"/>
        </w:tcBorders>
      </w:tcPr>
    </w:tblStylePr>
    <w:tblStylePr w:type="lastRow">
      <w:pPr>
        <w:spacing w:before="0" w:after="0" w:line="240" w:lineRule="auto"/>
      </w:pPr>
      <w:rPr>
        <w:b/>
        <w:bCs/>
      </w:rPr>
      <w:tcPr>
        <w:tcBorders>
          <w:top w:val="single" w:color="0F6FC6" w:themeColor="accent1" w:sz="8" w:space="0"/>
          <w:left w:val="nil"/>
          <w:bottom w:val="single" w:color="0F6FC6"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ADBF9" w:themeFill="accent1" w:themeFillTint="3F"/>
      </w:tcPr>
    </w:tblStylePr>
    <w:tblStylePr w:type="band1Horz">
      <w:tcPr>
        <w:tcBorders>
          <w:left w:val="nil"/>
          <w:right w:val="nil"/>
          <w:insideH w:val="nil"/>
          <w:insideV w:val="nil"/>
        </w:tcBorders>
        <w:shd w:val="clear" w:color="auto" w:fill="BADBF9" w:themeFill="accent1" w:themeFillTint="3F"/>
      </w:tcPr>
    </w:tblStylePr>
  </w:style>
  <w:style w:type="table" w:customStyle="1" w:styleId="58">
    <w:name w:val="Grid Table 1 Light Accent 4"/>
    <w:basedOn w:val="41"/>
    <w:uiPriority w:val="46"/>
    <w:tblPr>
      <w:tblBorders>
        <w:top w:val="single" w:color="94F6DB" w:themeColor="accent4" w:themeTint="66" w:sz="4" w:space="0"/>
        <w:left w:val="single" w:color="94F6DB" w:themeColor="accent4" w:themeTint="66" w:sz="4" w:space="0"/>
        <w:bottom w:val="single" w:color="94F6DB" w:themeColor="accent4" w:themeTint="66" w:sz="4" w:space="0"/>
        <w:right w:val="single" w:color="94F6DB" w:themeColor="accent4" w:themeTint="66" w:sz="4" w:space="0"/>
        <w:insideH w:val="single" w:color="94F6DB" w:themeColor="accent4" w:themeTint="66" w:sz="4" w:space="0"/>
        <w:insideV w:val="single" w:color="94F6DB" w:themeColor="accent4" w:themeTint="66" w:sz="4" w:space="0"/>
      </w:tblBorders>
      <w:tblLayout w:type="fixed"/>
    </w:tblPr>
    <w:tblStylePr w:type="firstRow">
      <w:rPr>
        <w:b/>
        <w:bCs/>
      </w:rPr>
      <w:tcPr>
        <w:tcBorders>
          <w:bottom w:val="single" w:color="5FF2CA" w:themeColor="accent4" w:themeTint="99" w:sz="12" w:space="0"/>
        </w:tcBorders>
      </w:tcPr>
    </w:tblStylePr>
    <w:tblStylePr w:type="lastRow">
      <w:rPr>
        <w:b/>
        <w:bCs/>
      </w:rPr>
      <w:tcPr>
        <w:tcBorders>
          <w:top w:val="double" w:color="5FF2CA" w:themeColor="accent4" w:themeTint="99" w:sz="2" w:space="0"/>
        </w:tcBorders>
      </w:tcPr>
    </w:tblStylePr>
    <w:tblStylePr w:type="firstCol">
      <w:rPr>
        <w:b/>
        <w:bCs/>
      </w:rPr>
    </w:tblStylePr>
    <w:tblStylePr w:type="lastCol">
      <w:rPr>
        <w:b/>
        <w:bCs/>
      </w:rPr>
    </w:tblStylePr>
  </w:style>
  <w:style w:type="table" w:customStyle="1" w:styleId="59">
    <w:name w:val="Grid Table 6 Colorful Accent 4"/>
    <w:basedOn w:val="41"/>
    <w:uiPriority w:val="51"/>
    <w:rPr>
      <w:color w:val="0C9B74" w:themeColor="accent4" w:themeShade="BF"/>
    </w:rPr>
    <w:tblPr>
      <w:tblBorders>
        <w:top w:val="single" w:color="5FF2CA" w:themeColor="accent4" w:themeTint="99" w:sz="4" w:space="0"/>
        <w:left w:val="single" w:color="5FF2CA" w:themeColor="accent4" w:themeTint="99" w:sz="4" w:space="0"/>
        <w:bottom w:val="single" w:color="5FF2CA" w:themeColor="accent4" w:themeTint="99" w:sz="4" w:space="0"/>
        <w:right w:val="single" w:color="5FF2CA" w:themeColor="accent4" w:themeTint="99" w:sz="4" w:space="0"/>
        <w:insideH w:val="single" w:color="5FF2CA" w:themeColor="accent4" w:themeTint="99" w:sz="4" w:space="0"/>
        <w:insideV w:val="single" w:color="5FF2CA" w:themeColor="accent4" w:themeTint="99" w:sz="4" w:space="0"/>
      </w:tblBorders>
      <w:tblLayout w:type="fixed"/>
    </w:tblPr>
    <w:tblStylePr w:type="firstRow">
      <w:rPr>
        <w:b/>
        <w:bCs/>
      </w:rPr>
      <w:tcPr>
        <w:tcBorders>
          <w:bottom w:val="single" w:color="5FF2CA" w:themeColor="accent4" w:themeTint="99" w:sz="12" w:space="0"/>
        </w:tcBorders>
      </w:tcPr>
    </w:tblStylePr>
    <w:tblStylePr w:type="lastRow">
      <w:rPr>
        <w:b/>
        <w:bCs/>
      </w:rPr>
      <w:tcPr>
        <w:tcBorders>
          <w:top w:val="double" w:color="5FF2CA" w:themeColor="accent4" w:themeTint="99" w:sz="4" w:space="0"/>
        </w:tcBorders>
      </w:tcPr>
    </w:tblStylePr>
    <w:tblStylePr w:type="firstCol">
      <w:rPr>
        <w:b/>
        <w:bCs/>
      </w:rPr>
    </w:tblStylePr>
    <w:tblStylePr w:type="lastCol">
      <w:rPr>
        <w:b/>
        <w:bCs/>
      </w:rPr>
    </w:tblStylePr>
    <w:tblStylePr w:type="band1Vert">
      <w:tcPr>
        <w:shd w:val="clear" w:color="auto" w:fill="C9FAED" w:themeFill="accent4" w:themeFillTint="33"/>
      </w:tcPr>
    </w:tblStylePr>
    <w:tblStylePr w:type="band1Horz">
      <w:tcPr>
        <w:shd w:val="clear" w:color="auto" w:fill="C9FAED" w:themeFill="accent4" w:themeFillTint="33"/>
      </w:tcPr>
    </w:tblStylePr>
  </w:style>
  <w:style w:type="paragraph" w:customStyle="1" w:styleId="60">
    <w:name w:val="报告一级标题样式"/>
    <w:basedOn w:val="2"/>
    <w:link w:val="61"/>
    <w:uiPriority w:val="0"/>
    <w:pPr>
      <w:spacing w:after="50" w:line="360" w:lineRule="auto"/>
    </w:pPr>
    <w:rPr>
      <w:rFonts w:ascii="黑体" w:hAnsi="黑体" w:cs="Times New Roman"/>
      <w:color w:val="000000" w:themeColor="text1"/>
      <w:sz w:val="32"/>
      <w:szCs w:val="32"/>
      <w14:textFill>
        <w14:solidFill>
          <w14:schemeClr w14:val="tx1"/>
        </w14:solidFill>
      </w14:textFill>
    </w:rPr>
  </w:style>
  <w:style w:type="character" w:customStyle="1" w:styleId="61">
    <w:name w:val="报告一级标题样式 Char"/>
    <w:basedOn w:val="46"/>
    <w:link w:val="60"/>
    <w:uiPriority w:val="0"/>
    <w:rPr>
      <w:rFonts w:ascii="黑体" w:hAnsi="黑体" w:eastAsia="黑体" w:cs="Times New Roman"/>
      <w:color w:val="000000" w:themeColor="text1"/>
      <w:spacing w:val="15"/>
      <w:kern w:val="44"/>
      <w:sz w:val="32"/>
      <w:szCs w:val="32"/>
      <w:shd w:val="clear" w:color="auto" w:fill="0F6FC6" w:themeFill="accent1"/>
      <w14:textFill>
        <w14:solidFill>
          <w14:schemeClr w14:val="tx1"/>
        </w14:solidFill>
      </w14:textFill>
    </w:rPr>
  </w:style>
  <w:style w:type="character" w:customStyle="1" w:styleId="62">
    <w:name w:val="脚注文本 字符"/>
    <w:basedOn w:val="33"/>
    <w:link w:val="25"/>
    <w:uiPriority w:val="99"/>
    <w:rPr>
      <w:sz w:val="18"/>
      <w:szCs w:val="18"/>
    </w:rPr>
  </w:style>
  <w:style w:type="paragraph" w:styleId="63">
    <w:name w:val="List Paragraph"/>
    <w:basedOn w:val="1"/>
    <w:qFormat/>
    <w:uiPriority w:val="34"/>
    <w:pPr>
      <w:ind w:firstLine="420"/>
    </w:pPr>
  </w:style>
  <w:style w:type="table" w:customStyle="1" w:styleId="64">
    <w:name w:val="List Table 3 Accent 4"/>
    <w:basedOn w:val="41"/>
    <w:uiPriority w:val="48"/>
    <w:tblPr>
      <w:tblBorders>
        <w:top w:val="single" w:color="10CF9B" w:themeColor="accent4" w:sz="4" w:space="0"/>
        <w:left w:val="single" w:color="10CF9B" w:themeColor="accent4" w:sz="4" w:space="0"/>
        <w:bottom w:val="single" w:color="10CF9B" w:themeColor="accent4" w:sz="4" w:space="0"/>
        <w:right w:val="single" w:color="10CF9B" w:themeColor="accent4" w:sz="4" w:space="0"/>
      </w:tblBorders>
      <w:tblLayout w:type="fixed"/>
    </w:tblPr>
    <w:tblStylePr w:type="firstRow">
      <w:rPr>
        <w:b/>
        <w:bCs/>
        <w:color w:val="FFFFFF" w:themeColor="background1"/>
        <w14:textFill>
          <w14:solidFill>
            <w14:schemeClr w14:val="bg1"/>
          </w14:solidFill>
        </w14:textFill>
      </w:rPr>
      <w:tcPr>
        <w:shd w:val="clear" w:color="auto" w:fill="10CF9B" w:themeFill="accent4"/>
      </w:tcPr>
    </w:tblStylePr>
    <w:tblStylePr w:type="lastRow">
      <w:rPr>
        <w:b/>
        <w:bCs/>
      </w:rPr>
      <w:tcPr>
        <w:tcBorders>
          <w:top w:val="double" w:color="10CF9B"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0CF9B" w:themeColor="accent4" w:sz="4" w:space="0"/>
          <w:right w:val="single" w:color="10CF9B" w:themeColor="accent4" w:sz="4" w:space="0"/>
        </w:tcBorders>
      </w:tcPr>
    </w:tblStylePr>
    <w:tblStylePr w:type="band1Horz">
      <w:tcPr>
        <w:tcBorders>
          <w:top w:val="single" w:color="10CF9B" w:themeColor="accent4" w:sz="4" w:space="0"/>
          <w:bottom w:val="single" w:color="10CF9B"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0CF9B" w:themeColor="accent4" w:sz="4" w:space="0"/>
          <w:left w:val="nil"/>
        </w:tcBorders>
      </w:tcPr>
    </w:tblStylePr>
    <w:tblStylePr w:type="swCell">
      <w:tcPr>
        <w:tcBorders>
          <w:top w:val="double" w:color="10CF9B" w:themeColor="accent4" w:sz="4" w:space="0"/>
          <w:right w:val="nil"/>
        </w:tcBorders>
      </w:tcPr>
    </w:tblStylePr>
  </w:style>
  <w:style w:type="character" w:customStyle="1" w:styleId="65">
    <w:name w:val="批注框文本 字符"/>
    <w:basedOn w:val="33"/>
    <w:link w:val="19"/>
    <w:semiHidden/>
    <w:uiPriority w:val="99"/>
    <w:rPr>
      <w:sz w:val="18"/>
      <w:szCs w:val="18"/>
    </w:rPr>
  </w:style>
  <w:style w:type="table" w:customStyle="1" w:styleId="66">
    <w:name w:val="Grid Table 4 Accent 4"/>
    <w:basedOn w:val="41"/>
    <w:uiPriority w:val="49"/>
    <w:pPr>
      <w:jc w:val="center"/>
    </w:pPr>
    <w:tblPr>
      <w:tblBorders>
        <w:top w:val="single" w:color="5FF2CA" w:themeColor="accent4" w:themeTint="99" w:sz="4" w:space="0"/>
        <w:left w:val="single" w:color="5FF2CA" w:themeColor="accent4" w:themeTint="99" w:sz="4" w:space="0"/>
        <w:bottom w:val="single" w:color="5FF2CA" w:themeColor="accent4" w:themeTint="99" w:sz="4" w:space="0"/>
        <w:right w:val="single" w:color="5FF2CA" w:themeColor="accent4" w:themeTint="99" w:sz="4" w:space="0"/>
        <w:insideH w:val="single" w:color="5FF2CA" w:themeColor="accent4" w:themeTint="99" w:sz="4" w:space="0"/>
        <w:insideV w:val="single" w:color="5FF2CA" w:themeColor="accent4" w:themeTint="99" w:sz="4" w:space="0"/>
      </w:tblBorders>
      <w:tblLayout w:type="fixed"/>
    </w:tblPr>
    <w:tcPr>
      <w:vAlign w:val="center"/>
    </w:tcPr>
    <w:tblStylePr w:type="firstRow">
      <w:rPr>
        <w:b/>
        <w:bCs/>
        <w:color w:val="FFFFFF" w:themeColor="background1"/>
        <w14:textFill>
          <w14:solidFill>
            <w14:schemeClr w14:val="bg1"/>
          </w14:solidFill>
        </w14:textFill>
      </w:rPr>
      <w:tcPr>
        <w:tcBorders>
          <w:top w:val="single" w:color="10CF9B" w:themeColor="accent4" w:sz="4" w:space="0"/>
          <w:left w:val="single" w:color="10CF9B" w:themeColor="accent4" w:sz="4" w:space="0"/>
          <w:bottom w:val="single" w:color="10CF9B" w:themeColor="accent4" w:sz="4" w:space="0"/>
          <w:right w:val="single" w:color="10CF9B" w:themeColor="accent4" w:sz="4" w:space="0"/>
          <w:insideH w:val="nil"/>
          <w:insideV w:val="nil"/>
        </w:tcBorders>
        <w:shd w:val="clear" w:color="auto" w:fill="10CF9B" w:themeFill="accent4"/>
      </w:tcPr>
    </w:tblStylePr>
    <w:tblStylePr w:type="lastRow">
      <w:rPr>
        <w:b/>
        <w:bCs/>
      </w:rPr>
      <w:tcPr>
        <w:tcBorders>
          <w:top w:val="double" w:color="10CF9B" w:themeColor="accent4" w:sz="4" w:space="0"/>
        </w:tcBorders>
      </w:tcPr>
    </w:tblStylePr>
    <w:tblStylePr w:type="firstCol">
      <w:rPr>
        <w:b/>
        <w:bCs/>
      </w:rPr>
    </w:tblStylePr>
    <w:tblStylePr w:type="lastCol">
      <w:rPr>
        <w:b/>
        <w:bCs/>
      </w:rPr>
    </w:tblStylePr>
    <w:tblStylePr w:type="band1Vert">
      <w:tcPr>
        <w:shd w:val="clear" w:color="auto" w:fill="C9FAED" w:themeFill="accent4" w:themeFillTint="33"/>
      </w:tcPr>
    </w:tblStylePr>
    <w:tblStylePr w:type="band1Horz">
      <w:tcPr>
        <w:shd w:val="clear" w:color="auto" w:fill="C9FAED" w:themeFill="accent4" w:themeFillTint="33"/>
      </w:tcPr>
    </w:tblStylePr>
  </w:style>
  <w:style w:type="paragraph" w:customStyle="1" w:styleId="67">
    <w:name w:val="南开三级"/>
    <w:basedOn w:val="4"/>
    <w:link w:val="68"/>
    <w:uiPriority w:val="0"/>
    <w:pPr>
      <w:spacing w:before="240" w:after="60" w:line="412" w:lineRule="auto"/>
    </w:pPr>
    <w:rPr>
      <w:rFonts w:ascii="黑体" w:hAnsi="黑体" w:cs="Times New Roman"/>
      <w:szCs w:val="28"/>
    </w:rPr>
  </w:style>
  <w:style w:type="character" w:customStyle="1" w:styleId="68">
    <w:name w:val="南开三级 Char"/>
    <w:link w:val="67"/>
    <w:locked/>
    <w:uiPriority w:val="0"/>
    <w:rPr>
      <w:rFonts w:ascii="黑体" w:hAnsi="黑体" w:eastAsia="黑体" w:cs="Times New Roman"/>
      <w:b/>
      <w:bCs/>
      <w:kern w:val="0"/>
      <w:sz w:val="28"/>
      <w:szCs w:val="28"/>
    </w:rPr>
  </w:style>
  <w:style w:type="paragraph" w:customStyle="1" w:styleId="69">
    <w:name w:val="报告四级样式"/>
    <w:basedOn w:val="1"/>
    <w:link w:val="70"/>
    <w:uiPriority w:val="0"/>
    <w:pPr>
      <w:spacing w:before="260" w:after="163" w:afterLines="50" w:line="415" w:lineRule="auto"/>
      <w:ind w:firstLine="512" w:firstLineChars="196"/>
      <w:outlineLvl w:val="1"/>
    </w:pPr>
    <w:rPr>
      <w:rFonts w:ascii="黑体" w:hAnsi="黑体" w:eastAsia="黑体" w:cs="Times New Roman"/>
      <w:b/>
      <w:bCs/>
      <w:sz w:val="26"/>
      <w:szCs w:val="26"/>
    </w:rPr>
  </w:style>
  <w:style w:type="character" w:customStyle="1" w:styleId="70">
    <w:name w:val="报告四级样式 Char"/>
    <w:basedOn w:val="33"/>
    <w:link w:val="69"/>
    <w:uiPriority w:val="0"/>
    <w:rPr>
      <w:rFonts w:ascii="黑体" w:hAnsi="黑体" w:eastAsia="黑体" w:cs="Times New Roman"/>
      <w:b/>
      <w:bCs/>
      <w:sz w:val="26"/>
      <w:szCs w:val="26"/>
    </w:rPr>
  </w:style>
  <w:style w:type="character" w:customStyle="1" w:styleId="71">
    <w:name w:val="zisiblack21"/>
    <w:basedOn w:val="33"/>
    <w:uiPriority w:val="0"/>
    <w:rPr>
      <w:rFonts w:hint="default" w:ascii="ˎ̥" w:hAnsi="ˎ̥"/>
      <w:color w:val="000000"/>
      <w:sz w:val="21"/>
      <w:szCs w:val="21"/>
    </w:rPr>
  </w:style>
  <w:style w:type="table" w:customStyle="1" w:styleId="72">
    <w:name w:val="List Table 4 Accent 4"/>
    <w:basedOn w:val="41"/>
    <w:uiPriority w:val="49"/>
    <w:tblPr>
      <w:tblBorders>
        <w:top w:val="single" w:color="5FF2CA" w:themeColor="accent4" w:themeTint="99" w:sz="4" w:space="0"/>
        <w:left w:val="single" w:color="5FF2CA" w:themeColor="accent4" w:themeTint="99" w:sz="4" w:space="0"/>
        <w:bottom w:val="single" w:color="5FF2CA" w:themeColor="accent4" w:themeTint="99" w:sz="4" w:space="0"/>
        <w:right w:val="single" w:color="5FF2CA" w:themeColor="accent4" w:themeTint="99" w:sz="4" w:space="0"/>
        <w:insideH w:val="single" w:color="5FF2CA" w:themeColor="accent4" w:themeTint="99" w:sz="4" w:space="0"/>
      </w:tblBorders>
      <w:tblLayout w:type="fixed"/>
    </w:tblPr>
    <w:tblStylePr w:type="firstRow">
      <w:rPr>
        <w:b/>
        <w:bCs/>
        <w:color w:val="FFFFFF" w:themeColor="background1"/>
        <w14:textFill>
          <w14:solidFill>
            <w14:schemeClr w14:val="bg1"/>
          </w14:solidFill>
        </w14:textFill>
      </w:rPr>
      <w:tcPr>
        <w:tcBorders>
          <w:top w:val="single" w:color="10CF9B" w:themeColor="accent4" w:sz="4" w:space="0"/>
          <w:left w:val="single" w:color="10CF9B" w:themeColor="accent4" w:sz="4" w:space="0"/>
          <w:bottom w:val="single" w:color="10CF9B" w:themeColor="accent4" w:sz="4" w:space="0"/>
          <w:right w:val="single" w:color="10CF9B" w:themeColor="accent4" w:sz="4" w:space="0"/>
          <w:insideH w:val="nil"/>
        </w:tcBorders>
        <w:shd w:val="clear" w:color="auto" w:fill="10CF9B" w:themeFill="accent4"/>
      </w:tcPr>
    </w:tblStylePr>
    <w:tblStylePr w:type="lastRow">
      <w:rPr>
        <w:b/>
        <w:bCs/>
      </w:rPr>
      <w:tcPr>
        <w:tcBorders>
          <w:top w:val="double" w:color="5FF2CA" w:themeColor="accent4" w:themeTint="99" w:sz="4" w:space="0"/>
        </w:tcBorders>
      </w:tcPr>
    </w:tblStylePr>
    <w:tblStylePr w:type="firstCol">
      <w:rPr>
        <w:b/>
        <w:bCs/>
      </w:rPr>
    </w:tblStylePr>
    <w:tblStylePr w:type="lastCol">
      <w:rPr>
        <w:b/>
        <w:bCs/>
      </w:rPr>
    </w:tblStylePr>
    <w:tblStylePr w:type="band1Vert">
      <w:tcPr>
        <w:shd w:val="clear" w:color="auto" w:fill="C9FAED" w:themeFill="accent4" w:themeFillTint="33"/>
      </w:tcPr>
    </w:tblStylePr>
    <w:tblStylePr w:type="band1Horz">
      <w:tcPr>
        <w:shd w:val="clear" w:color="auto" w:fill="C9FAED" w:themeFill="accent4" w:themeFillTint="33"/>
      </w:tcPr>
    </w:tblStylePr>
  </w:style>
  <w:style w:type="table" w:customStyle="1" w:styleId="73">
    <w:name w:val="List Table 5 Dark Accent 4"/>
    <w:basedOn w:val="41"/>
    <w:uiPriority w:val="50"/>
    <w:rPr>
      <w:color w:val="FFFFFF" w:themeColor="background1"/>
      <w14:textFill>
        <w14:solidFill>
          <w14:schemeClr w14:val="bg1"/>
        </w14:solidFill>
      </w14:textFill>
    </w:rPr>
    <w:tblPr>
      <w:tblBorders>
        <w:top w:val="single" w:color="10CF9B" w:themeColor="accent4" w:sz="24" w:space="0"/>
        <w:left w:val="single" w:color="10CF9B" w:themeColor="accent4" w:sz="24" w:space="0"/>
        <w:bottom w:val="single" w:color="10CF9B" w:themeColor="accent4" w:sz="24" w:space="0"/>
        <w:right w:val="single" w:color="10CF9B" w:themeColor="accent4" w:sz="24" w:space="0"/>
      </w:tblBorders>
      <w:tblLayout w:type="fixed"/>
    </w:tblPr>
    <w:tcPr>
      <w:shd w:val="clear" w:color="auto" w:fill="10CF9B"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74">
    <w:name w:val="Intense Emphasis"/>
    <w:uiPriority w:val="21"/>
    <w:rPr>
      <w:b/>
      <w:bCs/>
      <w:caps/>
      <w:color w:val="083863" w:themeColor="accent1" w:themeShade="80"/>
      <w:spacing w:val="10"/>
    </w:rPr>
  </w:style>
  <w:style w:type="character" w:customStyle="1" w:styleId="75">
    <w:name w:val="副标题 字符"/>
    <w:basedOn w:val="33"/>
    <w:link w:val="24"/>
    <w:uiPriority w:val="11"/>
    <w:rPr>
      <w:caps/>
      <w:color w:val="595959" w:themeColor="text1" w:themeTint="A6"/>
      <w:spacing w:val="10"/>
      <w:sz w:val="21"/>
      <w:szCs w:val="21"/>
      <w14:textFill>
        <w14:solidFill>
          <w14:schemeClr w14:val="tx1">
            <w14:lumMod w14:val="65000"/>
            <w14:lumOff w14:val="35000"/>
          </w14:schemeClr>
        </w14:solidFill>
      </w14:textFill>
    </w:rPr>
  </w:style>
  <w:style w:type="character" w:customStyle="1" w:styleId="76">
    <w:name w:val="标题 4 字符"/>
    <w:basedOn w:val="33"/>
    <w:link w:val="5"/>
    <w:uiPriority w:val="9"/>
    <w:rPr>
      <w:rFonts w:eastAsia="黑体"/>
      <w:b/>
      <w:caps/>
      <w:sz w:val="24"/>
    </w:rPr>
  </w:style>
  <w:style w:type="character" w:customStyle="1" w:styleId="77">
    <w:name w:val="标题 5 字符"/>
    <w:basedOn w:val="33"/>
    <w:link w:val="6"/>
    <w:uiPriority w:val="9"/>
    <w:rPr>
      <w:caps/>
      <w:color w:val="0B5395" w:themeColor="accent1" w:themeShade="BF"/>
      <w:spacing w:val="10"/>
    </w:rPr>
  </w:style>
  <w:style w:type="character" w:customStyle="1" w:styleId="78">
    <w:name w:val="标题 6 字符"/>
    <w:basedOn w:val="33"/>
    <w:link w:val="7"/>
    <w:semiHidden/>
    <w:uiPriority w:val="9"/>
    <w:rPr>
      <w:caps/>
      <w:color w:val="0B5395" w:themeColor="accent1" w:themeShade="BF"/>
      <w:spacing w:val="10"/>
    </w:rPr>
  </w:style>
  <w:style w:type="character" w:customStyle="1" w:styleId="79">
    <w:name w:val="标题 7 字符"/>
    <w:basedOn w:val="33"/>
    <w:link w:val="8"/>
    <w:semiHidden/>
    <w:uiPriority w:val="9"/>
    <w:rPr>
      <w:caps/>
      <w:color w:val="0B5395" w:themeColor="accent1" w:themeShade="BF"/>
      <w:spacing w:val="10"/>
    </w:rPr>
  </w:style>
  <w:style w:type="character" w:customStyle="1" w:styleId="80">
    <w:name w:val="标题 8 字符"/>
    <w:basedOn w:val="33"/>
    <w:link w:val="9"/>
    <w:semiHidden/>
    <w:uiPriority w:val="9"/>
    <w:rPr>
      <w:caps/>
      <w:spacing w:val="10"/>
      <w:sz w:val="18"/>
      <w:szCs w:val="18"/>
    </w:rPr>
  </w:style>
  <w:style w:type="character" w:customStyle="1" w:styleId="81">
    <w:name w:val="标题 9 字符"/>
    <w:basedOn w:val="33"/>
    <w:link w:val="10"/>
    <w:semiHidden/>
    <w:uiPriority w:val="9"/>
    <w:rPr>
      <w:i/>
      <w:iCs/>
      <w:caps/>
      <w:spacing w:val="10"/>
      <w:sz w:val="18"/>
      <w:szCs w:val="18"/>
    </w:rPr>
  </w:style>
  <w:style w:type="character" w:customStyle="1" w:styleId="82">
    <w:name w:val="标题 字符"/>
    <w:basedOn w:val="33"/>
    <w:link w:val="32"/>
    <w:uiPriority w:val="10"/>
    <w:rPr>
      <w:rFonts w:asciiTheme="majorHAnsi" w:hAnsiTheme="majorHAnsi" w:eastAsiaTheme="majorEastAsia" w:cstheme="majorBidi"/>
      <w:caps/>
      <w:color w:val="0F6FC6" w:themeColor="accent1"/>
      <w:spacing w:val="10"/>
      <w:sz w:val="52"/>
      <w:szCs w:val="52"/>
      <w14:textFill>
        <w14:solidFill>
          <w14:schemeClr w14:val="accent1"/>
        </w14:solidFill>
      </w14:textFill>
    </w:rPr>
  </w:style>
  <w:style w:type="paragraph" w:styleId="83">
    <w:name w:val="No Spacing"/>
    <w:link w:val="102"/>
    <w:uiPriority w:val="1"/>
    <w:pPr>
      <w:spacing w:before="100" w:after="0" w:line="240" w:lineRule="auto"/>
    </w:pPr>
    <w:rPr>
      <w:rFonts w:asciiTheme="minorHAnsi" w:hAnsiTheme="minorHAnsi" w:eastAsiaTheme="minorEastAsia" w:cstheme="minorBidi"/>
      <w:lang w:val="en-US" w:eastAsia="zh-CN" w:bidi="ar-SA"/>
    </w:rPr>
  </w:style>
  <w:style w:type="paragraph" w:styleId="84">
    <w:name w:val="Quote"/>
    <w:basedOn w:val="1"/>
    <w:next w:val="1"/>
    <w:link w:val="85"/>
    <w:uiPriority w:val="29"/>
    <w:rPr>
      <w:i/>
      <w:iCs/>
      <w:szCs w:val="24"/>
    </w:rPr>
  </w:style>
  <w:style w:type="character" w:customStyle="1" w:styleId="85">
    <w:name w:val="引用 字符"/>
    <w:basedOn w:val="33"/>
    <w:link w:val="84"/>
    <w:uiPriority w:val="29"/>
    <w:rPr>
      <w:i/>
      <w:iCs/>
      <w:sz w:val="24"/>
      <w:szCs w:val="24"/>
    </w:rPr>
  </w:style>
  <w:style w:type="paragraph" w:styleId="86">
    <w:name w:val="Intense Quote"/>
    <w:basedOn w:val="1"/>
    <w:next w:val="1"/>
    <w:link w:val="87"/>
    <w:uiPriority w:val="30"/>
    <w:pPr>
      <w:spacing w:before="240" w:after="240" w:line="240" w:lineRule="auto"/>
      <w:ind w:left="1080" w:right="1080"/>
      <w:jc w:val="center"/>
    </w:pPr>
    <w:rPr>
      <w:color w:val="0F6FC6" w:themeColor="accent1"/>
      <w:szCs w:val="24"/>
      <w14:textFill>
        <w14:solidFill>
          <w14:schemeClr w14:val="accent1"/>
        </w14:solidFill>
      </w14:textFill>
    </w:rPr>
  </w:style>
  <w:style w:type="character" w:customStyle="1" w:styleId="87">
    <w:name w:val="明显引用 字符"/>
    <w:basedOn w:val="33"/>
    <w:link w:val="86"/>
    <w:uiPriority w:val="30"/>
    <w:rPr>
      <w:color w:val="0F6FC6" w:themeColor="accent1"/>
      <w:sz w:val="24"/>
      <w:szCs w:val="24"/>
      <w14:textFill>
        <w14:solidFill>
          <w14:schemeClr w14:val="accent1"/>
        </w14:solidFill>
      </w14:textFill>
    </w:rPr>
  </w:style>
  <w:style w:type="character" w:customStyle="1" w:styleId="88">
    <w:name w:val="Subtle Emphasis"/>
    <w:uiPriority w:val="19"/>
    <w:rPr>
      <w:i/>
      <w:iCs/>
      <w:color w:val="083863" w:themeColor="accent1" w:themeShade="80"/>
    </w:rPr>
  </w:style>
  <w:style w:type="character" w:customStyle="1" w:styleId="89">
    <w:name w:val="Subtle Reference"/>
    <w:uiPriority w:val="31"/>
    <w:rPr>
      <w:b/>
      <w:bCs/>
      <w:color w:val="0F6FC6" w:themeColor="accent1"/>
      <w14:textFill>
        <w14:solidFill>
          <w14:schemeClr w14:val="accent1"/>
        </w14:solidFill>
      </w14:textFill>
    </w:rPr>
  </w:style>
  <w:style w:type="character" w:customStyle="1" w:styleId="90">
    <w:name w:val="Intense Reference"/>
    <w:uiPriority w:val="32"/>
    <w:rPr>
      <w:b/>
      <w:bCs/>
      <w:i/>
      <w:iCs/>
      <w:caps/>
      <w:color w:val="0F6FC6" w:themeColor="accent1"/>
      <w14:textFill>
        <w14:solidFill>
          <w14:schemeClr w14:val="accent1"/>
        </w14:solidFill>
      </w14:textFill>
    </w:rPr>
  </w:style>
  <w:style w:type="character" w:customStyle="1" w:styleId="91">
    <w:name w:val="Book Title"/>
    <w:uiPriority w:val="33"/>
    <w:rPr>
      <w:b/>
      <w:bCs/>
      <w:i/>
      <w:iCs/>
      <w:spacing w:val="0"/>
    </w:rPr>
  </w:style>
  <w:style w:type="paragraph" w:customStyle="1" w:styleId="92">
    <w:name w:val="TOC Heading"/>
    <w:next w:val="1"/>
    <w:unhideWhenUsed/>
    <w:uiPriority w:val="39"/>
    <w:pPr>
      <w:shd w:val="clear" w:color="auto" w:fill="227FC2"/>
      <w:spacing w:before="0" w:after="150" w:afterLines="150" w:line="288" w:lineRule="auto"/>
      <w:jc w:val="center"/>
      <w:outlineLvl w:val="0"/>
    </w:pPr>
    <w:rPr>
      <w:rFonts w:eastAsia="黑体" w:asciiTheme="minorHAnsi" w:hAnsiTheme="minorHAnsi" w:cstheme="minorBidi"/>
      <w:b/>
      <w:caps/>
      <w:color w:val="FFFFFF" w:themeColor="background1"/>
      <w:spacing w:val="15"/>
      <w:sz w:val="36"/>
      <w:szCs w:val="22"/>
      <w:lang w:val="en-US" w:eastAsia="zh-CN" w:bidi="ar-SA"/>
      <w14:textFill>
        <w14:solidFill>
          <w14:schemeClr w14:val="bg1"/>
        </w14:solidFill>
      </w14:textFill>
    </w:rPr>
  </w:style>
  <w:style w:type="table" w:customStyle="1" w:styleId="93">
    <w:name w:val="List Table 3 Accent 2"/>
    <w:basedOn w:val="41"/>
    <w:uiPriority w:val="48"/>
    <w:pPr>
      <w:spacing w:after="0" w:line="240" w:lineRule="auto"/>
    </w:pPr>
    <w:tblPr>
      <w:tblBorders>
        <w:top w:val="single" w:color="009DD9" w:themeColor="accent2" w:sz="4" w:space="0"/>
        <w:left w:val="single" w:color="009DD9" w:themeColor="accent2" w:sz="4" w:space="0"/>
        <w:bottom w:val="single" w:color="009DD9" w:themeColor="accent2" w:sz="4" w:space="0"/>
        <w:right w:val="single" w:color="009DD9" w:themeColor="accent2" w:sz="4" w:space="0"/>
      </w:tblBorders>
      <w:tblLayout w:type="fixed"/>
    </w:tblPr>
    <w:tblStylePr w:type="firstRow">
      <w:rPr>
        <w:b/>
        <w:bCs/>
        <w:color w:val="FFFFFF" w:themeColor="background1"/>
        <w14:textFill>
          <w14:solidFill>
            <w14:schemeClr w14:val="bg1"/>
          </w14:solidFill>
        </w14:textFill>
      </w:rPr>
      <w:tcPr>
        <w:shd w:val="clear" w:color="auto" w:fill="009DD9" w:themeFill="accent2"/>
      </w:tcPr>
    </w:tblStylePr>
    <w:tblStylePr w:type="lastRow">
      <w:rPr>
        <w:b/>
        <w:bCs/>
      </w:rPr>
      <w:tcPr>
        <w:tcBorders>
          <w:top w:val="double" w:color="009DD9"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9DD9" w:themeColor="accent2" w:sz="4" w:space="0"/>
          <w:right w:val="single" w:color="009DD9" w:themeColor="accent2" w:sz="4" w:space="0"/>
        </w:tcBorders>
      </w:tcPr>
    </w:tblStylePr>
    <w:tblStylePr w:type="band1Horz">
      <w:tcPr>
        <w:tcBorders>
          <w:top w:val="single" w:color="009DD9" w:themeColor="accent2" w:sz="4" w:space="0"/>
          <w:bottom w:val="single" w:color="009DD9"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9DD9" w:themeColor="accent2" w:sz="4" w:space="0"/>
          <w:left w:val="nil"/>
        </w:tcBorders>
      </w:tcPr>
    </w:tblStylePr>
    <w:tblStylePr w:type="swCell">
      <w:tcPr>
        <w:tcBorders>
          <w:top w:val="double" w:color="009DD9" w:themeColor="accent2" w:sz="4" w:space="0"/>
          <w:right w:val="nil"/>
        </w:tcBorders>
      </w:tcPr>
    </w:tblStylePr>
  </w:style>
  <w:style w:type="paragraph" w:customStyle="1" w:styleId="94">
    <w:name w:val="样式1"/>
    <w:basedOn w:val="2"/>
    <w:link w:val="96"/>
    <w:uiPriority w:val="0"/>
    <w:rPr>
      <w:sz w:val="40"/>
    </w:rPr>
  </w:style>
  <w:style w:type="table" w:customStyle="1" w:styleId="95">
    <w:name w:val="List Table 2 Accent 6"/>
    <w:basedOn w:val="41"/>
    <w:uiPriority w:val="47"/>
    <w:pPr>
      <w:spacing w:after="0" w:line="240" w:lineRule="auto"/>
    </w:pPr>
    <w:tblPr>
      <w:tblBorders>
        <w:top w:val="single" w:color="C8DA91" w:themeColor="accent6" w:themeTint="99" w:sz="4" w:space="0"/>
        <w:bottom w:val="single" w:color="C8DA91" w:themeColor="accent6" w:themeTint="99" w:sz="4" w:space="0"/>
        <w:insideH w:val="single" w:color="C8DA91" w:themeColor="accent6"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F2DA" w:themeFill="accent6" w:themeFillTint="33"/>
      </w:tcPr>
    </w:tblStylePr>
    <w:tblStylePr w:type="band1Horz">
      <w:tcPr>
        <w:shd w:val="clear" w:color="auto" w:fill="ECF2DA" w:themeFill="accent6" w:themeFillTint="33"/>
      </w:tcPr>
    </w:tblStylePr>
  </w:style>
  <w:style w:type="character" w:customStyle="1" w:styleId="96">
    <w:name w:val="样式1 Char"/>
    <w:basedOn w:val="46"/>
    <w:link w:val="94"/>
    <w:uiPriority w:val="0"/>
    <w:rPr>
      <w:rFonts w:eastAsia="黑体"/>
      <w:color w:val="FFFFFF" w:themeColor="background1"/>
      <w:spacing w:val="15"/>
      <w:sz w:val="40"/>
      <w:szCs w:val="22"/>
      <w:shd w:val="clear" w:color="auto" w:fill="0F6FC6" w:themeFill="accent1"/>
      <w14:textFill>
        <w14:solidFill>
          <w14:schemeClr w14:val="bg1"/>
        </w14:solidFill>
      </w14:textFill>
    </w:rPr>
  </w:style>
  <w:style w:type="table" w:customStyle="1" w:styleId="97">
    <w:name w:val="List Table 3 Accent 1"/>
    <w:basedOn w:val="41"/>
    <w:uiPriority w:val="48"/>
    <w:pPr>
      <w:spacing w:after="0" w:line="240" w:lineRule="auto"/>
    </w:pPr>
    <w:tblPr>
      <w:tblBorders>
        <w:top w:val="single" w:color="0F6FC6" w:themeColor="accent1" w:sz="4" w:space="0"/>
        <w:left w:val="single" w:color="0F6FC6" w:themeColor="accent1" w:sz="4" w:space="0"/>
        <w:bottom w:val="single" w:color="0F6FC6" w:themeColor="accent1" w:sz="4" w:space="0"/>
        <w:right w:val="single" w:color="0F6FC6" w:themeColor="accent1" w:sz="4" w:space="0"/>
      </w:tblBorders>
      <w:tblLayout w:type="fixed"/>
    </w:tblPr>
    <w:tblStylePr w:type="firstRow">
      <w:rPr>
        <w:b/>
        <w:bCs/>
        <w:color w:val="FFFFFF" w:themeColor="background1"/>
        <w14:textFill>
          <w14:solidFill>
            <w14:schemeClr w14:val="bg1"/>
          </w14:solidFill>
        </w14:textFill>
      </w:rPr>
      <w:tcPr>
        <w:shd w:val="clear" w:color="auto" w:fill="0F6FC6" w:themeFill="accent1"/>
      </w:tcPr>
    </w:tblStylePr>
    <w:tblStylePr w:type="lastRow">
      <w:rPr>
        <w:b/>
        <w:bCs/>
      </w:rPr>
      <w:tcPr>
        <w:tcBorders>
          <w:top w:val="double" w:color="0F6FC6"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F6FC6" w:themeColor="accent1" w:sz="4" w:space="0"/>
          <w:right w:val="single" w:color="0F6FC6" w:themeColor="accent1" w:sz="4" w:space="0"/>
        </w:tcBorders>
      </w:tcPr>
    </w:tblStylePr>
    <w:tblStylePr w:type="band1Horz">
      <w:tcPr>
        <w:tcBorders>
          <w:top w:val="single" w:color="0F6FC6" w:themeColor="accent1" w:sz="4" w:space="0"/>
          <w:bottom w:val="single" w:color="0F6FC6"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F6FC6" w:themeColor="accent1" w:sz="4" w:space="0"/>
          <w:left w:val="nil"/>
        </w:tcBorders>
      </w:tcPr>
    </w:tblStylePr>
    <w:tblStylePr w:type="swCell">
      <w:tcPr>
        <w:tcBorders>
          <w:top w:val="double" w:color="0F6FC6" w:themeColor="accent1" w:sz="4" w:space="0"/>
          <w:right w:val="nil"/>
        </w:tcBorders>
      </w:tcPr>
    </w:tblStylePr>
  </w:style>
  <w:style w:type="character" w:customStyle="1" w:styleId="98">
    <w:name w:val="批注文字 字符"/>
    <w:basedOn w:val="33"/>
    <w:link w:val="12"/>
    <w:semiHidden/>
    <w:uiPriority w:val="99"/>
  </w:style>
  <w:style w:type="character" w:customStyle="1" w:styleId="99">
    <w:name w:val="批注主题 字符"/>
    <w:basedOn w:val="98"/>
    <w:link w:val="11"/>
    <w:semiHidden/>
    <w:uiPriority w:val="99"/>
    <w:rPr>
      <w:b/>
      <w:bCs/>
    </w:rPr>
  </w:style>
  <w:style w:type="paragraph" w:customStyle="1" w:styleId="100">
    <w:name w:val="南开大学正文"/>
    <w:basedOn w:val="1"/>
    <w:link w:val="101"/>
    <w:uiPriority w:val="0"/>
    <w:pPr>
      <w:adjustRightInd w:val="0"/>
      <w:snapToGrid w:val="0"/>
      <w:spacing w:beforeLines="50" w:afterLines="50"/>
      <w:ind w:firstLine="480"/>
      <w:jc w:val="both"/>
    </w:pPr>
    <w:rPr>
      <w:rFonts w:ascii="宋体" w:hAnsi="宋体" w:eastAsia="宋体" w:cs="Times New Roman"/>
      <w:szCs w:val="24"/>
    </w:rPr>
  </w:style>
  <w:style w:type="character" w:customStyle="1" w:styleId="101">
    <w:name w:val="南开大学正文 Char"/>
    <w:link w:val="100"/>
    <w:uiPriority w:val="0"/>
    <w:rPr>
      <w:rFonts w:ascii="宋体" w:hAnsi="宋体" w:eastAsia="宋体" w:cs="Times New Roman"/>
      <w:sz w:val="24"/>
      <w:szCs w:val="24"/>
    </w:rPr>
  </w:style>
  <w:style w:type="character" w:customStyle="1" w:styleId="102">
    <w:name w:val="无间隔 字符"/>
    <w:basedOn w:val="33"/>
    <w:link w:val="83"/>
    <w:uiPriority w:val="1"/>
  </w:style>
  <w:style w:type="paragraph" w:customStyle="1" w:styleId="103">
    <w:name w:val="结论"/>
    <w:next w:val="1"/>
    <w:link w:val="105"/>
    <w:uiPriority w:val="0"/>
    <w:pPr>
      <w:pBdr>
        <w:top w:val="dotted" w:color="227FC2" w:sz="4" w:space="1"/>
      </w:pBdr>
      <w:spacing w:before="100" w:beforeLines="100" w:after="50" w:afterLines="50" w:line="400" w:lineRule="atLeast"/>
      <w:ind w:firstLine="200" w:firstLineChars="200"/>
    </w:pPr>
    <w:rPr>
      <w:rFonts w:eastAsia="楷体" w:asciiTheme="minorHAnsi" w:hAnsiTheme="minorHAnsi" w:cstheme="minorBidi"/>
      <w:b/>
      <w:caps/>
      <w:color w:val="227FC2"/>
      <w:sz w:val="22"/>
      <w:lang w:val="en-US" w:eastAsia="zh-CN" w:bidi="ar-SA"/>
    </w:rPr>
  </w:style>
  <w:style w:type="paragraph" w:customStyle="1" w:styleId="104">
    <w:name w:val="备注"/>
    <w:next w:val="1"/>
    <w:link w:val="107"/>
    <w:uiPriority w:val="0"/>
    <w:pPr>
      <w:numPr>
        <w:ilvl w:val="0"/>
        <w:numId w:val="1"/>
      </w:numPr>
      <w:spacing w:before="50" w:beforeLines="50" w:after="50" w:afterLines="50" w:line="288" w:lineRule="auto"/>
      <w:ind w:left="0" w:firstLine="0"/>
    </w:pPr>
    <w:rPr>
      <w:rFonts w:asciiTheme="minorHAnsi" w:hAnsiTheme="minorHAnsi" w:eastAsiaTheme="minorEastAsia" w:cstheme="minorBidi"/>
      <w:caps/>
      <w:sz w:val="18"/>
      <w:lang w:val="en-US" w:eastAsia="zh-CN" w:bidi="ar-SA"/>
    </w:rPr>
  </w:style>
  <w:style w:type="character" w:customStyle="1" w:styleId="105">
    <w:name w:val="结论 Char"/>
    <w:basedOn w:val="33"/>
    <w:link w:val="103"/>
    <w:uiPriority w:val="0"/>
    <w:rPr>
      <w:rFonts w:eastAsia="楷体"/>
      <w:b/>
      <w:caps/>
      <w:color w:val="227FC2"/>
      <w:sz w:val="22"/>
    </w:rPr>
  </w:style>
  <w:style w:type="paragraph" w:customStyle="1" w:styleId="106">
    <w:name w:val="注"/>
    <w:next w:val="1"/>
    <w:link w:val="109"/>
    <w:uiPriority w:val="0"/>
    <w:pPr>
      <w:spacing w:before="0" w:after="0" w:line="288" w:lineRule="auto"/>
    </w:pPr>
    <w:rPr>
      <w:rFonts w:ascii="Times New Roman" w:hAnsi="Times New Roman" w:eastAsiaTheme="minorEastAsia" w:cstheme="minorBidi"/>
      <w:caps/>
      <w:sz w:val="18"/>
      <w:lang w:val="en-US" w:eastAsia="zh-CN" w:bidi="ar-SA"/>
    </w:rPr>
  </w:style>
  <w:style w:type="character" w:customStyle="1" w:styleId="107">
    <w:name w:val="备注 Char"/>
    <w:basedOn w:val="33"/>
    <w:link w:val="104"/>
    <w:uiPriority w:val="0"/>
    <w:rPr>
      <w:caps/>
      <w:sz w:val="18"/>
    </w:rPr>
  </w:style>
  <w:style w:type="paragraph" w:customStyle="1" w:styleId="108">
    <w:name w:val="表格字体"/>
    <w:basedOn w:val="1"/>
    <w:next w:val="1"/>
    <w:link w:val="111"/>
    <w:uiPriority w:val="0"/>
    <w:pPr>
      <w:spacing w:line="240" w:lineRule="atLeast"/>
      <w:ind w:firstLine="0" w:firstLineChars="0"/>
      <w:jc w:val="center"/>
    </w:pPr>
    <w:rPr>
      <w:sz w:val="21"/>
    </w:rPr>
  </w:style>
  <w:style w:type="character" w:customStyle="1" w:styleId="109">
    <w:name w:val="注 Char"/>
    <w:basedOn w:val="33"/>
    <w:link w:val="106"/>
    <w:uiPriority w:val="0"/>
    <w:rPr>
      <w:rFonts w:ascii="Times New Roman" w:hAnsi="Times New Roman"/>
      <w:caps/>
      <w:sz w:val="18"/>
    </w:rPr>
  </w:style>
  <w:style w:type="table" w:customStyle="1" w:styleId="110">
    <w:name w:val="Grid Table 4 Accent 1"/>
    <w:basedOn w:val="41"/>
    <w:uiPriority w:val="49"/>
    <w:pPr>
      <w:spacing w:after="0" w:line="240" w:lineRule="auto"/>
      <w:jc w:val="center"/>
    </w:pPr>
    <w:tblPr>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Layout w:type="fixed"/>
    </w:tblPr>
    <w:tcPr>
      <w:vAlign w:val="center"/>
    </w:tcPr>
    <w:tblStylePr w:type="firstRow">
      <w:rPr>
        <w:b/>
        <w:bCs/>
        <w:color w:val="FFFFFF" w:themeColor="background1"/>
        <w14:textFill>
          <w14:solidFill>
            <w14:schemeClr w14:val="bg1"/>
          </w14:solidFill>
        </w14:textFill>
      </w:rPr>
      <w:tcPr>
        <w:tcBorders>
          <w:top w:val="single" w:color="0F6FC6" w:themeColor="accent1" w:sz="4" w:space="0"/>
          <w:left w:val="single" w:color="0F6FC6" w:themeColor="accent1" w:sz="4" w:space="0"/>
          <w:bottom w:val="single" w:color="0F6FC6" w:themeColor="accent1" w:sz="4" w:space="0"/>
          <w:right w:val="single" w:color="0F6FC6" w:themeColor="accent1" w:sz="4" w:space="0"/>
          <w:insideH w:val="nil"/>
          <w:insideV w:val="nil"/>
        </w:tcBorders>
        <w:shd w:val="clear" w:color="auto" w:fill="0F6FC6" w:themeFill="accent1"/>
      </w:tcPr>
    </w:tblStylePr>
    <w:tblStylePr w:type="lastRow">
      <w:rPr>
        <w:b/>
        <w:bCs/>
      </w:rPr>
      <w:tcPr>
        <w:tcBorders>
          <w:top w:val="double" w:color="0F6FC6" w:themeColor="accent1" w:sz="4" w:space="0"/>
        </w:tcBorders>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character" w:customStyle="1" w:styleId="111">
    <w:name w:val="表格字体 Char"/>
    <w:basedOn w:val="33"/>
    <w:link w:val="108"/>
    <w:uiPriority w:val="0"/>
    <w:rPr>
      <w:sz w:val="21"/>
    </w:rPr>
  </w:style>
  <w:style w:type="character" w:customStyle="1" w:styleId="112">
    <w:name w:val="尾注文本 字符"/>
    <w:basedOn w:val="33"/>
    <w:link w:val="18"/>
    <w:semiHidden/>
    <w:uiPriority w:val="99"/>
    <w:rPr>
      <w:sz w:val="24"/>
    </w:rPr>
  </w:style>
  <w:style w:type="paragraph" w:customStyle="1" w:styleId="113">
    <w:name w:val="五级标题"/>
    <w:basedOn w:val="5"/>
    <w:link w:val="114"/>
    <w:uiPriority w:val="0"/>
    <w:pPr>
      <w:spacing w:before="50" w:beforeLines="50" w:after="50" w:afterLines="50"/>
    </w:pPr>
  </w:style>
  <w:style w:type="character" w:customStyle="1" w:styleId="114">
    <w:name w:val="五级标题 Char"/>
    <w:basedOn w:val="76"/>
    <w:link w:val="113"/>
    <w:uiPriority w:val="0"/>
    <w:rPr>
      <w:rFonts w:eastAsia="黑体"/>
      <w:sz w:val="24"/>
    </w:rPr>
  </w:style>
  <w:style w:type="table" w:customStyle="1" w:styleId="115">
    <w:name w:val="网格表 4 - 着色 11"/>
    <w:basedOn w:val="41"/>
    <w:uiPriority w:val="49"/>
    <w:pPr>
      <w:spacing w:before="0" w:after="0" w:line="240" w:lineRule="auto"/>
    </w:pPr>
    <w:rPr>
      <w:kern w:val="2"/>
      <w:sz w:val="21"/>
      <w:szCs w:val="22"/>
    </w:rPr>
    <w:tblPr>
      <w:tblBorders>
        <w:top w:val="single" w:color="0F6FC6" w:themeColor="accent1" w:sz="4" w:space="0"/>
        <w:left w:val="single" w:color="0F6FC6" w:themeColor="accent1" w:sz="4" w:space="0"/>
        <w:bottom w:val="single" w:color="0F6FC6" w:themeColor="accent1" w:sz="4" w:space="0"/>
        <w:right w:val="single" w:color="0F6FC6" w:themeColor="accent1" w:sz="4" w:space="0"/>
        <w:insideH w:val="single" w:color="0F6FC6" w:themeColor="accent1" w:sz="4" w:space="0"/>
        <w:insideV w:val="single" w:color="0F6FC6" w:themeColor="accent1" w:sz="4" w:space="0"/>
      </w:tblBorders>
      <w:tblLayout w:type="fixed"/>
    </w:tblPr>
    <w:tcPr>
      <w:shd w:val="pct60" w:color="C7E2FA" w:themeColor="accent1" w:themeTint="33" w:fill="auto"/>
    </w:tcPr>
    <w:tblStylePr w:type="firstRow">
      <w:rPr>
        <w:b/>
        <w:bCs/>
        <w:color w:val="FFFFFF" w:themeColor="background1"/>
        <w14:textFill>
          <w14:solidFill>
            <w14:schemeClr w14:val="bg1"/>
          </w14:solidFill>
        </w14:textFill>
      </w:rPr>
      <w:tcPr>
        <w:tcBorders>
          <w:top w:val="single" w:color="0F6FC6" w:themeColor="accent1" w:sz="4" w:space="0"/>
          <w:left w:val="single" w:color="0F6FC6" w:themeColor="accent1" w:sz="4" w:space="0"/>
          <w:bottom w:val="single" w:color="0F6FC6" w:themeColor="accent1" w:sz="4" w:space="0"/>
          <w:right w:val="single" w:color="0F6FC6" w:themeColor="accent1" w:sz="4" w:space="0"/>
          <w:insideH w:val="nil"/>
          <w:insideV w:val="nil"/>
        </w:tcBorders>
        <w:shd w:val="clear" w:color="auto" w:fill="0F6FC6" w:themeFill="accent1"/>
      </w:tcPr>
    </w:tblStylePr>
    <w:tblStylePr w:type="lastRow">
      <w:rPr>
        <w:b/>
        <w:bCs/>
      </w:rPr>
      <w:tcPr>
        <w:tcBorders>
          <w:top w:val="double" w:color="0F6FC6" w:themeColor="accent1" w:sz="4" w:space="0"/>
        </w:tcBorders>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table" w:customStyle="1" w:styleId="116">
    <w:name w:val="Grid Table 4 Accent 5"/>
    <w:basedOn w:val="41"/>
    <w:uiPriority w:val="49"/>
    <w:pPr>
      <w:spacing w:before="0" w:after="0" w:line="240" w:lineRule="auto"/>
      <w:jc w:val="center"/>
    </w:pPr>
    <w:rPr>
      <w:kern w:val="2"/>
      <w:sz w:val="21"/>
      <w:szCs w:val="22"/>
    </w:rPr>
    <w:tblPr>
      <w:jc w:val="center"/>
      <w:tblBorders>
        <w:top w:val="single" w:color="B0DFA0" w:themeColor="accent5" w:themeTint="99" w:sz="4" w:space="0"/>
        <w:left w:val="single" w:color="B0DFA0" w:themeColor="accent5" w:themeTint="99" w:sz="4" w:space="0"/>
        <w:bottom w:val="single" w:color="B0DFA0" w:themeColor="accent5" w:themeTint="99" w:sz="4" w:space="0"/>
        <w:right w:val="single" w:color="B0DFA0" w:themeColor="accent5" w:themeTint="99" w:sz="4" w:space="0"/>
        <w:insideH w:val="single" w:color="B0DFA0" w:themeColor="accent5" w:themeTint="99" w:sz="4" w:space="0"/>
        <w:insideV w:val="single" w:color="B0DFA0" w:themeColor="accent5" w:themeTint="99" w:sz="4" w:space="0"/>
      </w:tblBorders>
      <w:tblLayout w:type="fixed"/>
    </w:tblPr>
    <w:trPr>
      <w:jc w:val="center"/>
    </w:trPr>
    <w:tcPr>
      <w:vAlign w:val="center"/>
    </w:tcPr>
    <w:tblStylePr w:type="firstRow">
      <w:rPr>
        <w:b/>
        <w:bCs/>
        <w:color w:val="FFFFFF" w:themeColor="background1"/>
        <w14:textFill>
          <w14:solidFill>
            <w14:schemeClr w14:val="bg1"/>
          </w14:solidFill>
        </w14:textFill>
      </w:rPr>
      <w:tcPr>
        <w:tcBorders>
          <w:top w:val="single" w:color="7CCA62" w:themeColor="accent5" w:sz="4" w:space="0"/>
          <w:left w:val="single" w:color="7CCA62" w:themeColor="accent5" w:sz="4" w:space="0"/>
          <w:bottom w:val="single" w:color="7CCA62" w:themeColor="accent5" w:sz="4" w:space="0"/>
          <w:right w:val="single" w:color="7CCA62" w:themeColor="accent5" w:sz="4" w:space="0"/>
          <w:insideH w:val="nil"/>
          <w:insideV w:val="nil"/>
        </w:tcBorders>
        <w:shd w:val="clear" w:color="auto" w:fill="7CCA62" w:themeFill="accent5"/>
      </w:tcPr>
    </w:tblStylePr>
    <w:tblStylePr w:type="lastRow">
      <w:rPr>
        <w:b/>
        <w:bCs/>
      </w:rPr>
      <w:tcPr>
        <w:tcBorders>
          <w:top w:val="double" w:color="7CCA62" w:themeColor="accent5" w:sz="4" w:space="0"/>
        </w:tcBorders>
      </w:tcPr>
    </w:tblStylePr>
    <w:tblStylePr w:type="firstCol">
      <w:rPr>
        <w:b/>
        <w:bCs/>
      </w:rPr>
    </w:tblStylePr>
    <w:tblStylePr w:type="lastCol">
      <w:rPr>
        <w:b/>
        <w:bCs/>
      </w:rPr>
    </w:tblStylePr>
    <w:tblStylePr w:type="band1Vert">
      <w:tcPr>
        <w:shd w:val="clear" w:color="auto" w:fill="E4F4DF" w:themeFill="accent5" w:themeFillTint="33"/>
      </w:tcPr>
    </w:tblStylePr>
    <w:tblStylePr w:type="band1Horz">
      <w:tcPr>
        <w:shd w:val="clear" w:color="auto" w:fill="E4F4DF" w:themeFill="accent5" w:themeFillTint="33"/>
      </w:tcPr>
    </w:tblStylePr>
  </w:style>
  <w:style w:type="paragraph" w:customStyle="1" w:styleId="117">
    <w:name w:val="就业办图表标题"/>
    <w:basedOn w:val="1"/>
    <w:link w:val="118"/>
    <w:uiPriority w:val="0"/>
    <w:pPr>
      <w:spacing w:after="156" w:line="240" w:lineRule="auto"/>
      <w:ind w:firstLine="0" w:firstLineChars="0"/>
      <w:jc w:val="center"/>
    </w:pPr>
    <w:rPr>
      <w:rFonts w:ascii="黑体" w:hAnsi="黑体" w:eastAsia="黑体" w:cs="Times New Roman"/>
      <w:sz w:val="21"/>
      <w:szCs w:val="21"/>
    </w:rPr>
  </w:style>
  <w:style w:type="character" w:customStyle="1" w:styleId="118">
    <w:name w:val="就业办图表标题 Char"/>
    <w:link w:val="117"/>
    <w:uiPriority w:val="0"/>
    <w:rPr>
      <w:rFonts w:ascii="黑体" w:hAnsi="黑体" w:eastAsia="黑体" w:cs="Times New Roman"/>
      <w:sz w:val="21"/>
      <w:szCs w:val="21"/>
    </w:rPr>
  </w:style>
  <w:style w:type="paragraph" w:customStyle="1" w:styleId="119">
    <w:name w:val="L正文"/>
    <w:basedOn w:val="1"/>
    <w:link w:val="120"/>
    <w:uiPriority w:val="0"/>
    <w:pPr>
      <w:spacing w:before="156" w:beforeLines="50" w:after="156" w:afterLines="50"/>
      <w:ind w:firstLine="480"/>
      <w:jc w:val="both"/>
    </w:pPr>
    <w:rPr>
      <w:rFonts w:cs="宋体" w:asciiTheme="minorEastAsia" w:hAnsiTheme="minorEastAsia"/>
      <w:color w:val="000000" w:themeColor="text1"/>
      <w:szCs w:val="21"/>
      <w14:textFill>
        <w14:solidFill>
          <w14:schemeClr w14:val="tx1"/>
        </w14:solidFill>
      </w14:textFill>
    </w:rPr>
  </w:style>
  <w:style w:type="character" w:customStyle="1" w:styleId="120">
    <w:name w:val="L正文 Char"/>
    <w:basedOn w:val="33"/>
    <w:link w:val="119"/>
    <w:uiPriority w:val="0"/>
    <w:rPr>
      <w:rFonts w:cs="宋体" w:asciiTheme="minorEastAsia" w:hAnsiTheme="minorEastAsia"/>
      <w:color w:val="000000" w:themeColor="text1"/>
      <w:sz w:val="24"/>
      <w:szCs w:val="21"/>
      <w14:textFill>
        <w14:solidFill>
          <w14:schemeClr w14:val="tx1"/>
        </w14:solidFill>
      </w14:textFill>
    </w:rPr>
  </w:style>
  <w:style w:type="paragraph" w:customStyle="1" w:styleId="121">
    <w:name w:val="我的正文"/>
    <w:basedOn w:val="1"/>
    <w:uiPriority w:val="0"/>
    <w:pPr>
      <w:spacing w:before="100" w:after="200"/>
      <w:jc w:val="both"/>
    </w:pPr>
    <w:rPr>
      <w:rFonts w:ascii="Times New Roman" w:hAnsi="Times New Roman" w:cs="宋体"/>
      <w:color w:val="000000" w:themeColor="text1"/>
      <w:szCs w:val="21"/>
      <w14:textFill>
        <w14:solidFill>
          <w14:schemeClr w14:val="tx1"/>
        </w14:solidFill>
      </w14:textFill>
    </w:rPr>
  </w:style>
  <w:style w:type="paragraph" w:customStyle="1" w:styleId="122">
    <w:name w:val="L4"/>
    <w:basedOn w:val="1"/>
    <w:link w:val="123"/>
    <w:uiPriority w:val="0"/>
    <w:pPr>
      <w:numPr>
        <w:ilvl w:val="0"/>
        <w:numId w:val="2"/>
      </w:numPr>
      <w:pBdr>
        <w:top w:val="dotted" w:color="0F6FC6" w:themeColor="accent1" w:sz="6" w:space="2"/>
      </w:pBdr>
      <w:spacing w:line="240" w:lineRule="auto"/>
      <w:ind w:left="0" w:firstLine="0" w:firstLineChars="0"/>
      <w:jc w:val="both"/>
      <w:outlineLvl w:val="3"/>
    </w:pPr>
    <w:rPr>
      <w:rFonts w:ascii="华文楷体" w:hAnsi="华文楷体" w:eastAsia="华文楷体"/>
      <w:b/>
      <w:caps/>
      <w:color w:val="006699"/>
      <w:spacing w:val="10"/>
      <w:sz w:val="22"/>
    </w:rPr>
  </w:style>
  <w:style w:type="character" w:customStyle="1" w:styleId="123">
    <w:name w:val="L4 Char"/>
    <w:basedOn w:val="33"/>
    <w:link w:val="122"/>
    <w:uiPriority w:val="0"/>
    <w:rPr>
      <w:rFonts w:ascii="华文楷体" w:hAnsi="华文楷体" w:eastAsia="华文楷体"/>
      <w:b/>
      <w:caps/>
      <w:color w:val="006699"/>
      <w:spacing w:val="10"/>
      <w:sz w:val="22"/>
    </w:rPr>
  </w:style>
  <w:style w:type="paragraph" w:customStyle="1" w:styleId="124">
    <w:name w:val="2"/>
    <w:basedOn w:val="50"/>
    <w:link w:val="125"/>
    <w:uiPriority w:val="0"/>
    <w:pPr>
      <w:tabs>
        <w:tab w:val="left" w:pos="4770"/>
      </w:tabs>
      <w:spacing w:before="100" w:beforeLines="100" w:after="100" w:afterLines="100" w:line="240" w:lineRule="auto"/>
      <w:ind w:firstLine="0" w:firstLineChars="0"/>
    </w:pPr>
    <w:rPr>
      <w:rFonts w:ascii="Times New Roman" w:hAnsi="Times New Roman"/>
    </w:rPr>
  </w:style>
  <w:style w:type="character" w:customStyle="1" w:styleId="125">
    <w:name w:val="2 Char"/>
    <w:basedOn w:val="51"/>
    <w:link w:val="124"/>
    <w:uiPriority w:val="0"/>
    <w:rPr>
      <w:rFonts w:ascii="Times New Roman" w:hAnsi="Times New Roman" w:eastAsia="黑体" w:cs="Times New Roman"/>
      <w:color w:val="000000" w:themeColor="text1"/>
      <w:sz w:val="30"/>
      <w:szCs w:val="30"/>
      <w14:textFill>
        <w14:solidFill>
          <w14:schemeClr w14:val="tx1"/>
        </w14:solidFill>
      </w14:textFill>
    </w:rPr>
  </w:style>
  <w:style w:type="paragraph" w:customStyle="1" w:styleId="126">
    <w:name w:val="我的一级标题"/>
    <w:basedOn w:val="1"/>
    <w:link w:val="127"/>
    <w:uiPriority w:val="0"/>
    <w:pPr>
      <w:shd w:val="clear" w:color="auto" w:fill="85A7D1"/>
      <w:spacing w:after="150" w:afterLines="150" w:line="400" w:lineRule="atLeast"/>
      <w:ind w:firstLine="0" w:firstLineChars="0"/>
      <w:jc w:val="center"/>
      <w:outlineLvl w:val="0"/>
    </w:pPr>
    <w:rPr>
      <w:rFonts w:ascii="黑体" w:hAnsi="黑体" w:eastAsia="黑体"/>
      <w:b/>
      <w:caps/>
      <w:spacing w:val="15"/>
      <w:sz w:val="36"/>
      <w:szCs w:val="36"/>
    </w:rPr>
  </w:style>
  <w:style w:type="character" w:customStyle="1" w:styleId="127">
    <w:name w:val="我的一级标题 Char"/>
    <w:basedOn w:val="33"/>
    <w:link w:val="126"/>
    <w:uiPriority w:val="0"/>
    <w:rPr>
      <w:rFonts w:ascii="黑体" w:hAnsi="黑体" w:eastAsia="黑体"/>
      <w:b/>
      <w:caps/>
      <w:spacing w:val="15"/>
      <w:sz w:val="36"/>
      <w:szCs w:val="36"/>
      <w:shd w:val="clear" w:color="auto" w:fill="85A7D1"/>
    </w:rPr>
  </w:style>
  <w:style w:type="paragraph" w:customStyle="1" w:styleId="128">
    <w:name w:val="3"/>
    <w:basedOn w:val="50"/>
    <w:link w:val="129"/>
    <w:uiPriority w:val="0"/>
    <w:pPr>
      <w:spacing w:before="50" w:after="50" w:line="240" w:lineRule="auto"/>
      <w:ind w:firstLine="0" w:firstLineChars="0"/>
    </w:pPr>
    <w:rPr>
      <w:rFonts w:ascii="Times New Roman" w:hAnsi="Times New Roman"/>
      <w:sz w:val="28"/>
    </w:rPr>
  </w:style>
  <w:style w:type="character" w:customStyle="1" w:styleId="129">
    <w:name w:val="3 Char"/>
    <w:basedOn w:val="51"/>
    <w:link w:val="128"/>
    <w:uiPriority w:val="0"/>
    <w:rPr>
      <w:rFonts w:ascii="Times New Roman" w:hAnsi="Times New Roman" w:eastAsia="黑体" w:cs="Times New Roman"/>
      <w:color w:val="000000" w:themeColor="text1"/>
      <w:sz w:val="28"/>
      <w:szCs w:val="30"/>
      <w14:textFill>
        <w14:solidFill>
          <w14:schemeClr w14:val="tx1"/>
        </w14:solidFill>
      </w14:textFill>
    </w:rPr>
  </w:style>
  <w:style w:type="paragraph" w:customStyle="1" w:styleId="130">
    <w:name w:val="L1级"/>
    <w:basedOn w:val="2"/>
    <w:link w:val="132"/>
    <w:uiPriority w:val="0"/>
    <w:pPr>
      <w:pBdr>
        <w:top w:val="single" w:color="FFFFFF" w:themeColor="background1" w:sz="24" w:space="0"/>
        <w:left w:val="single" w:color="FFFFFF" w:themeColor="background1" w:sz="24" w:space="0"/>
        <w:bottom w:val="single" w:color="FFFFFF" w:themeColor="background1" w:sz="24" w:space="0"/>
        <w:right w:val="single" w:color="FFFFFF" w:themeColor="background1" w:sz="24" w:space="0"/>
      </w:pBdr>
      <w:shd w:val="clear" w:color="auto" w:fill="FFFFFF" w:themeFill="background1"/>
      <w:spacing w:before="150" w:beforeLines="150" w:line="400" w:lineRule="atLeast"/>
      <w:ind w:firstLine="0" w:firstLineChars="0"/>
    </w:pPr>
  </w:style>
  <w:style w:type="paragraph" w:customStyle="1" w:styleId="131">
    <w:name w:val="L 正文"/>
    <w:basedOn w:val="1"/>
    <w:link w:val="134"/>
    <w:qFormat/>
    <w:uiPriority w:val="0"/>
    <w:pPr>
      <w:ind w:firstLine="480"/>
      <w:jc w:val="both"/>
    </w:pPr>
    <w:rPr>
      <w:rFonts w:ascii="Times New Roman" w:hAnsi="Times New Roman" w:eastAsia="宋体"/>
      <w:color w:val="000000"/>
      <w:szCs w:val="24"/>
    </w:rPr>
  </w:style>
  <w:style w:type="character" w:customStyle="1" w:styleId="132">
    <w:name w:val="L1级 Char"/>
    <w:basedOn w:val="46"/>
    <w:link w:val="130"/>
    <w:uiPriority w:val="0"/>
    <w:rPr>
      <w:rFonts w:eastAsia="黑体"/>
      <w:sz w:val="36"/>
      <w:szCs w:val="22"/>
      <w:shd w:val="clear" w:color="auto" w:fill="FFFFFF" w:themeFill="background1"/>
    </w:rPr>
  </w:style>
  <w:style w:type="paragraph" w:customStyle="1" w:styleId="133">
    <w:name w:val="L2级"/>
    <w:basedOn w:val="3"/>
    <w:link w:val="136"/>
    <w:qFormat/>
    <w:uiPriority w:val="0"/>
    <w:pPr>
      <w:spacing w:before="50" w:beforeLines="50" w:after="50" w:afterLines="50"/>
    </w:pPr>
    <w:rPr>
      <w:color w:val="0F6FC6" w:themeColor="accent1"/>
      <w:sz w:val="30"/>
      <w14:textFill>
        <w14:solidFill>
          <w14:schemeClr w14:val="accent1"/>
        </w14:solidFill>
      </w14:textFill>
    </w:rPr>
  </w:style>
  <w:style w:type="character" w:customStyle="1" w:styleId="134">
    <w:name w:val="L 正文 Char"/>
    <w:basedOn w:val="33"/>
    <w:link w:val="131"/>
    <w:uiPriority w:val="0"/>
    <w:rPr>
      <w:rFonts w:ascii="Times New Roman" w:hAnsi="Times New Roman" w:eastAsia="宋体"/>
      <w:color w:val="000000"/>
      <w:sz w:val="24"/>
      <w:szCs w:val="24"/>
    </w:rPr>
  </w:style>
  <w:style w:type="paragraph" w:customStyle="1" w:styleId="135">
    <w:name w:val="L3级"/>
    <w:basedOn w:val="1"/>
    <w:link w:val="138"/>
    <w:qFormat/>
    <w:uiPriority w:val="0"/>
    <w:pPr>
      <w:spacing w:before="50" w:beforeLines="50" w:line="400" w:lineRule="atLeast"/>
      <w:ind w:firstLine="0" w:firstLineChars="0"/>
      <w:outlineLvl w:val="2"/>
    </w:pPr>
    <w:rPr>
      <w:rFonts w:eastAsia="黑体"/>
      <w:b/>
      <w:color w:val="0F6FC6" w:themeColor="accent1"/>
      <w:sz w:val="28"/>
      <w14:textFill>
        <w14:solidFill>
          <w14:schemeClr w14:val="accent1"/>
        </w14:solidFill>
      </w14:textFill>
    </w:rPr>
  </w:style>
  <w:style w:type="character" w:customStyle="1" w:styleId="136">
    <w:name w:val="L2级 Char"/>
    <w:basedOn w:val="47"/>
    <w:link w:val="133"/>
    <w:uiPriority w:val="0"/>
    <w:rPr>
      <w:rFonts w:eastAsia="黑体"/>
      <w:color w:val="0F6FC6" w:themeColor="accent1"/>
      <w:sz w:val="30"/>
      <w14:textFill>
        <w14:solidFill>
          <w14:schemeClr w14:val="accent1"/>
        </w14:solidFill>
      </w14:textFill>
    </w:rPr>
  </w:style>
  <w:style w:type="paragraph" w:customStyle="1" w:styleId="137">
    <w:name w:val="L 图表标题"/>
    <w:basedOn w:val="131"/>
    <w:link w:val="140"/>
    <w:qFormat/>
    <w:uiPriority w:val="0"/>
    <w:pPr>
      <w:ind w:firstLine="0" w:firstLineChars="0"/>
      <w:jc w:val="center"/>
    </w:pPr>
    <w:rPr>
      <w:rFonts w:eastAsia="黑体"/>
      <w:b/>
      <w:color w:val="0F6FC6" w:themeColor="accent1"/>
      <w:sz w:val="21"/>
      <w14:textFill>
        <w14:solidFill>
          <w14:schemeClr w14:val="accent1"/>
        </w14:solidFill>
      </w14:textFill>
    </w:rPr>
  </w:style>
  <w:style w:type="character" w:customStyle="1" w:styleId="138">
    <w:name w:val="L3级 Char"/>
    <w:basedOn w:val="33"/>
    <w:link w:val="135"/>
    <w:uiPriority w:val="0"/>
    <w:rPr>
      <w:rFonts w:eastAsia="黑体"/>
      <w:b/>
      <w:color w:val="0F6FC6" w:themeColor="accent1"/>
      <w:sz w:val="28"/>
      <w14:textFill>
        <w14:solidFill>
          <w14:schemeClr w14:val="accent1"/>
        </w14:solidFill>
      </w14:textFill>
    </w:rPr>
  </w:style>
  <w:style w:type="paragraph" w:customStyle="1" w:styleId="139">
    <w:name w:val="L 注"/>
    <w:basedOn w:val="1"/>
    <w:link w:val="142"/>
    <w:qFormat/>
    <w:uiPriority w:val="0"/>
    <w:pPr>
      <w:spacing w:line="240" w:lineRule="auto"/>
      <w:ind w:firstLine="0" w:firstLineChars="0"/>
    </w:pPr>
    <w:rPr>
      <w:rFonts w:asciiTheme="minorEastAsia" w:hAnsiTheme="minorEastAsia"/>
      <w:caps/>
      <w:color w:val="0F6FC6" w:themeColor="accent1"/>
      <w:sz w:val="18"/>
      <w14:textFill>
        <w14:solidFill>
          <w14:schemeClr w14:val="accent1"/>
        </w14:solidFill>
      </w14:textFill>
    </w:rPr>
  </w:style>
  <w:style w:type="character" w:customStyle="1" w:styleId="140">
    <w:name w:val="L 图表标题 Char"/>
    <w:basedOn w:val="134"/>
    <w:link w:val="137"/>
    <w:uiPriority w:val="0"/>
    <w:rPr>
      <w:rFonts w:ascii="Times New Roman" w:hAnsi="Times New Roman" w:eastAsia="黑体"/>
      <w:b/>
      <w:color w:val="0F6FC6" w:themeColor="accent1"/>
      <w:sz w:val="21"/>
      <w:szCs w:val="24"/>
      <w14:textFill>
        <w14:solidFill>
          <w14:schemeClr w14:val="accent1"/>
        </w14:solidFill>
      </w14:textFill>
    </w:rPr>
  </w:style>
  <w:style w:type="paragraph" w:customStyle="1" w:styleId="141">
    <w:name w:val="L 表格文字"/>
    <w:basedOn w:val="1"/>
    <w:link w:val="144"/>
    <w:qFormat/>
    <w:uiPriority w:val="0"/>
    <w:pPr>
      <w:spacing w:line="240" w:lineRule="auto"/>
      <w:ind w:firstLine="0" w:firstLineChars="0"/>
      <w:jc w:val="center"/>
    </w:pPr>
    <w:rPr>
      <w:rFonts w:ascii="Times New Roman" w:hAnsi="Times New Roman" w:eastAsia="宋体" w:cs="Times New Roman"/>
      <w:kern w:val="2"/>
      <w:sz w:val="21"/>
      <w:szCs w:val="22"/>
    </w:rPr>
  </w:style>
  <w:style w:type="character" w:customStyle="1" w:styleId="142">
    <w:name w:val="L 注 Char"/>
    <w:basedOn w:val="109"/>
    <w:link w:val="139"/>
    <w:uiPriority w:val="0"/>
    <w:rPr>
      <w:rFonts w:asciiTheme="minorEastAsia" w:hAnsiTheme="minorEastAsia"/>
      <w:color w:val="0F6FC6" w:themeColor="accent1"/>
      <w:sz w:val="18"/>
      <w14:textFill>
        <w14:solidFill>
          <w14:schemeClr w14:val="accent1"/>
        </w14:solidFill>
      </w14:textFill>
    </w:rPr>
  </w:style>
  <w:style w:type="paragraph" w:customStyle="1" w:styleId="143">
    <w:name w:val="L4级"/>
    <w:basedOn w:val="5"/>
    <w:link w:val="145"/>
    <w:qFormat/>
    <w:uiPriority w:val="0"/>
    <w:pPr>
      <w:spacing w:before="50" w:beforeLines="50" w:after="50" w:afterLines="50"/>
      <w:ind w:left="0" w:leftChars="0"/>
    </w:pPr>
  </w:style>
  <w:style w:type="character" w:customStyle="1" w:styleId="144">
    <w:name w:val="L 表格文字 Char"/>
    <w:basedOn w:val="33"/>
    <w:link w:val="141"/>
    <w:uiPriority w:val="0"/>
    <w:rPr>
      <w:rFonts w:ascii="Times New Roman" w:hAnsi="Times New Roman" w:eastAsia="宋体" w:cs="Times New Roman"/>
      <w:kern w:val="2"/>
      <w:sz w:val="21"/>
      <w:szCs w:val="22"/>
    </w:rPr>
  </w:style>
  <w:style w:type="character" w:customStyle="1" w:styleId="145">
    <w:name w:val="L4级 Char"/>
    <w:basedOn w:val="76"/>
    <w:link w:val="143"/>
    <w:uiPriority w:val="0"/>
    <w:rPr>
      <w:rFonts w:eastAsia="黑体"/>
      <w:sz w:val="24"/>
    </w:rPr>
  </w:style>
  <w:style w:type="paragraph" w:customStyle="1" w:styleId="146">
    <w:name w:val="L 1级"/>
    <w:basedOn w:val="130"/>
    <w:link w:val="147"/>
    <w:qFormat/>
    <w:uiPriority w:val="0"/>
    <w:pPr>
      <w:pageBreakBefore/>
      <w:pBdr>
        <w:top w:val="none" w:color="auto" w:sz="0" w:space="0"/>
        <w:left w:val="none" w:color="auto" w:sz="0" w:space="0"/>
        <w:bottom w:val="none" w:color="auto" w:sz="0" w:space="0"/>
        <w:right w:val="none" w:color="auto" w:sz="0" w:space="0"/>
      </w:pBdr>
      <w:shd w:val="clear" w:color="auto" w:fill="0F6FC6" w:themeFill="accent1"/>
      <w:spacing w:before="50" w:beforeLines="50" w:after="100" w:afterLines="100"/>
    </w:pPr>
    <w:rPr>
      <w:color w:val="FFFFFF" w:themeColor="background1"/>
      <w:sz w:val="32"/>
      <w:szCs w:val="32"/>
      <w14:textFill>
        <w14:solidFill>
          <w14:schemeClr w14:val="bg1"/>
        </w14:solidFill>
      </w14:textFill>
    </w:rPr>
  </w:style>
  <w:style w:type="character" w:customStyle="1" w:styleId="147">
    <w:name w:val="L 1级 字符"/>
    <w:basedOn w:val="132"/>
    <w:link w:val="146"/>
    <w:uiPriority w:val="0"/>
    <w:rPr>
      <w:rFonts w:eastAsia="黑体"/>
      <w:color w:val="FFFFFF" w:themeColor="background1"/>
      <w:sz w:val="32"/>
      <w:szCs w:val="32"/>
      <w:shd w:val="clear" w:color="auto" w:fill="0F6FC6" w:themeFill="accent1"/>
      <w14:textFill>
        <w14:solidFill>
          <w14:schemeClr w14:val="bg1"/>
        </w14:solidFill>
      </w14:textFill>
    </w:rPr>
  </w:style>
  <w:style w:type="character" w:customStyle="1" w:styleId="148">
    <w:name w:val="正文文本缩进 3 字符"/>
    <w:basedOn w:val="33"/>
    <w:link w:val="27"/>
    <w:uiPriority w:val="0"/>
    <w:rPr>
      <w:rFonts w:ascii="Times New Roman" w:hAnsi="Times New Roman" w:eastAsia="宋体" w:cs="Times New Roman"/>
      <w:kern w:val="2"/>
      <w:sz w:val="21"/>
      <w:szCs w:val="24"/>
    </w:rPr>
  </w:style>
  <w:style w:type="paragraph" w:customStyle="1" w:styleId="149">
    <w:name w:val="L 2级"/>
    <w:basedOn w:val="133"/>
    <w:link w:val="150"/>
    <w:uiPriority w:val="0"/>
    <w:pPr>
      <w:spacing w:before="326" w:beforeLines="100" w:after="163" w:line="240" w:lineRule="auto"/>
    </w:pPr>
  </w:style>
  <w:style w:type="character" w:customStyle="1" w:styleId="150">
    <w:name w:val="L 2级 Char"/>
    <w:basedOn w:val="136"/>
    <w:link w:val="149"/>
    <w:uiPriority w:val="0"/>
    <w:rPr>
      <w:rFonts w:eastAsia="黑体"/>
      <w:color w:val="7CCA62" w:themeColor="accent5"/>
      <w:sz w:val="30"/>
      <w14:textFill>
        <w14:solidFill>
          <w14:schemeClr w14:val="accent5"/>
        </w14:solidFill>
      </w14:textFill>
    </w:rPr>
  </w:style>
  <w:style w:type="paragraph" w:customStyle="1" w:styleId="151">
    <w:name w:val="样例-正文2"/>
    <w:basedOn w:val="1"/>
    <w:link w:val="152"/>
    <w:uiPriority w:val="0"/>
    <w:pPr>
      <w:spacing w:before="50" w:beforeLines="50" w:after="50" w:afterLines="50"/>
      <w:jc w:val="both"/>
    </w:pPr>
    <w:rPr>
      <w:rFonts w:ascii="Times New Roman" w:hAnsi="Times New Roman" w:eastAsia="宋体" w:cs="Times New Roman"/>
      <w:kern w:val="2"/>
      <w:szCs w:val="24"/>
    </w:rPr>
  </w:style>
  <w:style w:type="character" w:customStyle="1" w:styleId="152">
    <w:name w:val="样例-正文2 Char"/>
    <w:basedOn w:val="33"/>
    <w:link w:val="151"/>
    <w:uiPriority w:val="0"/>
    <w:rPr>
      <w:rFonts w:ascii="Times New Roman" w:hAnsi="Times New Roman" w:eastAsia="宋体" w:cs="Times New Roman"/>
      <w:kern w:val="2"/>
      <w:sz w:val="24"/>
      <w:szCs w:val="24"/>
    </w:rPr>
  </w:style>
  <w:style w:type="paragraph" w:customStyle="1" w:styleId="153">
    <w:name w:val="目录"/>
    <w:basedOn w:val="146"/>
    <w:link w:val="154"/>
    <w:uiPriority w:val="0"/>
    <w:pPr>
      <w:spacing w:before="0" w:beforeLines="0"/>
      <w:outlineLvl w:val="9"/>
    </w:pPr>
  </w:style>
  <w:style w:type="character" w:customStyle="1" w:styleId="154">
    <w:name w:val="目录 Char"/>
    <w:basedOn w:val="147"/>
    <w:link w:val="153"/>
    <w:uiPriority w:val="0"/>
    <w:rPr>
      <w:rFonts w:eastAsia="黑体"/>
      <w:color w:val="000000" w:themeColor="text1"/>
      <w:sz w:val="32"/>
      <w:szCs w:val="32"/>
      <w:shd w:val="clear" w:color="auto" w:fill="59A9F2" w:themeFill="accent1" w:themeFillTint="99"/>
      <w14:textFill>
        <w14:solidFill>
          <w14:schemeClr w14:val="tx1"/>
        </w14:solidFill>
      </w14:textFill>
    </w:rPr>
  </w:style>
  <w:style w:type="paragraph" w:customStyle="1" w:styleId="155">
    <w:name w:val="22222"/>
    <w:basedOn w:val="1"/>
    <w:link w:val="156"/>
    <w:uiPriority w:val="0"/>
    <w:pPr>
      <w:tabs>
        <w:tab w:val="left" w:pos="4170"/>
      </w:tabs>
      <w:spacing w:before="312" w:beforeLines="100" w:after="312" w:afterLines="100" w:line="240" w:lineRule="auto"/>
      <w:ind w:firstLine="0" w:firstLineChars="0"/>
      <w:outlineLvl w:val="1"/>
    </w:pPr>
    <w:rPr>
      <w:rFonts w:ascii="Times New Roman" w:hAnsi="Times New Roman" w:eastAsia="黑体" w:cs="Times New Roman"/>
      <w:b/>
      <w:bCs/>
      <w:color w:val="000000"/>
      <w:sz w:val="30"/>
      <w:szCs w:val="30"/>
      <w:lang w:val="zh-CN"/>
    </w:rPr>
  </w:style>
  <w:style w:type="character" w:customStyle="1" w:styleId="156">
    <w:name w:val="22222 Char"/>
    <w:basedOn w:val="33"/>
    <w:link w:val="155"/>
    <w:uiPriority w:val="0"/>
    <w:rPr>
      <w:rFonts w:ascii="Times New Roman" w:hAnsi="Times New Roman" w:eastAsia="黑体" w:cs="Times New Roman"/>
      <w:b/>
      <w:bCs/>
      <w:color w:val="000000"/>
      <w:sz w:val="30"/>
      <w:szCs w:val="30"/>
      <w:lang w:val="zh-CN"/>
    </w:rPr>
  </w:style>
  <w:style w:type="paragraph" w:customStyle="1" w:styleId="157">
    <w:name w:val="报告正文样例"/>
    <w:link w:val="158"/>
    <w:qFormat/>
    <w:uiPriority w:val="0"/>
    <w:pPr>
      <w:spacing w:before="0" w:after="0" w:line="360" w:lineRule="auto"/>
      <w:ind w:firstLine="200" w:firstLineChars="200"/>
      <w:jc w:val="both"/>
    </w:pPr>
    <w:rPr>
      <w:rFonts w:ascii="Times New Roman" w:hAnsi="Times New Roman" w:eastAsia="宋体" w:cs="Times New Roman"/>
      <w:bCs/>
      <w:color w:val="000000"/>
      <w:sz w:val="24"/>
      <w:szCs w:val="30"/>
      <w:lang w:val="zh-CN" w:eastAsia="zh-CN" w:bidi="ar-SA"/>
    </w:rPr>
  </w:style>
  <w:style w:type="character" w:customStyle="1" w:styleId="158">
    <w:name w:val="报告正文样例 Char"/>
    <w:basedOn w:val="33"/>
    <w:link w:val="157"/>
    <w:uiPriority w:val="0"/>
    <w:rPr>
      <w:rFonts w:ascii="Times New Roman" w:hAnsi="Times New Roman" w:eastAsia="宋体" w:cs="Times New Roman"/>
      <w:bCs/>
      <w:color w:val="000000"/>
      <w:sz w:val="24"/>
      <w:szCs w:val="30"/>
      <w:lang w:val="zh-CN"/>
    </w:rPr>
  </w:style>
  <w:style w:type="paragraph" w:customStyle="1" w:styleId="159">
    <w:name w:val="图表标题样例"/>
    <w:link w:val="160"/>
    <w:qFormat/>
    <w:uiPriority w:val="0"/>
    <w:pPr>
      <w:spacing w:before="0" w:after="0" w:line="360" w:lineRule="auto"/>
      <w:jc w:val="center"/>
    </w:pPr>
    <w:rPr>
      <w:rFonts w:ascii="Times New Roman" w:hAnsi="Times New Roman" w:eastAsia="黑体" w:cs="Times New Roman"/>
      <w:b/>
      <w:caps/>
      <w:sz w:val="21"/>
      <w:szCs w:val="36"/>
      <w:lang w:val="zh-CN" w:eastAsia="zh-CN" w:bidi="ar-SA"/>
    </w:rPr>
  </w:style>
  <w:style w:type="character" w:customStyle="1" w:styleId="160">
    <w:name w:val="图表标题样例 Char"/>
    <w:basedOn w:val="33"/>
    <w:link w:val="159"/>
    <w:uiPriority w:val="0"/>
    <w:rPr>
      <w:rFonts w:ascii="Times New Roman" w:hAnsi="Times New Roman" w:eastAsia="黑体" w:cs="Times New Roman"/>
      <w:b/>
      <w:caps/>
      <w:sz w:val="21"/>
      <w:szCs w:val="36"/>
      <w:lang w:val="zh-CN"/>
    </w:rPr>
  </w:style>
  <w:style w:type="table" w:customStyle="1" w:styleId="161">
    <w:name w:val="网格表 4 - 着色 16"/>
    <w:basedOn w:val="41"/>
    <w:uiPriority w:val="49"/>
    <w:pPr>
      <w:spacing w:before="0" w:after="0" w:line="240" w:lineRule="auto"/>
    </w:pPr>
    <w:rPr>
      <w:rFonts w:ascii="Calibri" w:hAnsi="Calibri" w:eastAsia="宋体" w:cs="Times New Roman"/>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62">
    <w:name w:val="Revision"/>
    <w:hidden/>
    <w:semiHidden/>
    <w:uiPriority w:val="99"/>
    <w:pPr>
      <w:spacing w:before="0" w:after="0" w:line="240" w:lineRule="auto"/>
    </w:pPr>
    <w:rPr>
      <w:rFonts w:asciiTheme="minorHAnsi" w:hAnsiTheme="minorHAnsi" w:eastAsiaTheme="minorEastAsia" w:cstheme="minorBidi"/>
      <w:sz w:val="24"/>
      <w:lang w:val="en-US" w:eastAsia="zh-CN" w:bidi="ar-SA"/>
    </w:rPr>
  </w:style>
  <w:style w:type="paragraph" w:customStyle="1" w:styleId="163">
    <w:name w:val="四级"/>
    <w:basedOn w:val="1"/>
    <w:link w:val="164"/>
    <w:uiPriority w:val="0"/>
    <w:pPr>
      <w:spacing w:before="100" w:beforeLines="50" w:after="200" w:afterLines="50"/>
      <w:ind w:firstLine="0" w:firstLineChars="0"/>
      <w:outlineLvl w:val="1"/>
    </w:pPr>
    <w:rPr>
      <w:rFonts w:ascii="黑体" w:hAnsi="黑体" w:eastAsia="黑体" w:cs="Times New Roman"/>
      <w:b/>
      <w:bCs/>
      <w:color w:val="000000"/>
      <w:sz w:val="30"/>
      <w:szCs w:val="30"/>
      <w:lang w:val="zh-CN"/>
    </w:rPr>
  </w:style>
  <w:style w:type="character" w:customStyle="1" w:styleId="164">
    <w:name w:val="四级 Char"/>
    <w:link w:val="163"/>
    <w:uiPriority w:val="0"/>
    <w:rPr>
      <w:rFonts w:ascii="黑体" w:hAnsi="黑体" w:eastAsia="黑体" w:cs="Times New Roman"/>
      <w:b/>
      <w:bCs/>
      <w:color w:val="000000"/>
      <w:sz w:val="30"/>
      <w:szCs w:val="30"/>
      <w:lang w:val="zh-CN"/>
    </w:rPr>
  </w:style>
  <w:style w:type="character" w:customStyle="1" w:styleId="165">
    <w:name w:val="图表标注 Char"/>
    <w:link w:val="166"/>
    <w:qFormat/>
    <w:uiPriority w:val="0"/>
    <w:rPr>
      <w:rFonts w:ascii="黑体" w:hAnsi="黑体" w:eastAsia="黑体" w:cs="Times New Roman"/>
      <w:kern w:val="2"/>
      <w:sz w:val="21"/>
      <w:szCs w:val="21"/>
    </w:rPr>
  </w:style>
  <w:style w:type="paragraph" w:customStyle="1" w:styleId="166">
    <w:name w:val="图表标注"/>
    <w:basedOn w:val="1"/>
    <w:link w:val="165"/>
    <w:uiPriority w:val="0"/>
    <w:pPr>
      <w:widowControl w:val="0"/>
      <w:spacing w:before="200" w:after="200" w:line="240" w:lineRule="auto"/>
      <w:ind w:firstLine="420" w:firstLineChars="0"/>
      <w:jc w:val="center"/>
    </w:pPr>
    <w:rPr>
      <w:rFonts w:ascii="黑体" w:hAnsi="黑体" w:eastAsia="黑体" w:cs="Times New Roman"/>
      <w:kern w:val="2"/>
      <w:sz w:val="21"/>
      <w:szCs w:val="21"/>
    </w:rPr>
  </w:style>
  <w:style w:type="paragraph" w:customStyle="1" w:styleId="167">
    <w:name w:val="样例-二级标题"/>
    <w:basedOn w:val="1"/>
    <w:link w:val="168"/>
    <w:uiPriority w:val="0"/>
    <w:pPr>
      <w:tabs>
        <w:tab w:val="left" w:pos="4170"/>
      </w:tabs>
      <w:spacing w:before="156" w:beforeLines="50" w:after="156" w:afterLines="50" w:line="400" w:lineRule="atLeast"/>
      <w:ind w:firstLine="0" w:firstLineChars="0"/>
      <w:outlineLvl w:val="1"/>
    </w:pPr>
    <w:rPr>
      <w:rFonts w:ascii="Times New Roman" w:hAnsi="Times New Roman" w:eastAsia="黑体" w:cs="Times New Roman"/>
      <w:b/>
      <w:bCs/>
      <w:color w:val="000000"/>
      <w:sz w:val="30"/>
      <w:szCs w:val="30"/>
      <w:lang w:val="zh-CN"/>
    </w:rPr>
  </w:style>
  <w:style w:type="character" w:customStyle="1" w:styleId="168">
    <w:name w:val="样例-二级标题 Char"/>
    <w:basedOn w:val="33"/>
    <w:link w:val="167"/>
    <w:uiPriority w:val="0"/>
    <w:rPr>
      <w:rFonts w:ascii="Times New Roman" w:hAnsi="Times New Roman" w:eastAsia="黑体" w:cs="Times New Roman"/>
      <w:b/>
      <w:bCs/>
      <w:color w:val="000000"/>
      <w:sz w:val="30"/>
      <w:szCs w:val="30"/>
      <w:lang w:val="zh-CN"/>
    </w:rPr>
  </w:style>
  <w:style w:type="paragraph" w:customStyle="1" w:styleId="169">
    <w:name w:val="样例-图表标题"/>
    <w:basedOn w:val="1"/>
    <w:link w:val="170"/>
    <w:uiPriority w:val="0"/>
    <w:pPr>
      <w:adjustRightInd w:val="0"/>
      <w:snapToGrid w:val="0"/>
      <w:ind w:firstLine="0" w:firstLineChars="0"/>
      <w:jc w:val="center"/>
    </w:pPr>
    <w:rPr>
      <w:rFonts w:ascii="Times New Roman" w:hAnsi="Times New Roman" w:eastAsia="黑体" w:cs="Times New Roman"/>
      <w:b/>
      <w:sz w:val="21"/>
      <w:szCs w:val="21"/>
      <w:lang w:val="zh-CN"/>
    </w:rPr>
  </w:style>
  <w:style w:type="character" w:customStyle="1" w:styleId="170">
    <w:name w:val="样例-图表标题 Char"/>
    <w:basedOn w:val="33"/>
    <w:link w:val="169"/>
    <w:uiPriority w:val="0"/>
    <w:rPr>
      <w:rFonts w:ascii="Times New Roman" w:hAnsi="Times New Roman" w:eastAsia="黑体" w:cs="Times New Roman"/>
      <w:b/>
      <w:sz w:val="21"/>
      <w:szCs w:val="21"/>
      <w:lang w:val="zh-CN"/>
    </w:rPr>
  </w:style>
  <w:style w:type="paragraph" w:customStyle="1" w:styleId="171">
    <w:name w:val="-图表标注"/>
    <w:basedOn w:val="139"/>
    <w:link w:val="172"/>
    <w:uiPriority w:val="0"/>
  </w:style>
  <w:style w:type="character" w:customStyle="1" w:styleId="172">
    <w:name w:val="-图表标注 Char"/>
    <w:basedOn w:val="142"/>
    <w:link w:val="171"/>
    <w:uiPriority w:val="0"/>
    <w:rPr>
      <w:rFonts w:ascii="Times New Roman" w:hAnsi="Times New Roman"/>
      <w:color w:val="0F6FC6" w:themeColor="accent1"/>
      <w:sz w:val="18"/>
      <w14:textFill>
        <w14:solidFill>
          <w14:schemeClr w14:val="accent1"/>
        </w14:solidFill>
      </w14:textFill>
    </w:rPr>
  </w:style>
  <w:style w:type="character" w:customStyle="1" w:styleId="173">
    <w:name w:val="样例-正文 Char"/>
    <w:basedOn w:val="33"/>
    <w:link w:val="174"/>
    <w:locked/>
    <w:uiPriority w:val="0"/>
    <w:rPr>
      <w:rFonts w:ascii="Times New Roman" w:hAnsi="Times New Roman"/>
      <w:bCs/>
      <w:kern w:val="44"/>
      <w:sz w:val="24"/>
      <w:szCs w:val="32"/>
    </w:rPr>
  </w:style>
  <w:style w:type="paragraph" w:customStyle="1" w:styleId="174">
    <w:name w:val="样例-正文"/>
    <w:basedOn w:val="1"/>
    <w:link w:val="173"/>
    <w:uiPriority w:val="0"/>
    <w:pPr>
      <w:spacing w:beforeLines="50" w:afterLines="50"/>
      <w:jc w:val="both"/>
    </w:pPr>
    <w:rPr>
      <w:rFonts w:ascii="Times New Roman" w:hAnsi="Times New Roman"/>
      <w:bCs/>
      <w:kern w:val="44"/>
      <w:szCs w:val="32"/>
    </w:rPr>
  </w:style>
  <w:style w:type="paragraph" w:customStyle="1" w:styleId="175">
    <w:name w:val="11111"/>
    <w:basedOn w:val="2"/>
    <w:link w:val="176"/>
    <w:uiPriority w:val="0"/>
    <w:pPr>
      <w:pBdr>
        <w:top w:val="single" w:color="0F6FC6" w:sz="24" w:space="0"/>
        <w:left w:val="single" w:color="0F6FC6" w:sz="24" w:space="0"/>
        <w:bottom w:val="single" w:color="0F6FC6" w:sz="24" w:space="0"/>
        <w:right w:val="single" w:color="0F6FC6" w:sz="24" w:space="0"/>
      </w:pBdr>
      <w:shd w:val="clear" w:color="auto" w:fill="0F6FC6"/>
      <w:spacing w:before="100" w:after="0" w:afterLines="0" w:line="276" w:lineRule="auto"/>
      <w:ind w:firstLine="0" w:firstLineChars="0"/>
    </w:pPr>
    <w:rPr>
      <w:rFonts w:ascii="黑体" w:hAnsi="黑体" w:cs="Times New Roman"/>
      <w:color w:val="FFFFFF"/>
      <w:spacing w:val="15"/>
      <w:szCs w:val="36"/>
      <w:lang w:val="zh-CN"/>
    </w:rPr>
  </w:style>
  <w:style w:type="character" w:customStyle="1" w:styleId="176">
    <w:name w:val="11111 Char"/>
    <w:basedOn w:val="46"/>
    <w:link w:val="175"/>
    <w:qFormat/>
    <w:uiPriority w:val="0"/>
    <w:rPr>
      <w:rFonts w:ascii="黑体" w:hAnsi="黑体" w:eastAsia="黑体" w:cs="Times New Roman"/>
      <w:color w:val="FFFFFF"/>
      <w:spacing w:val="15"/>
      <w:sz w:val="36"/>
      <w:szCs w:val="36"/>
      <w:shd w:val="clear" w:color="auto" w:fill="0F6FC6"/>
      <w:lang w:val="zh-CN"/>
    </w:rPr>
  </w:style>
  <w:style w:type="paragraph" w:customStyle="1" w:styleId="177">
    <w:name w:val="L图表"/>
    <w:basedOn w:val="1"/>
    <w:link w:val="178"/>
    <w:uiPriority w:val="0"/>
    <w:pPr>
      <w:adjustRightInd w:val="0"/>
      <w:snapToGrid w:val="0"/>
      <w:spacing w:after="156" w:afterLines="50" w:line="240" w:lineRule="auto"/>
      <w:ind w:firstLine="422"/>
      <w:jc w:val="center"/>
    </w:pPr>
    <w:rPr>
      <w:rFonts w:ascii="黑体" w:hAnsi="黑体" w:eastAsia="黑体" w:cs="Times New Roman"/>
      <w:b/>
      <w:sz w:val="21"/>
      <w:szCs w:val="21"/>
      <w:lang w:val="zh-CN"/>
    </w:rPr>
  </w:style>
  <w:style w:type="character" w:customStyle="1" w:styleId="178">
    <w:name w:val="L图表 Char"/>
    <w:basedOn w:val="33"/>
    <w:link w:val="177"/>
    <w:uiPriority w:val="0"/>
    <w:rPr>
      <w:rFonts w:ascii="黑体" w:hAnsi="黑体" w:eastAsia="黑体" w:cs="Times New Roman"/>
      <w:b/>
      <w:sz w:val="21"/>
      <w:szCs w:val="21"/>
      <w:lang w:val="zh-CN"/>
    </w:rPr>
  </w:style>
  <w:style w:type="paragraph" w:customStyle="1" w:styleId="179">
    <w:name w:val="-正文"/>
    <w:basedOn w:val="48"/>
    <w:link w:val="180"/>
    <w:uiPriority w:val="0"/>
    <w:pPr>
      <w:spacing w:before="156" w:after="156"/>
      <w:jc w:val="both"/>
    </w:pPr>
    <w:rPr>
      <w:rFonts w:ascii="Times New Roman" w:hAnsi="Times New Roman" w:eastAsia="宋体" w:cs="Times New Roman"/>
      <w:color w:val="000000"/>
      <w:lang w:val="zh-CN"/>
    </w:rPr>
  </w:style>
  <w:style w:type="character" w:customStyle="1" w:styleId="180">
    <w:name w:val="-正文 Char"/>
    <w:basedOn w:val="49"/>
    <w:link w:val="179"/>
    <w:uiPriority w:val="0"/>
    <w:rPr>
      <w:rFonts w:ascii="Times New Roman" w:hAnsi="Times New Roman" w:eastAsia="宋体" w:cs="Times New Roman"/>
      <w:color w:val="000000"/>
      <w:kern w:val="0"/>
      <w:sz w:val="24"/>
      <w:szCs w:val="21"/>
      <w:lang w:val="zh-CN"/>
    </w:rPr>
  </w:style>
  <w:style w:type="paragraph" w:customStyle="1" w:styleId="181">
    <w:name w:val="三级标题样例"/>
    <w:link w:val="182"/>
    <w:uiPriority w:val="0"/>
    <w:pPr>
      <w:spacing w:before="50" w:beforeLines="50" w:after="50" w:afterLines="50" w:line="240" w:lineRule="atLeast"/>
      <w:outlineLvl w:val="2"/>
    </w:pPr>
    <w:rPr>
      <w:rFonts w:ascii="Times New Roman" w:hAnsi="Times New Roman" w:eastAsia="黑体" w:cs="Times New Roman"/>
      <w:b/>
      <w:bCs/>
      <w:color w:val="000000"/>
      <w:sz w:val="28"/>
      <w:szCs w:val="30"/>
      <w:lang w:val="zh-CN" w:eastAsia="zh-CN" w:bidi="ar-SA"/>
    </w:rPr>
  </w:style>
  <w:style w:type="character" w:customStyle="1" w:styleId="182">
    <w:name w:val="三级标题样例 Char"/>
    <w:link w:val="181"/>
    <w:qFormat/>
    <w:uiPriority w:val="0"/>
    <w:rPr>
      <w:rFonts w:ascii="Times New Roman" w:hAnsi="Times New Roman" w:eastAsia="黑体" w:cs="Times New Roman"/>
      <w:b/>
      <w:bCs/>
      <w:color w:val="000000"/>
      <w:sz w:val="28"/>
      <w:szCs w:val="30"/>
      <w:lang w:val="zh-CN"/>
    </w:rPr>
  </w:style>
  <w:style w:type="paragraph" w:customStyle="1" w:styleId="183">
    <w:name w:val="脚注样例"/>
    <w:link w:val="184"/>
    <w:qFormat/>
    <w:uiPriority w:val="0"/>
    <w:pPr>
      <w:spacing w:before="0" w:after="0" w:line="240" w:lineRule="auto"/>
    </w:pPr>
    <w:rPr>
      <w:rFonts w:ascii="Times New Roman" w:hAnsi="Times New Roman" w:eastAsia="宋体" w:cstheme="minorBidi"/>
      <w:caps/>
      <w:sz w:val="18"/>
      <w:lang w:val="en-US" w:eastAsia="zh-CN" w:bidi="ar-SA"/>
    </w:rPr>
  </w:style>
  <w:style w:type="character" w:customStyle="1" w:styleId="184">
    <w:name w:val="脚注样例 Char"/>
    <w:basedOn w:val="33"/>
    <w:link w:val="183"/>
    <w:uiPriority w:val="0"/>
    <w:rPr>
      <w:rFonts w:ascii="Times New Roman" w:hAnsi="Times New Roman" w:eastAsia="宋体"/>
      <w:caps/>
      <w:sz w:val="18"/>
    </w:rPr>
  </w:style>
  <w:style w:type="table" w:customStyle="1" w:styleId="185">
    <w:name w:val="Grid Table 5 Dark Accent 5"/>
    <w:basedOn w:val="41"/>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4F4DF"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CCA62"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CCA62"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CCA62"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CCA62" w:themeFill="accent5"/>
      </w:tcPr>
    </w:tblStylePr>
    <w:tblStylePr w:type="band1Vert">
      <w:tcPr>
        <w:shd w:val="clear" w:color="auto" w:fill="CAE9C0" w:themeFill="accent5" w:themeFillTint="66"/>
      </w:tcPr>
    </w:tblStylePr>
    <w:tblStylePr w:type="band1Horz">
      <w:tcPr>
        <w:shd w:val="clear" w:color="auto" w:fill="CAE9C0" w:themeFill="accent5" w:themeFillTint="66"/>
      </w:tcPr>
    </w:tblStylePr>
  </w:style>
  <w:style w:type="table" w:customStyle="1" w:styleId="186">
    <w:name w:val="Grid Table 2 Accent 1"/>
    <w:basedOn w:val="41"/>
    <w:uiPriority w:val="47"/>
    <w:pPr>
      <w:spacing w:after="0" w:line="240" w:lineRule="auto"/>
    </w:pPr>
    <w:tblPr>
      <w:tblBorders>
        <w:top w:val="single" w:color="59A9F2" w:themeColor="accent1" w:themeTint="99" w:sz="2" w:space="0"/>
        <w:bottom w:val="single" w:color="59A9F2" w:themeColor="accent1" w:themeTint="99" w:sz="2" w:space="0"/>
        <w:insideH w:val="single" w:color="59A9F2" w:themeColor="accent1" w:themeTint="99" w:sz="2" w:space="0"/>
        <w:insideV w:val="single" w:color="59A9F2" w:themeColor="accent1" w:themeTint="99" w:sz="2" w:space="0"/>
      </w:tblBorders>
      <w:tblLayout w:type="fixed"/>
    </w:tblPr>
    <w:tblStylePr w:type="firstRow">
      <w:rPr>
        <w:b/>
        <w:bCs/>
      </w:rPr>
      <w:tcPr>
        <w:tcBorders>
          <w:top w:val="nil"/>
          <w:bottom w:val="single" w:color="59A9F2" w:themeColor="accent1" w:themeTint="99" w:sz="12" w:space="0"/>
          <w:insideH w:val="nil"/>
          <w:insideV w:val="nil"/>
        </w:tcBorders>
        <w:shd w:val="clear" w:color="auto" w:fill="FFFFFF" w:themeFill="background1"/>
      </w:tcPr>
    </w:tblStylePr>
    <w:tblStylePr w:type="lastRow">
      <w:rPr>
        <w:b/>
        <w:bCs/>
      </w:rPr>
      <w:tcPr>
        <w:tcBorders>
          <w:top w:val="double" w:color="59A9F2"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table" w:customStyle="1" w:styleId="187">
    <w:name w:val="Grid Table 2 Accent 5"/>
    <w:basedOn w:val="41"/>
    <w:uiPriority w:val="47"/>
    <w:pPr>
      <w:spacing w:after="0" w:line="240" w:lineRule="auto"/>
    </w:pPr>
    <w:tblPr>
      <w:tblBorders>
        <w:top w:val="single" w:color="B0DFA0" w:themeColor="accent5" w:themeTint="99" w:sz="2" w:space="0"/>
        <w:bottom w:val="single" w:color="B0DFA0" w:themeColor="accent5" w:themeTint="99" w:sz="2" w:space="0"/>
        <w:insideH w:val="single" w:color="B0DFA0" w:themeColor="accent5" w:themeTint="99" w:sz="2" w:space="0"/>
        <w:insideV w:val="single" w:color="B0DFA0" w:themeColor="accent5" w:themeTint="99" w:sz="2" w:space="0"/>
      </w:tblBorders>
      <w:tblLayout w:type="fixed"/>
    </w:tblPr>
    <w:tblStylePr w:type="firstRow">
      <w:rPr>
        <w:b/>
        <w:bCs/>
      </w:rPr>
      <w:tcPr>
        <w:tcBorders>
          <w:top w:val="nil"/>
          <w:bottom w:val="single" w:color="B0DFA0" w:themeColor="accent5" w:themeTint="99" w:sz="12" w:space="0"/>
          <w:insideH w:val="nil"/>
          <w:insideV w:val="nil"/>
        </w:tcBorders>
        <w:shd w:val="clear" w:color="auto" w:fill="FFFFFF" w:themeFill="background1"/>
      </w:tcPr>
    </w:tblStylePr>
    <w:tblStylePr w:type="lastRow">
      <w:rPr>
        <w:b/>
        <w:bCs/>
      </w:rPr>
      <w:tcPr>
        <w:tcBorders>
          <w:top w:val="double" w:color="B0DFA0"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4F4DF" w:themeFill="accent5" w:themeFillTint="33"/>
      </w:tcPr>
    </w:tblStylePr>
    <w:tblStylePr w:type="band1Horz">
      <w:tcPr>
        <w:shd w:val="clear" w:color="auto" w:fill="E4F4DF" w:themeFill="accent5" w:themeFillTint="33"/>
      </w:tcPr>
    </w:tblStylePr>
  </w:style>
  <w:style w:type="table" w:customStyle="1" w:styleId="188">
    <w:name w:val="List Table 4 Accent 5"/>
    <w:basedOn w:val="41"/>
    <w:uiPriority w:val="49"/>
    <w:pPr>
      <w:spacing w:after="0" w:line="240" w:lineRule="auto"/>
    </w:pPr>
    <w:tblPr>
      <w:tblBorders>
        <w:top w:val="single" w:color="B0DFA0" w:themeColor="accent5" w:themeTint="99" w:sz="4" w:space="0"/>
        <w:left w:val="single" w:color="B0DFA0" w:themeColor="accent5" w:themeTint="99" w:sz="4" w:space="0"/>
        <w:bottom w:val="single" w:color="B0DFA0" w:themeColor="accent5" w:themeTint="99" w:sz="4" w:space="0"/>
        <w:right w:val="single" w:color="B0DFA0" w:themeColor="accent5" w:themeTint="99" w:sz="4" w:space="0"/>
        <w:insideH w:val="single" w:color="B0DFA0" w:themeColor="accent5" w:themeTint="99" w:sz="4" w:space="0"/>
      </w:tblBorders>
      <w:tblLayout w:type="fixed"/>
    </w:tblPr>
    <w:tblStylePr w:type="firstRow">
      <w:rPr>
        <w:b/>
        <w:bCs/>
        <w:color w:val="FFFFFF" w:themeColor="background1"/>
        <w14:textFill>
          <w14:solidFill>
            <w14:schemeClr w14:val="bg1"/>
          </w14:solidFill>
        </w14:textFill>
      </w:rPr>
      <w:tcPr>
        <w:tcBorders>
          <w:top w:val="single" w:color="7CCA62" w:themeColor="accent5" w:sz="4" w:space="0"/>
          <w:left w:val="single" w:color="7CCA62" w:themeColor="accent5" w:sz="4" w:space="0"/>
          <w:bottom w:val="single" w:color="7CCA62" w:themeColor="accent5" w:sz="4" w:space="0"/>
          <w:right w:val="single" w:color="7CCA62" w:themeColor="accent5" w:sz="4" w:space="0"/>
          <w:insideH w:val="nil"/>
        </w:tcBorders>
        <w:shd w:val="clear" w:color="auto" w:fill="7CCA62" w:themeFill="accent5"/>
      </w:tcPr>
    </w:tblStylePr>
    <w:tblStylePr w:type="lastRow">
      <w:rPr>
        <w:b/>
        <w:bCs/>
      </w:rPr>
      <w:tcPr>
        <w:tcBorders>
          <w:top w:val="double" w:color="B0DFA0" w:themeColor="accent5" w:themeTint="99" w:sz="4" w:space="0"/>
        </w:tcBorders>
      </w:tcPr>
    </w:tblStylePr>
    <w:tblStylePr w:type="firstCol">
      <w:rPr>
        <w:b/>
        <w:bCs/>
      </w:rPr>
    </w:tblStylePr>
    <w:tblStylePr w:type="lastCol">
      <w:rPr>
        <w:b/>
        <w:bCs/>
      </w:rPr>
    </w:tblStylePr>
    <w:tblStylePr w:type="band1Vert">
      <w:tcPr>
        <w:shd w:val="clear" w:color="auto" w:fill="E4F4DF" w:themeFill="accent5" w:themeFillTint="33"/>
      </w:tcPr>
    </w:tblStylePr>
    <w:tblStylePr w:type="band1Horz">
      <w:tcPr>
        <w:shd w:val="clear" w:color="auto" w:fill="E4F4DF" w:themeFill="accent5" w:themeFillTint="33"/>
      </w:tcPr>
    </w:tblStylePr>
  </w:style>
  <w:style w:type="table" w:customStyle="1" w:styleId="189">
    <w:name w:val="List Table 7 Colorful Accent 5"/>
    <w:basedOn w:val="41"/>
    <w:uiPriority w:val="52"/>
    <w:pPr>
      <w:spacing w:after="0" w:line="240" w:lineRule="auto"/>
    </w:pPr>
    <w:rPr>
      <w:color w:val="55A839" w:themeColor="accent5" w:themeShade="BF"/>
    </w:rPr>
    <w:tblStylePr w:type="firstRow">
      <w:rPr>
        <w:rFonts w:asciiTheme="majorHAnsi" w:hAnsiTheme="majorHAnsi" w:eastAsiaTheme="majorEastAsia" w:cstheme="majorBidi"/>
        <w:i/>
        <w:iCs/>
        <w:sz w:val="26"/>
      </w:rPr>
      <w:tcPr>
        <w:tcBorders>
          <w:bottom w:val="single" w:color="7CCA62"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CCA62"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CCA62"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CCA62" w:themeColor="accent5" w:sz="4" w:space="0"/>
        </w:tcBorders>
        <w:shd w:val="clear" w:color="auto" w:fill="FFFFFF" w:themeFill="background1"/>
      </w:tcPr>
    </w:tblStylePr>
    <w:tblStylePr w:type="band1Vert">
      <w:tcPr>
        <w:shd w:val="clear" w:color="auto" w:fill="E4F4DF" w:themeFill="accent5" w:themeFillTint="33"/>
      </w:tcPr>
    </w:tblStylePr>
    <w:tblStylePr w:type="band1Horz">
      <w:tcPr>
        <w:shd w:val="clear" w:color="auto" w:fill="E4F4DF"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90">
    <w:name w:val="List Table 6 Colorful Accent 1"/>
    <w:basedOn w:val="41"/>
    <w:uiPriority w:val="51"/>
    <w:pPr>
      <w:spacing w:after="0" w:line="240" w:lineRule="auto"/>
    </w:pPr>
    <w:rPr>
      <w:color w:val="0B5395" w:themeColor="accent1" w:themeShade="BF"/>
    </w:rPr>
    <w:tblPr>
      <w:tblBorders>
        <w:top w:val="single" w:color="0F6FC6" w:themeColor="accent1" w:sz="4" w:space="0"/>
        <w:bottom w:val="single" w:color="0F6FC6" w:themeColor="accent1" w:sz="4" w:space="0"/>
      </w:tblBorders>
      <w:tblLayout w:type="fixed"/>
    </w:tblPr>
    <w:tblStylePr w:type="firstRow">
      <w:rPr>
        <w:b/>
        <w:bCs/>
      </w:rPr>
      <w:tcPr>
        <w:tcBorders>
          <w:bottom w:val="single" w:color="0F6FC6" w:themeColor="accent1" w:sz="4" w:space="0"/>
        </w:tcBorders>
      </w:tcPr>
    </w:tblStylePr>
    <w:tblStylePr w:type="lastRow">
      <w:rPr>
        <w:b/>
        <w:bCs/>
      </w:rPr>
      <w:tcPr>
        <w:tcBorders>
          <w:top w:val="double" w:color="0F6FC6" w:themeColor="accent1" w:sz="4" w:space="0"/>
        </w:tcBorders>
      </w:tcPr>
    </w:tblStylePr>
    <w:tblStylePr w:type="firstCol">
      <w:rPr>
        <w:b/>
        <w:bCs/>
      </w:rPr>
    </w:tblStylePr>
    <w:tblStylePr w:type="lastCol">
      <w:rPr>
        <w:b/>
        <w:bCs/>
      </w:rPr>
    </w:tblStylePr>
    <w:tblStylePr w:type="band1Vert">
      <w:tcPr>
        <w:shd w:val="clear" w:color="auto" w:fill="C7E2FA" w:themeFill="accent1" w:themeFillTint="33"/>
      </w:tcPr>
    </w:tblStylePr>
    <w:tblStylePr w:type="band1Horz">
      <w:tcPr>
        <w:shd w:val="clear" w:color="auto" w:fill="C7E2FA" w:themeFill="accent1" w:themeFillTint="33"/>
      </w:tcPr>
    </w:tblStylePr>
  </w:style>
  <w:style w:type="table" w:customStyle="1" w:styleId="191">
    <w:name w:val="样式2"/>
    <w:basedOn w:val="41"/>
    <w:uiPriority w:val="99"/>
    <w:pPr>
      <w:spacing w:before="0" w:after="0" w:line="240" w:lineRule="auto"/>
      <w:jc w:val="center"/>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vAlign w:val="center"/>
    </w:tcPr>
    <w:tblStylePr w:type="firstRow">
      <w:rPr>
        <w:rFonts w:eastAsia="微软雅黑"/>
        <w:color w:val="FFFFFF"/>
        <w:sz w:val="21"/>
      </w:rPr>
      <w:tcPr>
        <w:shd w:val="clear" w:color="auto" w:fill="0F6FC6" w:themeFill="accent1"/>
      </w:tcPr>
    </w:tblStylePr>
    <w:tblStylePr w:type="band1Horz">
      <w:pPr>
        <w:jc w:val="center"/>
      </w:pPr>
      <w:tcPr>
        <w:tcBorders>
          <w:top w:val="nil"/>
          <w:left w:val="nil"/>
          <w:bottom w:val="nil"/>
          <w:right w:val="nil"/>
          <w:insideH w:val="nil"/>
          <w:insideV w:val="nil"/>
        </w:tcBorders>
        <w:shd w:val="clear" w:color="auto" w:fill="F7FBEF"/>
      </w:tcPr>
    </w:tblStylePr>
    <w:tblStylePr w:type="band2Horz">
      <w:tcPr>
        <w:tcBorders>
          <w:top w:val="nil"/>
          <w:left w:val="nil"/>
          <w:bottom w:val="nil"/>
          <w:right w:val="nil"/>
          <w:insideH w:val="nil"/>
          <w:insideV w:val="nil"/>
        </w:tcBorders>
        <w:shd w:val="clear" w:color="auto" w:fill="C4EEFF" w:themeFill="accent2" w:themeFillTint="33"/>
      </w:tcPr>
    </w:tblStylePr>
  </w:style>
  <w:style w:type="table" w:customStyle="1" w:styleId="192">
    <w:name w:val="样式3"/>
    <w:basedOn w:val="41"/>
    <w:uiPriority w:val="99"/>
    <w:pPr>
      <w:spacing w:before="0" w:after="0" w:line="240" w:lineRule="auto"/>
      <w:jc w:val="center"/>
    </w:pPr>
    <w:rPr>
      <w:rFonts w:ascii="Arial" w:hAnsi="Arial"/>
      <w:color w:val="000000" w:themeColor="text1"/>
      <w:sz w:val="21"/>
      <w14:textFill>
        <w14:solidFill>
          <w14:schemeClr w14:val="tx1"/>
        </w14:solidFill>
      </w14:textFill>
    </w:rPr>
    <w:tblPr>
      <w:tblBorders>
        <w:insideH w:val="single" w:color="FFFFFF" w:sz="24" w:space="0"/>
        <w:insideV w:val="single" w:color="FFFFFF" w:sz="24" w:space="0"/>
      </w:tblBorders>
      <w:tblLayout w:type="fixed"/>
    </w:tblPr>
    <w:tcPr>
      <w:shd w:val="clear" w:color="auto" w:fill="59A9F2" w:themeFill="accent1" w:themeFillTint="99"/>
      <w:vAlign w:val="center"/>
    </w:tcPr>
    <w:tblStylePr w:type="firstRow">
      <w:rPr>
        <w:rFonts w:eastAsia="微软雅黑"/>
        <w:color w:val="FFFFFF"/>
        <w:sz w:val="21"/>
      </w:rPr>
      <w:tcPr>
        <w:shd w:val="clear" w:color="auto" w:fill="0F6FC6" w:themeFill="accent1"/>
      </w:tcPr>
    </w:tblStylePr>
    <w:tblStylePr w:type="band1Horz">
      <w:rPr>
        <w:color w:val="auto"/>
      </w:rPr>
      <w:tcPr>
        <w:shd w:val="clear" w:color="auto" w:fill="C9FAFC" w:themeFill="accent3" w:themeFillTint="33"/>
      </w:tcPr>
    </w:tblStylePr>
    <w:tblStylePr w:type="band2Horz">
      <w:rPr>
        <w:color w:val="auto"/>
      </w:rPr>
      <w:tcPr>
        <w:shd w:val="clear" w:color="auto" w:fill="C4EEFF" w:themeFill="accent2" w:themeFillTint="33"/>
      </w:tcPr>
    </w:tblStylePr>
  </w:style>
  <w:style w:type="table" w:customStyle="1" w:styleId="193">
    <w:name w:val="Grid Table 5 Dark Accent 1"/>
    <w:basedOn w:val="41"/>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C7E2FA"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6FC6"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6FC6"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6FC6"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6FC6" w:themeFill="accent1"/>
      </w:tcPr>
    </w:tblStylePr>
    <w:tblStylePr w:type="band1Vert">
      <w:tcPr>
        <w:shd w:val="clear" w:color="auto" w:fill="90C6F6" w:themeFill="accent1" w:themeFillTint="66"/>
      </w:tcPr>
    </w:tblStylePr>
    <w:tblStylePr w:type="band1Horz">
      <w:tcPr>
        <w:shd w:val="clear" w:color="auto" w:fill="90C6F6" w:themeFill="accent1" w:themeFillTint="66"/>
      </w:tcPr>
    </w:tblStylePr>
  </w:style>
  <w:style w:type="table" w:customStyle="1" w:styleId="194">
    <w:name w:val="Grid Table 4"/>
    <w:basedOn w:val="41"/>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image" Target="media/image4.jpeg"/><Relationship Id="rId47" Type="http://schemas.openxmlformats.org/officeDocument/2006/relationships/chart" Target="charts/chart34.xml"/><Relationship Id="rId46" Type="http://schemas.openxmlformats.org/officeDocument/2006/relationships/chart" Target="charts/chart33.xml"/><Relationship Id="rId45" Type="http://schemas.openxmlformats.org/officeDocument/2006/relationships/chart" Target="charts/chart32.xml"/><Relationship Id="rId44" Type="http://schemas.openxmlformats.org/officeDocument/2006/relationships/chart" Target="charts/chart31.xml"/><Relationship Id="rId43" Type="http://schemas.openxmlformats.org/officeDocument/2006/relationships/chart" Target="charts/chart30.xml"/><Relationship Id="rId42" Type="http://schemas.openxmlformats.org/officeDocument/2006/relationships/chart" Target="charts/chart29.xml"/><Relationship Id="rId41" Type="http://schemas.openxmlformats.org/officeDocument/2006/relationships/chart" Target="charts/chart28.xml"/><Relationship Id="rId40" Type="http://schemas.openxmlformats.org/officeDocument/2006/relationships/chart" Target="charts/chart27.xml"/><Relationship Id="rId4" Type="http://schemas.openxmlformats.org/officeDocument/2006/relationships/header" Target="header1.xml"/><Relationship Id="rId39" Type="http://schemas.openxmlformats.org/officeDocument/2006/relationships/chart" Target="charts/chart26.xml"/><Relationship Id="rId38" Type="http://schemas.openxmlformats.org/officeDocument/2006/relationships/chart" Target="charts/chart25.xml"/><Relationship Id="rId37" Type="http://schemas.openxmlformats.org/officeDocument/2006/relationships/chart" Target="charts/chart24.xml"/><Relationship Id="rId36" Type="http://schemas.openxmlformats.org/officeDocument/2006/relationships/chart" Target="charts/chart23.xml"/><Relationship Id="rId35" Type="http://schemas.openxmlformats.org/officeDocument/2006/relationships/chart" Target="charts/chart22.xml"/><Relationship Id="rId34" Type="http://schemas.openxmlformats.org/officeDocument/2006/relationships/chart" Target="charts/chart21.xml"/><Relationship Id="rId33" Type="http://schemas.openxmlformats.org/officeDocument/2006/relationships/chart" Target="charts/chart20.xml"/><Relationship Id="rId32" Type="http://schemas.openxmlformats.org/officeDocument/2006/relationships/chart" Target="charts/chart19.xml"/><Relationship Id="rId31" Type="http://schemas.openxmlformats.org/officeDocument/2006/relationships/chart" Target="charts/chart18.xml"/><Relationship Id="rId30" Type="http://schemas.openxmlformats.org/officeDocument/2006/relationships/chart" Target="charts/chart17.xml"/><Relationship Id="rId3" Type="http://schemas.openxmlformats.org/officeDocument/2006/relationships/footnotes" Target="footnotes.xml"/><Relationship Id="rId29" Type="http://schemas.openxmlformats.org/officeDocument/2006/relationships/chart" Target="charts/chart16.xml"/><Relationship Id="rId28" Type="http://schemas.openxmlformats.org/officeDocument/2006/relationships/chart" Target="charts/chart15.xml"/><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chart" Target="charts/chart11.xml"/><Relationship Id="rId23" Type="http://schemas.openxmlformats.org/officeDocument/2006/relationships/chart" Target="charts/chart10.xml"/><Relationship Id="rId22" Type="http://schemas.openxmlformats.org/officeDocument/2006/relationships/chart" Target="charts/chart9.xml"/><Relationship Id="rId21" Type="http://schemas.openxmlformats.org/officeDocument/2006/relationships/chart" Target="charts/chart8.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1.xml"/><Relationship Id="rId1" Type="http://schemas.openxmlformats.org/officeDocument/2006/relationships/package" Target="../embeddings/Workbook9.xlsx"/></Relationships>
</file>

<file path=word/charts/_rels/chart10.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19.xlsx"/></Relationships>
</file>

<file path=word/charts/_rels/chart1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25.xlsx"/></Relationships>
</file>

<file path=word/charts/_rels/chart12.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8.xlsx"/></Relationships>
</file>

<file path=word/charts/_rels/chart1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14.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4.xlsx"/></Relationships>
</file>

<file path=word/charts/_rels/chart15.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29.xlsx"/></Relationships>
</file>

<file path=word/charts/_rels/chart16.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28.xlsx"/></Relationships>
</file>

<file path=word/charts/_rels/chart17.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Workbook20.xlsx"/></Relationships>
</file>

<file path=word/charts/_rels/chart18.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5.xlsx"/></Relationships>
</file>

<file path=word/charts/_rels/chart19.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2.xml"/><Relationship Id="rId1" Type="http://schemas.openxmlformats.org/officeDocument/2006/relationships/package" Target="../embeddings/Workbook10.xlsx"/></Relationships>
</file>

<file path=word/charts/_rels/chart20.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1.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31.xlsx"/></Relationships>
</file>

<file path=word/charts/_rels/chart22.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24.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2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6.xlsx"/></Relationships>
</file>

<file path=word/charts/_rels/chart27.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32.xlsx"/></Relationships>
</file>

<file path=word/charts/_rels/chart2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9.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30.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0.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7.xlsx"/></Relationships>
</file>

<file path=word/charts/_rels/chart3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2.xml.rels><?xml version="1.0" encoding="UTF-8" standalone="yes"?>
<Relationships xmlns="http://schemas.openxmlformats.org/package/2006/relationships"><Relationship Id="rId4" Type="http://schemas.microsoft.com/office/2011/relationships/chartColorStyle" Target="colors32.xml"/><Relationship Id="rId3" Type="http://schemas.microsoft.com/office/2011/relationships/chartStyle" Target="style32.xml"/><Relationship Id="rId2" Type="http://schemas.openxmlformats.org/officeDocument/2006/relationships/chartUserShapes" Target="../drawings/drawing3.xml"/><Relationship Id="rId1" Type="http://schemas.openxmlformats.org/officeDocument/2006/relationships/package" Target="../embeddings/Workbook34.xlsx"/></Relationships>
</file>

<file path=word/charts/_rels/chart33.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26.xlsx"/></Relationships>
</file>

<file path=word/charts/_rels/chart34.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package" Target="../embeddings/Workbook27.xlsx"/></Relationships>
</file>

<file path=word/charts/_rels/chart4.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5.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3.xlsx"/></Relationships>
</file>

<file path=word/charts/_rels/chart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4.xlsx"/></Relationships>
</file>

<file path=word/charts/_rels/chart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9.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50119078455979"/>
          <c:y val="0.105464324932709"/>
          <c:w val="0.891110736676919"/>
          <c:h val="0.808949758346023"/>
        </c:manualLayout>
      </c:layout>
      <c:doughnutChart>
        <c:varyColors val="1"/>
        <c:ser>
          <c:idx val="0"/>
          <c:order val="0"/>
          <c:tx>
            <c:strRef>
              <c:f>Sheet1!$B$1</c:f>
              <c:strCache>
                <c:ptCount val="1"/>
                <c:pt idx="0">
                  <c:v>省内生源</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Lbls>
            <c:delete val="1"/>
          </c:dLbls>
          <c:cat>
            <c:strRef>
              <c:f>Sheet1!$A$2:$A$3</c:f>
              <c:strCache>
                <c:ptCount val="2"/>
                <c:pt idx="0">
                  <c:v>男</c:v>
                </c:pt>
                <c:pt idx="1">
                  <c:v>女</c:v>
                </c:pt>
              </c:strCache>
            </c:strRef>
          </c:cat>
          <c:val>
            <c:numRef>
              <c:f>Sheet1!$B$2:$B$3</c:f>
              <c:numCache>
                <c:formatCode>0.00%</c:formatCode>
                <c:ptCount val="2"/>
                <c:pt idx="0">
                  <c:v>0.2675</c:v>
                </c:pt>
                <c:pt idx="1">
                  <c:v>0.7325</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655922223205"/>
          <c:y val="0.0214223879909748"/>
          <c:w val="0.529248478771614"/>
          <c:h val="0.956971300718558"/>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Sheet1!$A$2:$A$11</c:f>
              <c:strCache>
                <c:ptCount val="10"/>
                <c:pt idx="0">
                  <c:v>批发和零售业</c:v>
                </c:pt>
                <c:pt idx="1">
                  <c:v>金融业</c:v>
                </c:pt>
                <c:pt idx="2">
                  <c:v>文化、体育和娱乐业</c:v>
                </c:pt>
                <c:pt idx="3">
                  <c:v>房地产业</c:v>
                </c:pt>
                <c:pt idx="4">
                  <c:v>住宿和餐饮业</c:v>
                </c:pt>
                <c:pt idx="5">
                  <c:v>信息传输、软件和信息技术服务业</c:v>
                </c:pt>
                <c:pt idx="6">
                  <c:v>居民服务、修理和其他服务业</c:v>
                </c:pt>
                <c:pt idx="7">
                  <c:v>制造业</c:v>
                </c:pt>
                <c:pt idx="8">
                  <c:v>建筑业</c:v>
                </c:pt>
                <c:pt idx="9">
                  <c:v>教育</c:v>
                </c:pt>
              </c:strCache>
            </c:strRef>
          </c:cat>
          <c:val>
            <c:numRef>
              <c:f>Sheet1!$B$2:$B$11</c:f>
              <c:numCache>
                <c:formatCode>0.00%</c:formatCode>
                <c:ptCount val="10"/>
                <c:pt idx="0">
                  <c:v>0.015497</c:v>
                </c:pt>
                <c:pt idx="1">
                  <c:v>0.017944</c:v>
                </c:pt>
                <c:pt idx="2">
                  <c:v>0.022838</c:v>
                </c:pt>
                <c:pt idx="3">
                  <c:v>0.024469</c:v>
                </c:pt>
                <c:pt idx="4">
                  <c:v>0.03181</c:v>
                </c:pt>
                <c:pt idx="5">
                  <c:v>0.077487</c:v>
                </c:pt>
                <c:pt idx="6">
                  <c:v>0.078303</c:v>
                </c:pt>
                <c:pt idx="7">
                  <c:v>0.078303</c:v>
                </c:pt>
                <c:pt idx="8">
                  <c:v>0.083197</c:v>
                </c:pt>
                <c:pt idx="9">
                  <c:v>0.51305</c:v>
                </c:pt>
              </c:numCache>
            </c:numRef>
          </c:val>
        </c:ser>
        <c:dLbls>
          <c:showLegendKey val="0"/>
          <c:showVal val="0"/>
          <c:showCatName val="0"/>
          <c:showSerName val="0"/>
          <c:showPercent val="0"/>
          <c:showBubbleSize val="0"/>
        </c:dLbls>
        <c:gapWidth val="59"/>
        <c:axId val="585693568"/>
        <c:axId val="585694128"/>
      </c:barChart>
      <c:catAx>
        <c:axId val="585693568"/>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585694128"/>
        <c:crosses val="autoZero"/>
        <c:auto val="1"/>
        <c:lblAlgn val="ctr"/>
        <c:lblOffset val="100"/>
        <c:noMultiLvlLbl val="0"/>
      </c:catAx>
      <c:valAx>
        <c:axId val="585694128"/>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85693568"/>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105702696254"/>
          <c:y val="0"/>
          <c:w val="0.968530183727034"/>
          <c:h val="1"/>
        </c:manualLayout>
      </c:layout>
      <c:barChart>
        <c:barDir val="bar"/>
        <c:grouping val="clustered"/>
        <c:varyColors val="0"/>
        <c:ser>
          <c:idx val="0"/>
          <c:order val="0"/>
          <c:tx>
            <c:strRef>
              <c:f>Sheet1!$B$1</c:f>
              <c:strCache>
                <c:ptCount val="1"/>
                <c:pt idx="0">
                  <c:v>占比</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elete val="1"/>
          </c:dLbls>
          <c:cat>
            <c:strRef>
              <c:f>Sheet1!$A$2:$A$6</c:f>
              <c:strCache>
                <c:ptCount val="5"/>
                <c:pt idx="0">
                  <c:v>办事人员和有关人员</c:v>
                </c:pt>
                <c:pt idx="1">
                  <c:v>教学人员</c:v>
                </c:pt>
                <c:pt idx="2">
                  <c:v>科学研究人员</c:v>
                </c:pt>
                <c:pt idx="3">
                  <c:v>生产和运输设备操作人员</c:v>
                </c:pt>
                <c:pt idx="4">
                  <c:v>其他人员</c:v>
                </c:pt>
              </c:strCache>
            </c:strRef>
          </c:cat>
          <c:val>
            <c:numRef>
              <c:f>Sheet1!$B$2:$B$6</c:f>
              <c:numCache>
                <c:formatCode>0.00%</c:formatCode>
                <c:ptCount val="5"/>
                <c:pt idx="0">
                  <c:v>0.513071</c:v>
                </c:pt>
                <c:pt idx="1">
                  <c:v>0.48366</c:v>
                </c:pt>
                <c:pt idx="2">
                  <c:v>0.000816</c:v>
                </c:pt>
                <c:pt idx="3">
                  <c:v>0.000816</c:v>
                </c:pt>
                <c:pt idx="4">
                  <c:v>0.001633</c:v>
                </c:pt>
              </c:numCache>
            </c:numRef>
          </c:val>
        </c:ser>
        <c:dLbls>
          <c:showLegendKey val="0"/>
          <c:showVal val="0"/>
          <c:showCatName val="0"/>
          <c:showSerName val="0"/>
          <c:showPercent val="0"/>
          <c:showBubbleSize val="0"/>
        </c:dLbls>
        <c:gapWidth val="39"/>
        <c:axId val="1105358320"/>
        <c:axId val="1105358880"/>
      </c:barChart>
      <c:catAx>
        <c:axId val="1105358320"/>
        <c:scaling>
          <c:orientation val="maxMin"/>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05358880"/>
        <c:crosses val="autoZero"/>
        <c:auto val="1"/>
        <c:lblAlgn val="ctr"/>
        <c:lblOffset val="100"/>
        <c:noMultiLvlLbl val="0"/>
      </c:catAx>
      <c:valAx>
        <c:axId val="1105358880"/>
        <c:scaling>
          <c:orientation val="minMax"/>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05358320"/>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655922223205"/>
          <c:y val="0.0214223879909748"/>
          <c:w val="0.529248478771614"/>
          <c:h val="0.956971300718558"/>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Sheet1!$A$2:$A$6</c:f>
              <c:strCache>
                <c:ptCount val="5"/>
                <c:pt idx="0">
                  <c:v>其他</c:v>
                </c:pt>
                <c:pt idx="1">
                  <c:v>延缓面对就业的困难</c:v>
                </c:pt>
                <c:pt idx="2">
                  <c:v>对专业感兴趣、深入学习</c:v>
                </c:pt>
                <c:pt idx="3">
                  <c:v>提升综合能力</c:v>
                </c:pt>
                <c:pt idx="4">
                  <c:v>增加择业资本、站在更高的求职点</c:v>
                </c:pt>
              </c:strCache>
            </c:strRef>
          </c:cat>
          <c:val>
            <c:numRef>
              <c:f>Sheet1!$B$2:$B$6</c:f>
              <c:numCache>
                <c:formatCode>0.00%</c:formatCode>
                <c:ptCount val="5"/>
                <c:pt idx="0">
                  <c:v>0.018181</c:v>
                </c:pt>
                <c:pt idx="1">
                  <c:v>0.063636</c:v>
                </c:pt>
                <c:pt idx="2">
                  <c:v>0.163636</c:v>
                </c:pt>
                <c:pt idx="3">
                  <c:v>0.3</c:v>
                </c:pt>
                <c:pt idx="4">
                  <c:v>0.454545</c:v>
                </c:pt>
              </c:numCache>
            </c:numRef>
          </c:val>
        </c:ser>
        <c:dLbls>
          <c:showLegendKey val="0"/>
          <c:showVal val="0"/>
          <c:showCatName val="0"/>
          <c:showSerName val="0"/>
          <c:showPercent val="0"/>
          <c:showBubbleSize val="0"/>
        </c:dLbls>
        <c:gapWidth val="59"/>
        <c:axId val="1105361120"/>
        <c:axId val="625604512"/>
      </c:barChart>
      <c:catAx>
        <c:axId val="1105361120"/>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625604512"/>
        <c:crosses val="autoZero"/>
        <c:auto val="1"/>
        <c:lblAlgn val="ctr"/>
        <c:lblOffset val="100"/>
        <c:noMultiLvlLbl val="0"/>
      </c:catAx>
      <c:valAx>
        <c:axId val="625604512"/>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05361120"/>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46089238845"/>
          <c:y val="0.119646472762333"/>
          <c:w val="0.638393325834271"/>
          <c:h val="0.851191101112361"/>
        </c:manualLayout>
      </c:layout>
      <c:doughnut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Lbls>
            <c:dLbl>
              <c:idx val="0"/>
              <c:layout>
                <c:manualLayout>
                  <c:x val="0.149275800524934"/>
                  <c:y val="-0.20762011891370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40924304461942"/>
                      <c:h val="0.162979806095667"/>
                    </c:manualLayout>
                  </c15:layout>
                </c:ext>
              </c:extLst>
            </c:dLbl>
            <c:dLbl>
              <c:idx val="1"/>
              <c:layout>
                <c:manualLayout>
                  <c:x val="0.452651338582677"/>
                  <c:y val="0.124962236863249"/>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66977847769029"/>
                      <c:h val="0.127553162997482"/>
                    </c:manualLayout>
                  </c15:layout>
                </c:ext>
              </c:extLst>
            </c:dLbl>
            <c:dLbl>
              <c:idx val="2"/>
              <c:layout>
                <c:manualLayout>
                  <c:x val="-0.188590656167979"/>
                  <c:y val="-0.158390647597622"/>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85061867266592"/>
                      <c:h val="0.14115860517435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相关</c:v>
                </c:pt>
                <c:pt idx="1">
                  <c:v>一致</c:v>
                </c:pt>
                <c:pt idx="2">
                  <c:v>不相关</c:v>
                </c:pt>
              </c:strCache>
            </c:strRef>
          </c:cat>
          <c:val>
            <c:numRef>
              <c:f>Sheet1!$B$2:$B$4</c:f>
              <c:numCache>
                <c:formatCode>0.00%</c:formatCode>
                <c:ptCount val="3"/>
                <c:pt idx="0">
                  <c:v>0.3091</c:v>
                </c:pt>
                <c:pt idx="1">
                  <c:v>0.5545</c:v>
                </c:pt>
                <c:pt idx="2">
                  <c:v>0.1364</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160663998347"/>
          <c:y val="0.13583287554172"/>
          <c:w val="0.450353628657568"/>
          <c:h val="0.86416712445828"/>
        </c:manualLayout>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Lbls>
            <c:dLbl>
              <c:idx val="0"/>
              <c:layout>
                <c:manualLayout>
                  <c:x val="-0.0158283335200211"/>
                  <c:y val="0.27005737654886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85513925065117"/>
                      <c:h val="0.191860465116279"/>
                    </c:manualLayout>
                  </c15:layout>
                </c:ext>
              </c:extLst>
            </c:dLbl>
            <c:dLbl>
              <c:idx val="1"/>
              <c:layout>
                <c:manualLayout>
                  <c:x val="0.00400721298337007"/>
                  <c:y val="0.038759689922480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07553596473653"/>
                      <c:h val="0.191860465116279"/>
                    </c:manualLayout>
                  </c15:layout>
                </c:ext>
              </c:extLst>
            </c:dLbl>
            <c:dLbl>
              <c:idx val="2"/>
              <c:layout>
                <c:manualLayout>
                  <c:x val="0.0479281604525942"/>
                  <c:y val="0.033003418177379"/>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304548186736125"/>
                      <c:h val="0.143410852713178"/>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很满意</c:v>
                </c:pt>
                <c:pt idx="1">
                  <c:v> 比较满意</c:v>
                </c:pt>
                <c:pt idx="2">
                  <c:v>一般</c:v>
                </c:pt>
              </c:strCache>
            </c:strRef>
          </c:cat>
          <c:val>
            <c:numRef>
              <c:f>Sheet1!$B$2:$B$4</c:f>
              <c:numCache>
                <c:formatCode>0.00%</c:formatCode>
                <c:ptCount val="3"/>
                <c:pt idx="0">
                  <c:v>0.445454</c:v>
                </c:pt>
                <c:pt idx="1">
                  <c:v>0.436363</c:v>
                </c:pt>
                <c:pt idx="2">
                  <c:v>0.118181</c:v>
                </c:pt>
              </c:numCache>
            </c:numRef>
          </c:val>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182001967268"/>
          <c:y val="0.062199604184337"/>
          <c:w val="0.878482929746776"/>
          <c:h val="0.802582819641183"/>
        </c:manualLayout>
      </c:layout>
      <c:lineChart>
        <c:grouping val="standard"/>
        <c:varyColors val="0"/>
        <c:ser>
          <c:idx val="0"/>
          <c:order val="0"/>
          <c:tx>
            <c:strRef>
              <c:f>Sheet1!$B$1</c:f>
              <c:strCache>
                <c:ptCount val="1"/>
                <c:pt idx="0">
                  <c:v>比例</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0"/>
              <c:layout>
                <c:manualLayout>
                  <c:x val="-0.0888513229631607"/>
                  <c:y val="-0.05188067444876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5147619259457"/>
                  <c:y val="-0.04669260700389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9718502701287"/>
                  <c:y val="-0.04150453955901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10547127936692"/>
                  <c:y val="-0.03112840466926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61206261646674"/>
                  <c:y val="-0.05188067444876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11865395356656"/>
                  <c:y val="-0.05188067444876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2001-3000元</c:v>
                </c:pt>
                <c:pt idx="2">
                  <c:v>3001-4000元</c:v>
                </c:pt>
                <c:pt idx="3">
                  <c:v>4001-5000元</c:v>
                </c:pt>
                <c:pt idx="4">
                  <c:v>5001-6000元</c:v>
                </c:pt>
                <c:pt idx="5">
                  <c:v>6001元及以上</c:v>
                </c:pt>
              </c:strCache>
            </c:strRef>
          </c:cat>
          <c:val>
            <c:numRef>
              <c:f>Sheet1!$B$2:$B$7</c:f>
              <c:numCache>
                <c:formatCode>0.00%</c:formatCode>
                <c:ptCount val="6"/>
                <c:pt idx="0">
                  <c:v>0.317554</c:v>
                </c:pt>
                <c:pt idx="1">
                  <c:v>0.420118</c:v>
                </c:pt>
                <c:pt idx="2">
                  <c:v>0.169625</c:v>
                </c:pt>
                <c:pt idx="3">
                  <c:v>0.061143</c:v>
                </c:pt>
                <c:pt idx="4">
                  <c:v>0.011834</c:v>
                </c:pt>
                <c:pt idx="5">
                  <c:v>0.019723</c:v>
                </c:pt>
              </c:numCache>
            </c:numRef>
          </c:val>
          <c:smooth val="1"/>
        </c:ser>
        <c:dLbls>
          <c:showLegendKey val="0"/>
          <c:showVal val="1"/>
          <c:showCatName val="0"/>
          <c:showSerName val="0"/>
          <c:showPercent val="0"/>
          <c:showBubbleSize val="0"/>
        </c:dLbls>
        <c:marker val="1"/>
        <c:smooth val="1"/>
        <c:axId val="1205049824"/>
        <c:axId val="1205050384"/>
      </c:lineChart>
      <c:catAx>
        <c:axId val="1205049824"/>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205050384"/>
        <c:crosses val="autoZero"/>
        <c:auto val="1"/>
        <c:lblAlgn val="ctr"/>
        <c:lblOffset val="100"/>
        <c:noMultiLvlLbl val="0"/>
      </c:catAx>
      <c:valAx>
        <c:axId val="1205050384"/>
        <c:scaling>
          <c:orientation val="minMax"/>
        </c:scaling>
        <c:delete val="0"/>
        <c:axPos val="l"/>
        <c:numFmt formatCode="0.00%"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ln>
                  <a:noFill/>
                </a:ln>
                <a:solidFill>
                  <a:sysClr val="windowText" lastClr="000000"/>
                </a:solidFill>
                <a:latin typeface="+mn-lt"/>
                <a:ea typeface="+mn-ea"/>
                <a:cs typeface="+mn-cs"/>
              </a:defRPr>
            </a:pPr>
          </a:p>
        </c:txPr>
        <c:crossAx val="1205049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62118378553949"/>
          <c:y val="0.0214223879909748"/>
          <c:w val="0.959686572614242"/>
          <c:h val="0.956971300718558"/>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Pt>
            <c:idx val="0"/>
            <c:invertIfNegative val="0"/>
            <c:bubble3D val="0"/>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dPt>
            <c:idx val="3"/>
            <c:invertIfNegative val="0"/>
            <c:bubble3D val="0"/>
            <c:spPr>
              <a:gradFill>
                <a:gsLst>
                  <a:gs pos="0">
                    <a:schemeClr val="accent3">
                      <a:lumMod val="75000"/>
                    </a:schemeClr>
                  </a:gs>
                  <a:gs pos="80000">
                    <a:schemeClr val="accent3">
                      <a:lumMod val="60000"/>
                      <a:lumOff val="40000"/>
                    </a:schemeClr>
                  </a:gs>
                  <a:gs pos="100000">
                    <a:schemeClr val="accent3">
                      <a:lumMod val="40000"/>
                      <a:lumOff val="60000"/>
                    </a:schemeClr>
                  </a:gs>
                </a:gsLst>
                <a:lin ang="16200000" scaled="1"/>
              </a:gradFill>
              <a:ln>
                <a:noFill/>
              </a:ln>
              <a:effectLst/>
            </c:spPr>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ahoma" panose="020B0604030504040204" pitchFamily="34" charset="0"/>
                    <a:ea typeface="Tahoma" panose="020B0604030504040204" pitchFamily="34" charset="0"/>
                    <a:cs typeface="Tahoma" panose="020B0604030504040204" pitchFamily="3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Sheet1!$A$2:$A$6</c:f>
              <c:strCache>
                <c:ptCount val="5"/>
                <c:pt idx="0">
                  <c:v>无锡市</c:v>
                </c:pt>
                <c:pt idx="1">
                  <c:v>南京市</c:v>
                </c:pt>
                <c:pt idx="2">
                  <c:v>苏州市</c:v>
                </c:pt>
                <c:pt idx="3">
                  <c:v>本省平均薪酬</c:v>
                </c:pt>
                <c:pt idx="4">
                  <c:v>盐城市</c:v>
                </c:pt>
              </c:strCache>
            </c:strRef>
          </c:cat>
          <c:val>
            <c:numRef>
              <c:f>Sheet1!$B$2:$B$6</c:f>
              <c:numCache>
                <c:formatCode>General</c:formatCode>
                <c:ptCount val="5"/>
                <c:pt idx="0">
                  <c:v>3825</c:v>
                </c:pt>
                <c:pt idx="1">
                  <c:v>3770</c:v>
                </c:pt>
                <c:pt idx="2">
                  <c:v>3467.44</c:v>
                </c:pt>
                <c:pt idx="3">
                  <c:v>2702.26</c:v>
                </c:pt>
                <c:pt idx="4">
                  <c:v>2542.07</c:v>
                </c:pt>
              </c:numCache>
            </c:numRef>
          </c:val>
        </c:ser>
        <c:dLbls>
          <c:showLegendKey val="0"/>
          <c:showVal val="0"/>
          <c:showCatName val="0"/>
          <c:showSerName val="0"/>
          <c:showPercent val="0"/>
          <c:showBubbleSize val="0"/>
        </c:dLbls>
        <c:gapWidth val="100"/>
        <c:axId val="632021136"/>
        <c:axId val="632021696"/>
      </c:barChart>
      <c:catAx>
        <c:axId val="632021136"/>
        <c:scaling>
          <c:orientation val="maxMin"/>
        </c:scaling>
        <c:delete val="0"/>
        <c:axPos val="l"/>
        <c:numFmt formatCode="General" sourceLinked="0"/>
        <c:majorTickMark val="none"/>
        <c:minorTickMark val="none"/>
        <c:tickLblPos val="nextTo"/>
        <c:spPr>
          <a:noFill/>
          <a:ln w="19050" cap="flat" cmpd="sng" algn="ctr">
            <a:solidFill>
              <a:srgbClr val="40AFFF"/>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632021696"/>
        <c:crosses val="autoZero"/>
        <c:auto val="1"/>
        <c:lblAlgn val="ctr"/>
        <c:lblOffset val="100"/>
        <c:noMultiLvlLbl val="0"/>
      </c:catAx>
      <c:valAx>
        <c:axId val="632021696"/>
        <c:scaling>
          <c:orientation val="minMax"/>
          <c:min val="0"/>
        </c:scaling>
        <c:delete val="1"/>
        <c:axPos val="t"/>
        <c:numFmt formatCode="General"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202113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158116599061"/>
          <c:y val="0.0214223879909748"/>
          <c:w val="0.515921737055595"/>
          <c:h val="0.955952666933582"/>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Pt>
            <c:idx val="1"/>
            <c:invertIfNegative val="0"/>
            <c:bubble3D val="0"/>
            <c:spPr>
              <a:gradFill>
                <a:gsLst>
                  <a:gs pos="0">
                    <a:schemeClr val="accent3">
                      <a:lumMod val="75000"/>
                    </a:schemeClr>
                  </a:gs>
                  <a:gs pos="80000">
                    <a:schemeClr val="accent3">
                      <a:lumMod val="60000"/>
                      <a:lumOff val="40000"/>
                    </a:schemeClr>
                  </a:gs>
                  <a:gs pos="100000">
                    <a:schemeClr val="accent3">
                      <a:lumMod val="40000"/>
                      <a:lumOff val="60000"/>
                    </a:schemeClr>
                  </a:gs>
                </a:gsLst>
                <a:lin ang="16200000" scaled="1"/>
              </a:gradFill>
              <a:ln>
                <a:noFill/>
              </a:ln>
              <a:effectLst/>
            </c:spPr>
          </c:dPt>
          <c:dPt>
            <c:idx val="2"/>
            <c:invertIfNegative val="0"/>
            <c:bubble3D val="0"/>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Sheet1!$A$2:$A$8</c:f>
              <c:strCache>
                <c:ptCount val="7"/>
                <c:pt idx="0">
                  <c:v>教育</c:v>
                </c:pt>
                <c:pt idx="1">
                  <c:v>本校平均薪酬</c:v>
                </c:pt>
                <c:pt idx="2">
                  <c:v>建筑业</c:v>
                </c:pt>
                <c:pt idx="3">
                  <c:v>住宿和餐饮业</c:v>
                </c:pt>
                <c:pt idx="4">
                  <c:v>信息传输、软件和信息技术服务业</c:v>
                </c:pt>
                <c:pt idx="5">
                  <c:v>文化、体育和娱乐业</c:v>
                </c:pt>
                <c:pt idx="6">
                  <c:v>制造业</c:v>
                </c:pt>
              </c:strCache>
            </c:strRef>
          </c:cat>
          <c:val>
            <c:numRef>
              <c:f>Sheet1!$B$2:$B$8</c:f>
              <c:numCache>
                <c:formatCode>0.00_ </c:formatCode>
                <c:ptCount val="7"/>
                <c:pt idx="0">
                  <c:v>2592.11</c:v>
                </c:pt>
                <c:pt idx="1">
                  <c:v>2833.45</c:v>
                </c:pt>
                <c:pt idx="2">
                  <c:v>3264.29</c:v>
                </c:pt>
                <c:pt idx="3">
                  <c:v>3330</c:v>
                </c:pt>
                <c:pt idx="4">
                  <c:v>3716.67</c:v>
                </c:pt>
                <c:pt idx="5">
                  <c:v>4320</c:v>
                </c:pt>
                <c:pt idx="6">
                  <c:v>4350</c:v>
                </c:pt>
              </c:numCache>
            </c:numRef>
          </c:val>
        </c:ser>
        <c:dLbls>
          <c:showLegendKey val="0"/>
          <c:showVal val="0"/>
          <c:showCatName val="0"/>
          <c:showSerName val="0"/>
          <c:showPercent val="0"/>
          <c:showBubbleSize val="0"/>
        </c:dLbls>
        <c:gapWidth val="100"/>
        <c:axId val="632023936"/>
        <c:axId val="518244256"/>
      </c:barChart>
      <c:catAx>
        <c:axId val="632023936"/>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518244256"/>
        <c:crosses val="autoZero"/>
        <c:auto val="1"/>
        <c:lblAlgn val="ctr"/>
        <c:lblOffset val="100"/>
        <c:noMultiLvlLbl val="0"/>
      </c:catAx>
      <c:valAx>
        <c:axId val="518244256"/>
        <c:scaling>
          <c:orientation val="minMax"/>
          <c:min val="0"/>
        </c:scaling>
        <c:delete val="1"/>
        <c:axPos val="b"/>
        <c:numFmt formatCode="0.00_ "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202393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901140170984"/>
          <c:y val="0.0103988640764167"/>
          <c:w val="0.633922576398207"/>
          <c:h val="0.970229138024414"/>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Pt>
            <c:idx val="1"/>
            <c:invertIfNegative val="0"/>
            <c:bubble3D val="0"/>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dPt>
            <c:idx val="3"/>
            <c:invertIfNegative val="0"/>
            <c:bubble3D val="0"/>
            <c:spPr>
              <a:gradFill>
                <a:gsLst>
                  <a:gs pos="0">
                    <a:schemeClr val="accent3">
                      <a:lumMod val="75000"/>
                    </a:schemeClr>
                  </a:gs>
                  <a:gs pos="80000">
                    <a:schemeClr val="accent3">
                      <a:lumMod val="60000"/>
                      <a:lumOff val="40000"/>
                    </a:schemeClr>
                  </a:gs>
                  <a:gs pos="100000">
                    <a:schemeClr val="accent3">
                      <a:lumMod val="40000"/>
                      <a:lumOff val="60000"/>
                    </a:schemeClr>
                  </a:gs>
                </a:gsLst>
                <a:lin ang="16200000" scaled="1"/>
              </a:gradFill>
              <a:ln>
                <a:noFill/>
              </a:ln>
              <a:effectLst/>
            </c:spPr>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Sheet1!$A$2:$A$8</c:f>
              <c:strCache>
                <c:ptCount val="7"/>
                <c:pt idx="0">
                  <c:v>部队</c:v>
                </c:pt>
                <c:pt idx="1">
                  <c:v>党政机关</c:v>
                </c:pt>
                <c:pt idx="2">
                  <c:v>其他事业单位</c:v>
                </c:pt>
                <c:pt idx="3">
                  <c:v>本校平均薪酬</c:v>
                </c:pt>
                <c:pt idx="4">
                  <c:v>中初教育单位</c:v>
                </c:pt>
                <c:pt idx="5">
                  <c:v>高等教育单位</c:v>
                </c:pt>
                <c:pt idx="6">
                  <c:v>国有企业</c:v>
                </c:pt>
              </c:strCache>
            </c:strRef>
          </c:cat>
          <c:val>
            <c:numRef>
              <c:f>Sheet1!$B$2:$B$8</c:f>
              <c:numCache>
                <c:formatCode>0.00_ </c:formatCode>
                <c:ptCount val="7"/>
                <c:pt idx="0">
                  <c:v>2552.6</c:v>
                </c:pt>
                <c:pt idx="1">
                  <c:v>2698.68</c:v>
                </c:pt>
                <c:pt idx="2">
                  <c:v>2764.94</c:v>
                </c:pt>
                <c:pt idx="3">
                  <c:v>2833.45</c:v>
                </c:pt>
                <c:pt idx="4">
                  <c:v>2837.03</c:v>
                </c:pt>
                <c:pt idx="5">
                  <c:v>2955.89</c:v>
                </c:pt>
                <c:pt idx="6">
                  <c:v>3431.82</c:v>
                </c:pt>
              </c:numCache>
            </c:numRef>
          </c:val>
        </c:ser>
        <c:dLbls>
          <c:showLegendKey val="0"/>
          <c:showVal val="0"/>
          <c:showCatName val="0"/>
          <c:showSerName val="0"/>
          <c:showPercent val="0"/>
          <c:showBubbleSize val="0"/>
        </c:dLbls>
        <c:gapWidth val="100"/>
        <c:axId val="518246496"/>
        <c:axId val="518247056"/>
      </c:barChart>
      <c:catAx>
        <c:axId val="518246496"/>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518247056"/>
        <c:crosses val="autoZero"/>
        <c:auto val="1"/>
        <c:lblAlgn val="ctr"/>
        <c:lblOffset val="100"/>
        <c:noMultiLvlLbl val="0"/>
      </c:catAx>
      <c:valAx>
        <c:axId val="518247056"/>
        <c:scaling>
          <c:orientation val="minMax"/>
          <c:min val="0"/>
        </c:scaling>
        <c:delete val="1"/>
        <c:axPos val="b"/>
        <c:numFmt formatCode="0.00_ "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1824649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460170835536"/>
          <c:y val="0.198302226110625"/>
          <c:w val="0.564193539411814"/>
          <c:h val="0.739198016914552"/>
        </c:manualLayout>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0306242638398117"/>
                  <c:y val="0.061728638086905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170765792085177"/>
                      <c:h val="0.170895304753572"/>
                    </c:manualLayout>
                  </c15:layout>
                </c:ext>
              </c:extLst>
            </c:dLbl>
            <c:dLbl>
              <c:idx val="1"/>
              <c:layout>
                <c:manualLayout>
                  <c:x val="0.0170497945707317"/>
                  <c:y val="-0.0030861767279090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21436984687868"/>
                      <c:h val="0.224599008457276"/>
                    </c:manualLayout>
                  </c15:layout>
                </c:ext>
              </c:extLst>
            </c:dLbl>
            <c:dLbl>
              <c:idx val="2"/>
              <c:layout>
                <c:manualLayout>
                  <c:x val="-0.00471142520612485"/>
                  <c:y val="0.01851851851851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800942285041225"/>
                  <c:y val="0.046296296296296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96819787985866"/>
                      <c:h val="0.175216292407893"/>
                    </c:manualLayout>
                  </c15:layout>
                </c:ext>
              </c:extLst>
            </c:dLbl>
            <c:dLbl>
              <c:idx val="4"/>
              <c:layout>
                <c:manualLayout>
                  <c:x val="0.0895170789163722"/>
                  <c:y val="0.012345922037523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44994110718492"/>
                      <c:h val="0.17521629240789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0.597656</c:v>
                </c:pt>
                <c:pt idx="1">
                  <c:v>0.18164</c:v>
                </c:pt>
                <c:pt idx="2">
                  <c:v>0.117187</c:v>
                </c:pt>
                <c:pt idx="3">
                  <c:v>0.046875</c:v>
                </c:pt>
                <c:pt idx="4">
                  <c:v>0.05664</c:v>
                </c:pt>
              </c:numCache>
            </c:numRef>
          </c:val>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50119078455979"/>
          <c:y val="0.105464324932709"/>
          <c:w val="0.891110736676919"/>
          <c:h val="0.808949758346023"/>
        </c:manualLayout>
      </c:layout>
      <c:doughnutChart>
        <c:varyColors val="1"/>
        <c:ser>
          <c:idx val="0"/>
          <c:order val="0"/>
          <c:tx>
            <c:strRef>
              <c:f>Sheet1!$B$1</c:f>
              <c:strCache>
                <c:ptCount val="1"/>
                <c:pt idx="0">
                  <c:v>省内生源</c:v>
                </c:pt>
              </c:strCache>
            </c:strRef>
          </c:tx>
          <c:spPr/>
          <c:explosion val="0"/>
          <c:dPt>
            <c:idx val="0"/>
            <c:bubble3D val="0"/>
            <c:spPr>
              <a:solidFill>
                <a:schemeClr val="accent1"/>
              </a:solidFill>
              <a:ln w="12700">
                <a:solidFill>
                  <a:schemeClr val="bg1"/>
                </a:solidFill>
              </a:ln>
              <a:effectLst/>
            </c:spPr>
          </c:dPt>
          <c:dPt>
            <c:idx val="1"/>
            <c:bubble3D val="0"/>
            <c:spPr>
              <a:solidFill>
                <a:schemeClr val="accent3"/>
              </a:solidFill>
              <a:ln w="22225">
                <a:solidFill>
                  <a:schemeClr val="bg1"/>
                </a:solidFill>
              </a:ln>
              <a:effectLst/>
            </c:spPr>
          </c:dPt>
          <c:dLbls>
            <c:delete val="1"/>
          </c:dLbls>
          <c:cat>
            <c:strRef>
              <c:f>Sheet1!$A$2:$A$3</c:f>
              <c:strCache>
                <c:ptCount val="2"/>
                <c:pt idx="0">
                  <c:v>省内</c:v>
                </c:pt>
                <c:pt idx="1">
                  <c:v>省外</c:v>
                </c:pt>
              </c:strCache>
            </c:strRef>
          </c:cat>
          <c:val>
            <c:numRef>
              <c:f>Sheet1!$B$2:$B$3</c:f>
              <c:numCache>
                <c:formatCode>0.00%</c:formatCode>
                <c:ptCount val="2"/>
                <c:pt idx="0">
                  <c:v>0.9937</c:v>
                </c:pt>
                <c:pt idx="1">
                  <c:v>0.0063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261914629092"/>
          <c:y val="0.0214223879909748"/>
          <c:w val="0.560232713825752"/>
          <c:h val="0.978577877765279"/>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Sheet1!$A$2:$A$7</c:f>
              <c:strCache>
                <c:ptCount val="6"/>
                <c:pt idx="0">
                  <c:v>其他</c:v>
                </c:pt>
                <c:pt idx="1">
                  <c:v>想找相关工作，但是机会太少</c:v>
                </c:pt>
                <c:pt idx="2">
                  <c:v>想找相关工作，但是不符合要求</c:v>
                </c:pt>
                <c:pt idx="3">
                  <c:v>不想找相关工作，因为工作环境</c:v>
                </c:pt>
                <c:pt idx="4">
                  <c:v>不想找相关工作，因为收入待遇</c:v>
                </c:pt>
                <c:pt idx="5">
                  <c:v>不想找相关工作，因为个人兴趣</c:v>
                </c:pt>
              </c:strCache>
            </c:strRef>
          </c:cat>
          <c:val>
            <c:numRef>
              <c:f>Sheet1!$B$2:$B$7</c:f>
              <c:numCache>
                <c:formatCode>0.00%</c:formatCode>
                <c:ptCount val="6"/>
                <c:pt idx="0">
                  <c:v>0.094339</c:v>
                </c:pt>
                <c:pt idx="1">
                  <c:v>0.132075</c:v>
                </c:pt>
                <c:pt idx="2">
                  <c:v>0.132075</c:v>
                </c:pt>
                <c:pt idx="3">
                  <c:v>0.150943</c:v>
                </c:pt>
                <c:pt idx="4">
                  <c:v>0.169811</c:v>
                </c:pt>
                <c:pt idx="5">
                  <c:v>0.320754</c:v>
                </c:pt>
              </c:numCache>
            </c:numRef>
          </c:val>
        </c:ser>
        <c:dLbls>
          <c:showLegendKey val="0"/>
          <c:showVal val="0"/>
          <c:showCatName val="0"/>
          <c:showSerName val="0"/>
          <c:showPercent val="0"/>
          <c:showBubbleSize val="0"/>
        </c:dLbls>
        <c:gapWidth val="100"/>
        <c:axId val="647450704"/>
        <c:axId val="647451264"/>
      </c:barChart>
      <c:catAx>
        <c:axId val="647450704"/>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647451264"/>
        <c:crosses val="autoZero"/>
        <c:auto val="1"/>
        <c:lblAlgn val="ctr"/>
        <c:lblOffset val="100"/>
        <c:noMultiLvlLbl val="0"/>
      </c:catAx>
      <c:valAx>
        <c:axId val="647451264"/>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4745070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779360618792"/>
          <c:y val="0.176021370109801"/>
          <c:w val="0.574500060283984"/>
          <c:h val="0.82112887404226"/>
        </c:manualLayout>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00942285041224979"/>
                  <c:y val="0.007889546351084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99890561383007"/>
                  <c:y val="-0.00374380717203249"/>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21436984687868"/>
                      <c:h val="0.224599008457276"/>
                    </c:manualLayout>
                  </c15:layout>
                </c:ext>
              </c:extLst>
            </c:dLbl>
            <c:dLbl>
              <c:idx val="2"/>
              <c:layout>
                <c:manualLayout>
                  <c:x val="0"/>
                  <c:y val="0.023668639053254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400471142520612"/>
                  <c:y val="3.10612061066331e-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63839811542992"/>
                      <c:h val="0.220170526021525"/>
                    </c:manualLayout>
                  </c15:layout>
                </c:ext>
              </c:extLst>
            </c:dLbl>
            <c:dLbl>
              <c:idx val="4"/>
              <c:layout>
                <c:manualLayout>
                  <c:x val="0.167255594817432"/>
                  <c:y val="3.10612061066331e-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38704543557497"/>
                      <c:h val="0.207001817080557"/>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c:formatCode>
                <c:ptCount val="5"/>
                <c:pt idx="0">
                  <c:v>0.36914</c:v>
                </c:pt>
                <c:pt idx="1">
                  <c:v>0.316406</c:v>
                </c:pt>
                <c:pt idx="2">
                  <c:v>0.251953</c:v>
                </c:pt>
                <c:pt idx="3">
                  <c:v>0.046875</c:v>
                </c:pt>
                <c:pt idx="4">
                  <c:v>0.015625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984839581619"/>
          <c:y val="0.0355314101021215"/>
          <c:w val="0.741988797410431"/>
          <c:h val="0.537292569699146"/>
        </c:manualLayout>
      </c:layout>
      <c:barChart>
        <c:barDir val="col"/>
        <c:grouping val="clustered"/>
        <c:varyColors val="0"/>
        <c:ser>
          <c:idx val="0"/>
          <c:order val="0"/>
          <c:tx>
            <c:strRef>
              <c:f>Sheet1!$B$1</c:f>
              <c:strCache>
                <c:ptCount val="1"/>
                <c:pt idx="0">
                  <c:v>满意度</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elete val="1"/>
          </c:dLbls>
          <c:cat>
            <c:strRef>
              <c:f>Sheet1!$A$2:$A$5</c:f>
              <c:strCache>
                <c:ptCount val="4"/>
                <c:pt idx="0">
                  <c:v>工作总满意度</c:v>
                </c:pt>
                <c:pt idx="1">
                  <c:v>工作内容满意度</c:v>
                </c:pt>
                <c:pt idx="2">
                  <c:v>职业发展前景满意度</c:v>
                </c:pt>
                <c:pt idx="3">
                  <c:v>薪酬满意度</c:v>
                </c:pt>
              </c:strCache>
            </c:strRef>
          </c:cat>
          <c:val>
            <c:numRef>
              <c:f>Sheet1!$B$2:$B$5</c:f>
              <c:numCache>
                <c:formatCode>0.00%</c:formatCode>
                <c:ptCount val="4"/>
                <c:pt idx="0">
                  <c:v>0.986328</c:v>
                </c:pt>
                <c:pt idx="1">
                  <c:v>0.984375</c:v>
                </c:pt>
                <c:pt idx="2">
                  <c:v>0.980468</c:v>
                </c:pt>
                <c:pt idx="3">
                  <c:v>0.902343</c:v>
                </c:pt>
              </c:numCache>
            </c:numRef>
          </c:val>
        </c:ser>
        <c:dLbls>
          <c:showLegendKey val="0"/>
          <c:showVal val="0"/>
          <c:showCatName val="0"/>
          <c:showSerName val="0"/>
          <c:showPercent val="0"/>
          <c:showBubbleSize val="0"/>
        </c:dLbls>
        <c:gapWidth val="150"/>
        <c:axId val="798199632"/>
        <c:axId val="798200192"/>
      </c:barChart>
      <c:lineChart>
        <c:grouping val="standard"/>
        <c:varyColors val="0"/>
        <c:ser>
          <c:idx val="1"/>
          <c:order val="1"/>
          <c:tx>
            <c:strRef>
              <c:f>Sheet1!$C$1</c:f>
              <c:strCache>
                <c:ptCount val="1"/>
                <c:pt idx="0">
                  <c:v>均值</c:v>
                </c:pt>
              </c:strCache>
            </c:strRef>
          </c:tx>
          <c:spPr>
            <a:ln w="19050" cap="rnd" cmpd="sng" algn="ctr">
              <a:solidFill>
                <a:schemeClr val="accent2"/>
              </a:solidFill>
              <a:prstDash val="solid"/>
              <a:round/>
            </a:ln>
            <a:effectLst/>
          </c:spPr>
          <c:marker>
            <c:symbol val="diamond"/>
            <c:size val="8"/>
            <c:spPr>
              <a:solidFill>
                <a:schemeClr val="accent2"/>
              </a:solidFill>
              <a:ln w="6350" cap="flat" cmpd="sng" algn="ctr">
                <a:solidFill>
                  <a:schemeClr val="accent2"/>
                </a:solidFill>
                <a:prstDash val="solid"/>
                <a:round/>
              </a:ln>
              <a:effectLst/>
            </c:spPr>
          </c:marker>
          <c:dLbls>
            <c:delete val="1"/>
          </c:dLbls>
          <c:cat>
            <c:strRef>
              <c:f>Sheet1!$A$2:$A$5</c:f>
              <c:strCache>
                <c:ptCount val="4"/>
                <c:pt idx="0">
                  <c:v>工作总满意度</c:v>
                </c:pt>
                <c:pt idx="1">
                  <c:v>工作内容满意度</c:v>
                </c:pt>
                <c:pt idx="2">
                  <c:v>职业发展前景满意度</c:v>
                </c:pt>
                <c:pt idx="3">
                  <c:v>薪酬满意度</c:v>
                </c:pt>
              </c:strCache>
            </c:strRef>
          </c:cat>
          <c:val>
            <c:numRef>
              <c:f>Sheet1!$C$2:$C$5</c:f>
              <c:numCache>
                <c:formatCode>General</c:formatCode>
                <c:ptCount val="4"/>
                <c:pt idx="0">
                  <c:v>3.86</c:v>
                </c:pt>
                <c:pt idx="1">
                  <c:v>3.89</c:v>
                </c:pt>
                <c:pt idx="2">
                  <c:v>3.82</c:v>
                </c:pt>
                <c:pt idx="3">
                  <c:v>3.41</c:v>
                </c:pt>
              </c:numCache>
            </c:numRef>
          </c:val>
          <c:smooth val="0"/>
        </c:ser>
        <c:dLbls>
          <c:showLegendKey val="0"/>
          <c:showVal val="0"/>
          <c:showCatName val="0"/>
          <c:showSerName val="0"/>
          <c:showPercent val="0"/>
          <c:showBubbleSize val="0"/>
        </c:dLbls>
        <c:marker val="1"/>
        <c:smooth val="0"/>
        <c:axId val="622853760"/>
        <c:axId val="798200752"/>
      </c:lineChart>
      <c:catAx>
        <c:axId val="79819963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8200192"/>
        <c:crosses val="autoZero"/>
        <c:auto val="1"/>
        <c:lblAlgn val="ctr"/>
        <c:lblOffset val="100"/>
        <c:noMultiLvlLbl val="0"/>
      </c:catAx>
      <c:valAx>
        <c:axId val="798200192"/>
        <c:scaling>
          <c:orientation val="minMax"/>
          <c:max val="1"/>
          <c:min val="0.5"/>
        </c:scaling>
        <c:delete val="0"/>
        <c:axPos val="l"/>
        <c:numFmt formatCode="0.00%" sourceLinked="1"/>
        <c:majorTickMark val="in"/>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8199632"/>
        <c:crosses val="autoZero"/>
        <c:crossBetween val="between"/>
      </c:valAx>
      <c:catAx>
        <c:axId val="622853760"/>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98200752"/>
        <c:crosses val="autoZero"/>
        <c:auto val="1"/>
        <c:lblAlgn val="ctr"/>
        <c:lblOffset val="100"/>
        <c:noMultiLvlLbl val="0"/>
      </c:catAx>
      <c:valAx>
        <c:axId val="798200752"/>
        <c:scaling>
          <c:orientation val="minMax"/>
          <c:min val="2"/>
        </c:scaling>
        <c:delete val="0"/>
        <c:axPos val="r"/>
        <c:numFmt formatCode="#,##0.00_);[Red]\(#,##0.00\)" sourceLinked="0"/>
        <c:majorTickMark val="in"/>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22853760"/>
        <c:crosses val="max"/>
        <c:crossBetween val="between"/>
      </c:valAx>
      <c:dTable>
        <c:showHorzBorder val="1"/>
        <c:showVertBorder val="1"/>
        <c:showOutline val="1"/>
        <c:showKeys val="1"/>
        <c:spPr>
          <a:noFill/>
          <a:ln w="15875" cap="flat" cmpd="sng" algn="ctr">
            <a:solidFill>
              <a:schemeClr val="accent1"/>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53342338484"/>
          <c:y val="0.0705626342161776"/>
          <c:w val="0.866633858267717"/>
          <c:h val="0.786058617672792"/>
        </c:manualLayout>
      </c:layout>
      <c:lineChart>
        <c:grouping val="standard"/>
        <c:varyColors val="0"/>
        <c:ser>
          <c:idx val="0"/>
          <c:order val="0"/>
          <c:tx>
            <c:strRef>
              <c:f>Sheet1!$B$1</c:f>
              <c:strCache>
                <c:ptCount val="1"/>
                <c:pt idx="0">
                  <c:v>就业率</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2015届</c:v>
                </c:pt>
                <c:pt idx="1">
                  <c:v>2016届</c:v>
                </c:pt>
                <c:pt idx="2">
                  <c:v>2017届</c:v>
                </c:pt>
              </c:strCache>
            </c:strRef>
          </c:cat>
          <c:val>
            <c:numRef>
              <c:f>Sheet1!$B$2:$B$4</c:f>
              <c:numCache>
                <c:formatCode>0.00%</c:formatCode>
                <c:ptCount val="3"/>
                <c:pt idx="0">
                  <c:v>0.9332</c:v>
                </c:pt>
                <c:pt idx="1">
                  <c:v>0.949</c:v>
                </c:pt>
                <c:pt idx="2">
                  <c:v>0.968045112781955</c:v>
                </c:pt>
              </c:numCache>
            </c:numRef>
          </c:val>
          <c:smooth val="0"/>
        </c:ser>
        <c:dLbls>
          <c:showLegendKey val="0"/>
          <c:showVal val="1"/>
          <c:showCatName val="0"/>
          <c:showSerName val="0"/>
          <c:showPercent val="0"/>
          <c:showBubbleSize val="0"/>
        </c:dLbls>
        <c:marker val="1"/>
        <c:smooth val="0"/>
        <c:axId val="619484784"/>
        <c:axId val="588446096"/>
      </c:lineChart>
      <c:catAx>
        <c:axId val="619484784"/>
        <c:scaling>
          <c:orientation val="minMax"/>
        </c:scaling>
        <c:delete val="0"/>
        <c:axPos val="b"/>
        <c:numFmt formatCode="General"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588446096"/>
        <c:crosses val="autoZero"/>
        <c:auto val="1"/>
        <c:lblAlgn val="ctr"/>
        <c:lblOffset val="100"/>
        <c:noMultiLvlLbl val="0"/>
      </c:catAx>
      <c:valAx>
        <c:axId val="588446096"/>
        <c:scaling>
          <c:orientation val="minMax"/>
          <c:max val="1"/>
          <c:min val="0.6"/>
        </c:scaling>
        <c:delete val="0"/>
        <c:axPos val="l"/>
        <c:numFmt formatCode="0.00%" sourceLinked="1"/>
        <c:majorTickMark val="in"/>
        <c:minorTickMark val="none"/>
        <c:tickLblPos val="nextTo"/>
        <c:spPr>
          <a:noFill/>
          <a:ln w="63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61948478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b="0">
          <a:solidFill>
            <a:schemeClr val="tx1"/>
          </a:solidFill>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137996981876317"/>
          <c:y val="0.00318298036021359"/>
          <c:w val="0.998620030181237"/>
          <c:h val="0.854633201860348"/>
        </c:manualLayout>
      </c:layout>
      <c:barChart>
        <c:barDir val="col"/>
        <c:grouping val="clustered"/>
        <c:varyColors val="0"/>
        <c:ser>
          <c:idx val="0"/>
          <c:order val="0"/>
          <c:tx>
            <c:strRef>
              <c:f>Sheet1!$B$1</c:f>
              <c:strCache>
                <c:ptCount val="1"/>
                <c:pt idx="0">
                  <c:v>月均薪酬</c:v>
                </c:pt>
              </c:strCache>
            </c:strRef>
          </c:tx>
          <c:spPr>
            <a:gradFill>
              <a:gsLst>
                <a:gs pos="0">
                  <a:schemeClr val="accent1">
                    <a:lumMod val="75000"/>
                  </a:schemeClr>
                </a:gs>
                <a:gs pos="49000">
                  <a:schemeClr val="accent1">
                    <a:lumMod val="60000"/>
                    <a:lumOff val="40000"/>
                  </a:schemeClr>
                </a:gs>
                <a:gs pos="100000">
                  <a:schemeClr val="accent1">
                    <a:lumMod val="40000"/>
                    <a:lumOff val="60000"/>
                  </a:schemeClr>
                </a:gs>
              </a:gsLst>
              <a:lin ang="16200000" scaled="1"/>
            </a:gradFill>
            <a:ln>
              <a:noFill/>
            </a:ln>
            <a:effectLst/>
          </c:spPr>
          <c:invertIfNegative val="0"/>
          <c:dPt>
            <c:idx val="1"/>
            <c:invertIfNegative val="0"/>
            <c:bubble3D val="0"/>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dPt>
            <c:idx val="2"/>
            <c:invertIfNegative val="0"/>
            <c:bubble3D val="0"/>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dLbls>
            <c:dLbl>
              <c:idx val="1"/>
              <c:layout>
                <c:manualLayout>
                  <c:x val="0"/>
                  <c:y val="-0.01869158878504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2015届</c:v>
                </c:pt>
                <c:pt idx="1">
                  <c:v>2016届</c:v>
                </c:pt>
                <c:pt idx="2">
                  <c:v>2017届</c:v>
                </c:pt>
              </c:strCache>
            </c:strRef>
          </c:cat>
          <c:val>
            <c:numRef>
              <c:f>Sheet1!$B$2:$B$4</c:f>
              <c:numCache>
                <c:formatCode>0.00</c:formatCode>
                <c:ptCount val="3"/>
                <c:pt idx="0">
                  <c:v>2740</c:v>
                </c:pt>
                <c:pt idx="1">
                  <c:v>2875</c:v>
                </c:pt>
                <c:pt idx="2">
                  <c:v>2833.45</c:v>
                </c:pt>
              </c:numCache>
            </c:numRef>
          </c:val>
        </c:ser>
        <c:dLbls>
          <c:showLegendKey val="0"/>
          <c:showVal val="1"/>
          <c:showCatName val="0"/>
          <c:showSerName val="0"/>
          <c:showPercent val="0"/>
          <c:showBubbleSize val="0"/>
        </c:dLbls>
        <c:gapWidth val="280"/>
        <c:axId val="588448336"/>
        <c:axId val="588448896"/>
      </c:barChart>
      <c:catAx>
        <c:axId val="588448336"/>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588448896"/>
        <c:crosses val="autoZero"/>
        <c:auto val="1"/>
        <c:lblAlgn val="ctr"/>
        <c:lblOffset val="100"/>
        <c:noMultiLvlLbl val="0"/>
      </c:catAx>
      <c:valAx>
        <c:axId val="588448896"/>
        <c:scaling>
          <c:orientation val="minMax"/>
          <c:max val="4000"/>
          <c:min val="0"/>
        </c:scaling>
        <c:delete val="1"/>
        <c:axPos val="l"/>
        <c:numFmt formatCode="0.00_);[Red]\(0.00\)"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8448336"/>
        <c:crosses val="autoZero"/>
        <c:crossBetween val="between"/>
        <c:majorUnit val="1000"/>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9559902200489"/>
          <c:y val="0.0357376709490261"/>
          <c:w val="0.980440097799511"/>
          <c:h val="0.800367454068242"/>
        </c:manualLayout>
      </c:layout>
      <c:lineChart>
        <c:grouping val="standard"/>
        <c:varyColors val="0"/>
        <c:ser>
          <c:idx val="0"/>
          <c:order val="0"/>
          <c:tx>
            <c:strRef>
              <c:f>Sheet1!$B$1</c:f>
              <c:strCache>
                <c:ptCount val="1"/>
                <c:pt idx="0">
                  <c:v>薪酬</c:v>
                </c:pt>
              </c:strCache>
            </c:strRef>
          </c:tx>
          <c:spPr>
            <a:effectLst/>
          </c:spPr>
          <c:marker>
            <c:symbol val="diamond"/>
            <c:size val="7"/>
            <c:spPr>
              <a:solidFill>
                <a:schemeClr val="accent2"/>
              </a:solidFill>
              <a:ln w="6350" cap="flat" cmpd="sng" algn="ctr">
                <a:noFill/>
                <a:prstDash val="solid"/>
                <a:round/>
              </a:ln>
            </c:spPr>
          </c:marker>
          <c:dLbls>
            <c:dLbl>
              <c:idx val="0"/>
              <c:layout>
                <c:manualLayout>
                  <c:x val="-0.0809146877748461"/>
                  <c:y val="-0.07894736842105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44327176781003"/>
                  <c:y val="-0.07017543859649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73965193664776"/>
                  <c:y val="-0.065789473684210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110589131503681"/>
                      <c:h val="0.106886310263849"/>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2015届</c:v>
                </c:pt>
                <c:pt idx="1">
                  <c:v>2016届</c:v>
                </c:pt>
                <c:pt idx="2">
                  <c:v>2017届</c:v>
                </c:pt>
              </c:strCache>
            </c:strRef>
          </c:cat>
          <c:val>
            <c:numRef>
              <c:f>Sheet1!$B$2:$B$4</c:f>
              <c:numCache>
                <c:formatCode>0.00%</c:formatCode>
                <c:ptCount val="3"/>
                <c:pt idx="0">
                  <c:v>0.9622</c:v>
                </c:pt>
                <c:pt idx="1">
                  <c:v>0.9755</c:v>
                </c:pt>
                <c:pt idx="2">
                  <c:v>0.9706</c:v>
                </c:pt>
              </c:numCache>
            </c:numRef>
          </c:val>
          <c:smooth val="0"/>
        </c:ser>
        <c:dLbls>
          <c:showLegendKey val="0"/>
          <c:showVal val="1"/>
          <c:showCatName val="0"/>
          <c:showSerName val="0"/>
          <c:showPercent val="0"/>
          <c:showBubbleSize val="0"/>
        </c:dLbls>
        <c:marker val="1"/>
        <c:smooth val="0"/>
        <c:axId val="588451136"/>
        <c:axId val="588451696"/>
      </c:lineChart>
      <c:catAx>
        <c:axId val="588451136"/>
        <c:scaling>
          <c:orientation val="minMax"/>
        </c:scaling>
        <c:delete val="0"/>
        <c:axPos val="b"/>
        <c:numFmt formatCode="General"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588451696"/>
        <c:crosses val="autoZero"/>
        <c:auto val="1"/>
        <c:lblAlgn val="ctr"/>
        <c:lblOffset val="100"/>
        <c:noMultiLvlLbl val="0"/>
      </c:catAx>
      <c:valAx>
        <c:axId val="588451696"/>
        <c:scaling>
          <c:orientation val="minMax"/>
          <c:min val="0.8"/>
        </c:scaling>
        <c:delete val="0"/>
        <c:axPos val="l"/>
        <c:numFmt formatCode="0.00%" sourceLinked="1"/>
        <c:majorTickMark val="out"/>
        <c:minorTickMark val="none"/>
        <c:tickLblPos val="nextTo"/>
        <c:spPr>
          <a:ln w="6350" cap="flat" cmpd="sng" algn="ctr">
            <a:solidFill>
              <a:schemeClr val="accent1"/>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58845113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chemeClr val="tx1"/>
          </a:solidFill>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018518518519"/>
          <c:y val="0.0436507936507936"/>
          <c:w val="0.768518518518518"/>
          <c:h val="0.601910861620766"/>
        </c:manualLayout>
      </c:layout>
      <c:lineChart>
        <c:grouping val="standard"/>
        <c:varyColors val="0"/>
        <c:ser>
          <c:idx val="0"/>
          <c:order val="0"/>
          <c:tx>
            <c:strRef>
              <c:f>Sheet1!$B$1</c:f>
              <c:strCache>
                <c:ptCount val="1"/>
                <c:pt idx="0">
                  <c:v>协议就业</c:v>
                </c:pt>
              </c:strCache>
            </c:strRef>
          </c:tx>
          <c:spPr>
            <a:ln w="34925" cap="rnd">
              <a:solidFill>
                <a:schemeClr val="accent1"/>
              </a:solidFill>
              <a:round/>
            </a:ln>
            <a:effectLst/>
          </c:spPr>
          <c:marker>
            <c:symbol val="diamond"/>
            <c:size val="7"/>
            <c:spPr>
              <a:solidFill>
                <a:schemeClr val="accent1"/>
              </a:solidFill>
              <a:ln w="9525">
                <a:solidFill>
                  <a:schemeClr val="accent1"/>
                </a:solidFill>
              </a:ln>
              <a:effectLst/>
            </c:spPr>
          </c:marker>
          <c:dLbls>
            <c:delete val="1"/>
          </c:dLbls>
          <c:cat>
            <c:strRef>
              <c:f>Sheet1!$A$2:$A$3</c:f>
              <c:strCache>
                <c:ptCount val="2"/>
                <c:pt idx="0">
                  <c:v>2016届</c:v>
                </c:pt>
                <c:pt idx="1">
                  <c:v>2017届</c:v>
                </c:pt>
              </c:strCache>
            </c:strRef>
          </c:cat>
          <c:val>
            <c:numRef>
              <c:f>Sheet1!$B$2:$B$3</c:f>
              <c:numCache>
                <c:formatCode>0.00%</c:formatCode>
                <c:ptCount val="2"/>
                <c:pt idx="0">
                  <c:v>0.4217</c:v>
                </c:pt>
                <c:pt idx="1">
                  <c:v>0.592731829573935</c:v>
                </c:pt>
              </c:numCache>
            </c:numRef>
          </c:val>
          <c:smooth val="0"/>
        </c:ser>
        <c:ser>
          <c:idx val="1"/>
          <c:order val="1"/>
          <c:tx>
            <c:strRef>
              <c:f>Sheet1!$C$1</c:f>
              <c:strCache>
                <c:ptCount val="1"/>
                <c:pt idx="0">
                  <c:v>升学</c:v>
                </c:pt>
              </c:strCache>
            </c:strRef>
          </c:tx>
          <c:spPr>
            <a:ln w="3492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Sheet1!$A$2:$A$3</c:f>
              <c:strCache>
                <c:ptCount val="2"/>
                <c:pt idx="0">
                  <c:v>2016届</c:v>
                </c:pt>
                <c:pt idx="1">
                  <c:v>2017届</c:v>
                </c:pt>
              </c:strCache>
            </c:strRef>
          </c:cat>
          <c:val>
            <c:numRef>
              <c:f>Sheet1!$C$2:$C$3</c:f>
              <c:numCache>
                <c:formatCode>0.00%</c:formatCode>
                <c:ptCount val="2"/>
                <c:pt idx="0">
                  <c:v>0.1357</c:v>
                </c:pt>
                <c:pt idx="1">
                  <c:v>0.120300751879699</c:v>
                </c:pt>
              </c:numCache>
            </c:numRef>
          </c:val>
          <c:smooth val="0"/>
        </c:ser>
        <c:dLbls>
          <c:showLegendKey val="0"/>
          <c:showVal val="0"/>
          <c:showCatName val="0"/>
          <c:showSerName val="0"/>
          <c:showPercent val="0"/>
          <c:showBubbleSize val="0"/>
        </c:dLbls>
        <c:marker val="1"/>
        <c:smooth val="0"/>
        <c:axId val="635886416"/>
        <c:axId val="635886976"/>
      </c:lineChart>
      <c:catAx>
        <c:axId val="63588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5886976"/>
        <c:crosses val="autoZero"/>
        <c:auto val="1"/>
        <c:lblAlgn val="ctr"/>
        <c:lblOffset val="100"/>
        <c:noMultiLvlLbl val="0"/>
      </c:catAx>
      <c:valAx>
        <c:axId val="635886976"/>
        <c:scaling>
          <c:orientation val="minMax"/>
          <c:max val="1"/>
        </c:scaling>
        <c:delete val="0"/>
        <c:axPos val="l"/>
        <c:numFmt formatCode="0.00%" sourceLinked="1"/>
        <c:majorTickMark val="in"/>
        <c:minorTickMark val="none"/>
        <c:tickLblPos val="nextTo"/>
        <c:spPr>
          <a:noFill/>
          <a:ln w="15875">
            <a:solidFill>
              <a:schemeClr val="accent1"/>
            </a:solidFill>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5886416"/>
        <c:crosses val="autoZero"/>
        <c:crossBetween val="between"/>
        <c:majorUnit val="0.2"/>
      </c:valAx>
      <c:dTable>
        <c:showHorzBorder val="1"/>
        <c:showVertBorder val="1"/>
        <c:showOutline val="1"/>
        <c:showKeys val="1"/>
        <c:spPr>
          <a:noFill/>
          <a:ln w="15875" cap="flat" cmpd="sng" algn="ctr">
            <a:solidFill>
              <a:schemeClr val="accent1"/>
            </a:solidFill>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674497655006"/>
          <c:y val="0.183134608173978"/>
          <c:w val="0.609110725566084"/>
          <c:h val="0.684524434445694"/>
        </c:manualLayout>
      </c:layout>
      <c:doughnut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183138849447098"/>
                  <c:y val="-0.0135788026496688"/>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47540768469515"/>
                  <c:y val="0.126984126984127"/>
                </c:manualLayout>
              </c:layout>
              <c:showLegendKey val="0"/>
              <c:showVal val="1"/>
              <c:showCatName val="1"/>
              <c:showSerName val="0"/>
              <c:showPercent val="0"/>
              <c:showBubbleSize val="0"/>
              <c:extLst>
                <c:ext xmlns:c15="http://schemas.microsoft.com/office/drawing/2012/chart" uri="{CE6537A1-D6FC-4f65-9D91-7224C49458BB}">
                  <c15:layout>
                    <c:manualLayout>
                      <c:w val="0.27683615819209"/>
                      <c:h val="0.238095238095238"/>
                    </c:manualLayout>
                  </c15:layout>
                </c:ext>
              </c:extLst>
            </c:dLbl>
            <c:dLbl>
              <c:idx val="2"/>
              <c:layout>
                <c:manualLayout>
                  <c:x val="-0.224299944064369"/>
                  <c:y val="-0.021464816897887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185491588141646"/>
                      <c:h val="0.201174853143357"/>
                    </c:manualLayout>
                  </c15:layout>
                </c:ext>
              </c:extLst>
            </c:dLbl>
            <c:dLbl>
              <c:idx val="3"/>
              <c:layout>
                <c:manualLayout>
                  <c:x val="-0.201705176197238"/>
                  <c:y val="-0.17460317460317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22404371584699"/>
                      <c:h val="0.180222472190976"/>
                    </c:manualLayout>
                  </c15:layout>
                </c:ext>
              </c:extLst>
            </c:dLbl>
            <c:dLbl>
              <c:idx val="4"/>
              <c:layout>
                <c:manualLayout>
                  <c:x val="0.158191988296545"/>
                  <c:y val="-0.18253918260217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59886837915752"/>
                      <c:h val="0.16984126984127"/>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0.529329</c:v>
                </c:pt>
                <c:pt idx="1">
                  <c:v>0.332402</c:v>
                </c:pt>
                <c:pt idx="2">
                  <c:v>0.132681</c:v>
                </c:pt>
                <c:pt idx="3">
                  <c:v>0.002793</c:v>
                </c:pt>
                <c:pt idx="4">
                  <c:v>0.002793</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愿意</c:v>
                </c:pt>
                <c:pt idx="1">
                  <c:v>不确定</c:v>
                </c:pt>
                <c:pt idx="2">
                  <c:v>不愿意</c:v>
                </c:pt>
              </c:strCache>
            </c:strRef>
          </c:cat>
          <c:val>
            <c:numRef>
              <c:f>Sheet1!$B$2:$B$4</c:f>
              <c:numCache>
                <c:formatCode>0.00%</c:formatCode>
                <c:ptCount val="3"/>
                <c:pt idx="0">
                  <c:v>0.752793</c:v>
                </c:pt>
                <c:pt idx="1">
                  <c:v>0.205307</c:v>
                </c:pt>
                <c:pt idx="2">
                  <c:v>0.041899</c:v>
                </c:pt>
              </c:numCache>
            </c:numRef>
          </c:val>
        </c:ser>
        <c:dLbls>
          <c:showLegendKey val="0"/>
          <c:showVal val="1"/>
          <c:showCatName val="0"/>
          <c:showSerName val="0"/>
          <c:showPercent val="0"/>
          <c:showBubbleSize val="0"/>
        </c:dLbls>
        <c:gapWidth val="219"/>
        <c:overlap val="-27"/>
        <c:axId val="635891456"/>
        <c:axId val="635892016"/>
      </c:barChart>
      <c:catAx>
        <c:axId val="635891456"/>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5892016"/>
        <c:crosses val="autoZero"/>
        <c:auto val="1"/>
        <c:lblAlgn val="ctr"/>
        <c:lblOffset val="100"/>
        <c:noMultiLvlLbl val="0"/>
      </c:catAx>
      <c:valAx>
        <c:axId val="635892016"/>
        <c:scaling>
          <c:orientation val="minMax"/>
        </c:scaling>
        <c:delete val="1"/>
        <c:axPos val="l"/>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589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38185240708128"/>
          <c:y val="0.048753957301729"/>
          <c:w val="0.340881326987546"/>
          <c:h val="0.950602051032281"/>
        </c:manualLayout>
      </c:layout>
      <c:doughnutChart>
        <c:varyColors val="1"/>
        <c:ser>
          <c:idx val="0"/>
          <c:order val="0"/>
          <c:tx>
            <c:strRef>
              <c:f>Sheet1!$B$1</c:f>
              <c:strCache>
                <c:ptCount val="1"/>
                <c:pt idx="0">
                  <c:v>很不满意</c:v>
                </c:pt>
              </c:strCache>
            </c:strRef>
          </c:tx>
          <c:spPr/>
          <c:explosion val="0"/>
          <c:dPt>
            <c:idx val="0"/>
            <c:bubble3D val="0"/>
            <c:spPr>
              <a:solidFill>
                <a:schemeClr val="accent2">
                  <a:lumMod val="40000"/>
                  <a:lumOff val="60000"/>
                </a:schemeClr>
              </a:solidFill>
              <a:ln w="19050">
                <a:solidFill>
                  <a:schemeClr val="lt1"/>
                </a:solidFill>
              </a:ln>
              <a:effectLst/>
            </c:spPr>
          </c:dPt>
          <c:dPt>
            <c:idx val="1"/>
            <c:bubble3D val="0"/>
            <c:spPr>
              <a:noFill/>
              <a:ln w="19050">
                <a:solidFill>
                  <a:schemeClr val="lt1"/>
                </a:solidFill>
              </a:ln>
              <a:effectLst/>
            </c:spPr>
          </c:dPt>
          <c:dLbls>
            <c:dLbl>
              <c:idx val="0"/>
              <c:layout>
                <c:manualLayout>
                  <c:x val="-0.105976586568084"/>
                  <c:y val="0"/>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Sheet1!$B$2:$B$3</c:f>
              <c:numCache>
                <c:formatCode>0.00%</c:formatCode>
                <c:ptCount val="2"/>
                <c:pt idx="0">
                  <c:v>0.0028</c:v>
                </c:pt>
                <c:pt idx="1">
                  <c:v>0.9972</c:v>
                </c:pt>
              </c:numCache>
            </c:numRef>
          </c:val>
        </c:ser>
        <c:ser>
          <c:idx val="1"/>
          <c:order val="1"/>
          <c:tx>
            <c:strRef>
              <c:f>Sheet1!$C$1</c:f>
              <c:strCache>
                <c:ptCount val="1"/>
                <c:pt idx="0">
                  <c:v>比较不满意</c:v>
                </c:pt>
              </c:strCache>
            </c:strRef>
          </c:tx>
          <c:spPr/>
          <c:explosion val="0"/>
          <c:dPt>
            <c:idx val="0"/>
            <c:bubble3D val="0"/>
            <c:spPr>
              <a:solidFill>
                <a:schemeClr val="accent1">
                  <a:lumMod val="40000"/>
                  <a:lumOff val="60000"/>
                </a:schemeClr>
              </a:solidFill>
              <a:ln w="19050">
                <a:solidFill>
                  <a:schemeClr val="lt1"/>
                </a:solidFill>
              </a:ln>
              <a:effectLst/>
            </c:spPr>
          </c:dPt>
          <c:dPt>
            <c:idx val="1"/>
            <c:bubble3D val="0"/>
            <c:spPr>
              <a:noFill/>
              <a:ln w="19050">
                <a:solidFill>
                  <a:schemeClr val="lt1"/>
                </a:solidFill>
              </a:ln>
              <a:effectLst/>
            </c:spPr>
          </c:dPt>
          <c:dLbls>
            <c:dLbl>
              <c:idx val="0"/>
              <c:layout>
                <c:manualLayout>
                  <c:x val="-0.113370204879658"/>
                  <c:y val="-0.013745704467354"/>
                </c:manualLayout>
              </c:layout>
              <c:showLegendKey val="0"/>
              <c:showVal val="1"/>
              <c:showCatName val="0"/>
              <c:showSerName val="1"/>
              <c:showPercent val="0"/>
              <c:showBubbleSize val="0"/>
              <c:extLst>
                <c:ext xmlns:c15="http://schemas.microsoft.com/office/drawing/2012/chart" uri="{CE6537A1-D6FC-4f65-9D91-7224C49458BB}">
                  <c15:layout>
                    <c:manualLayout>
                      <c:w val="0.252606187627656"/>
                      <c:h val="0.193849067835593"/>
                    </c:manualLayout>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Sheet1!$C$2:$C$3</c:f>
              <c:numCache>
                <c:formatCode>0.00%</c:formatCode>
                <c:ptCount val="2"/>
                <c:pt idx="0">
                  <c:v>0.0084</c:v>
                </c:pt>
                <c:pt idx="1">
                  <c:v>0.9916</c:v>
                </c:pt>
              </c:numCache>
            </c:numRef>
          </c:val>
        </c:ser>
        <c:ser>
          <c:idx val="2"/>
          <c:order val="2"/>
          <c:tx>
            <c:strRef>
              <c:f>Sheet1!$D$1</c:f>
              <c:strCache>
                <c:ptCount val="1"/>
                <c:pt idx="0">
                  <c:v>一般</c:v>
                </c:pt>
              </c:strCache>
            </c:strRef>
          </c:tx>
          <c:spPr/>
          <c:explosion val="0"/>
          <c:dPt>
            <c:idx val="0"/>
            <c:bubble3D val="0"/>
            <c:spPr>
              <a:solidFill>
                <a:schemeClr val="accent3"/>
              </a:solidFill>
              <a:ln w="19050">
                <a:solidFill>
                  <a:schemeClr val="lt1"/>
                </a:solidFill>
              </a:ln>
              <a:effectLst/>
            </c:spPr>
          </c:dPt>
          <c:dPt>
            <c:idx val="1"/>
            <c:bubble3D val="0"/>
            <c:spPr>
              <a:noFill/>
              <a:ln w="19050">
                <a:solidFill>
                  <a:schemeClr val="lt1"/>
                </a:solidFill>
              </a:ln>
              <a:effectLst/>
            </c:spPr>
          </c:dPt>
          <c:dLbls>
            <c:dLbl>
              <c:idx val="0"/>
              <c:layout>
                <c:manualLayout>
                  <c:x val="-0.118299445471349"/>
                  <c:y val="-0.0343642611683849"/>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Sheet1!$D$2:$D$3</c:f>
              <c:numCache>
                <c:formatCode>0.00%</c:formatCode>
                <c:ptCount val="2"/>
                <c:pt idx="0">
                  <c:v>0.1285</c:v>
                </c:pt>
                <c:pt idx="1">
                  <c:v>0.8715</c:v>
                </c:pt>
              </c:numCache>
            </c:numRef>
          </c:val>
        </c:ser>
        <c:ser>
          <c:idx val="3"/>
          <c:order val="3"/>
          <c:tx>
            <c:strRef>
              <c:f>Sheet1!$E$1</c:f>
              <c:strCache>
                <c:ptCount val="1"/>
                <c:pt idx="0">
                  <c:v>比较满意</c:v>
                </c:pt>
              </c:strCache>
            </c:strRef>
          </c:tx>
          <c:spPr/>
          <c:explosion val="0"/>
          <c:dPt>
            <c:idx val="0"/>
            <c:bubble3D val="0"/>
            <c:spPr>
              <a:solidFill>
                <a:schemeClr val="accent2"/>
              </a:solidFill>
              <a:ln w="19050">
                <a:solidFill>
                  <a:schemeClr val="lt1"/>
                </a:solidFill>
              </a:ln>
              <a:effectLst/>
            </c:spPr>
          </c:dPt>
          <c:dPt>
            <c:idx val="1"/>
            <c:bubble3D val="0"/>
            <c:spPr>
              <a:noFill/>
              <a:ln w="19050">
                <a:solidFill>
                  <a:schemeClr val="lt1"/>
                </a:solidFill>
              </a:ln>
              <a:effectLst/>
            </c:spPr>
          </c:dPt>
          <c:dLbls>
            <c:dLbl>
              <c:idx val="0"/>
              <c:layout>
                <c:manualLayout>
                  <c:x val="-0.216882316697474"/>
                  <c:y val="-0.206185567010309"/>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Sheet1!$E$2:$E$3</c:f>
              <c:numCache>
                <c:formatCode>0.00%</c:formatCode>
                <c:ptCount val="2"/>
                <c:pt idx="0">
                  <c:v>0.3659</c:v>
                </c:pt>
                <c:pt idx="1">
                  <c:v>0.6341</c:v>
                </c:pt>
              </c:numCache>
            </c:numRef>
          </c:val>
        </c:ser>
        <c:ser>
          <c:idx val="4"/>
          <c:order val="4"/>
          <c:tx>
            <c:strRef>
              <c:f>Sheet1!$F$1</c:f>
              <c:strCache>
                <c:ptCount val="1"/>
                <c:pt idx="0">
                  <c:v>很满意</c:v>
                </c:pt>
              </c:strCache>
            </c:strRef>
          </c:tx>
          <c:spPr/>
          <c:explosion val="0"/>
          <c:dPt>
            <c:idx val="0"/>
            <c:bubble3D val="0"/>
            <c:spPr>
              <a:solidFill>
                <a:schemeClr val="accent1"/>
              </a:solidFill>
              <a:ln w="19050">
                <a:solidFill>
                  <a:schemeClr val="lt1"/>
                </a:solidFill>
              </a:ln>
              <a:effectLst/>
            </c:spPr>
          </c:dPt>
          <c:dPt>
            <c:idx val="1"/>
            <c:bubble3D val="0"/>
            <c:spPr>
              <a:noFill/>
              <a:ln w="19050">
                <a:solidFill>
                  <a:schemeClr val="lt1"/>
                </a:solidFill>
              </a:ln>
              <a:effectLst/>
            </c:spPr>
          </c:dPt>
          <c:dLbls>
            <c:dLbl>
              <c:idx val="0"/>
              <c:layout>
                <c:manualLayout>
                  <c:x val="-0.248921749845964"/>
                  <c:y val="-0.43298969072165"/>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Sheet1!$F$2:$F$3</c:f>
              <c:numCache>
                <c:formatCode>0.00%</c:formatCode>
                <c:ptCount val="2"/>
                <c:pt idx="0">
                  <c:v>0.4944</c:v>
                </c:pt>
                <c:pt idx="1">
                  <c:v>0.5056</c:v>
                </c:pt>
              </c:numCache>
            </c:numRef>
          </c:val>
        </c:ser>
        <c:dLbls>
          <c:showLegendKey val="0"/>
          <c:showVal val="1"/>
          <c:showCatName val="0"/>
          <c:showSerName val="0"/>
          <c:showPercent val="0"/>
          <c:showBubbleSize val="0"/>
          <c:showLeaderLines val="0"/>
        </c:dLbls>
        <c:firstSliceAng val="0"/>
        <c:holeSize val="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363445188013"/>
          <c:y val="0"/>
          <c:w val="0.677723945708972"/>
          <c:h val="0.998004772130756"/>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Pt>
            <c:idx val="1"/>
            <c:invertIfNegative val="0"/>
            <c:bubble3D val="0"/>
            <c:spPr>
              <a:gradFill flip="none" rotWithShape="1">
                <a:gsLst>
                  <a:gs pos="0">
                    <a:schemeClr val="accent3">
                      <a:lumMod val="75000"/>
                    </a:schemeClr>
                  </a:gs>
                  <a:gs pos="80000">
                    <a:schemeClr val="accent3">
                      <a:lumMod val="60000"/>
                      <a:lumOff val="40000"/>
                    </a:schemeClr>
                  </a:gs>
                  <a:gs pos="100000">
                    <a:schemeClr val="accent3">
                      <a:lumMod val="40000"/>
                      <a:lumOff val="60000"/>
                    </a:schemeClr>
                  </a:gs>
                </a:gsLst>
                <a:lin ang="16200000" scaled="1"/>
                <a:tileRect/>
              </a:gradFill>
              <a:ln>
                <a:noFill/>
              </a:ln>
              <a:effectLst/>
            </c:spPr>
          </c:dPt>
          <c:dPt>
            <c:idx val="2"/>
            <c:invertIfNegative val="0"/>
            <c:bubble3D val="0"/>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Sheet1!$A$2:$A$4</c:f>
              <c:strCache>
                <c:ptCount val="3"/>
                <c:pt idx="0">
                  <c:v>盐城分院</c:v>
                </c:pt>
                <c:pt idx="1">
                  <c:v>总体就业率</c:v>
                </c:pt>
                <c:pt idx="2">
                  <c:v>阜宁分院</c:v>
                </c:pt>
              </c:strCache>
            </c:strRef>
          </c:cat>
          <c:val>
            <c:numRef>
              <c:f>Sheet1!$B$2:$B$4</c:f>
              <c:numCache>
                <c:formatCode>0.00%</c:formatCode>
                <c:ptCount val="3"/>
                <c:pt idx="0">
                  <c:v>0.959141</c:v>
                </c:pt>
                <c:pt idx="1">
                  <c:v>0.968045112781955</c:v>
                </c:pt>
                <c:pt idx="2">
                  <c:v>0.982171</c:v>
                </c:pt>
              </c:numCache>
            </c:numRef>
          </c:val>
        </c:ser>
        <c:dLbls>
          <c:showLegendKey val="0"/>
          <c:showVal val="0"/>
          <c:showCatName val="0"/>
          <c:showSerName val="0"/>
          <c:showPercent val="0"/>
          <c:showBubbleSize val="0"/>
        </c:dLbls>
        <c:gapWidth val="100"/>
        <c:axId val="588677760"/>
        <c:axId val="588678320"/>
      </c:barChart>
      <c:catAx>
        <c:axId val="588677760"/>
        <c:scaling>
          <c:orientation val="minMax"/>
        </c:scaling>
        <c:delete val="0"/>
        <c:axPos val="l"/>
        <c:numFmt formatCode="General" sourceLinked="0"/>
        <c:majorTickMark val="none"/>
        <c:minorTickMark val="none"/>
        <c:tickLblPos val="nextTo"/>
        <c:spPr>
          <a:noFill/>
          <a:ln w="222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588678320"/>
        <c:crosses val="autoZero"/>
        <c:auto val="1"/>
        <c:lblAlgn val="ctr"/>
        <c:lblOffset val="100"/>
        <c:noMultiLvlLbl val="0"/>
      </c:catAx>
      <c:valAx>
        <c:axId val="588678320"/>
        <c:scaling>
          <c:orientation val="minMax"/>
          <c:max val="1"/>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88677760"/>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93822948656372"/>
          <c:y val="0.048753957301729"/>
          <c:w val="0.340881326987546"/>
          <c:h val="0.950602051032281"/>
        </c:manualLayout>
      </c:layout>
      <c:doughnutChart>
        <c:varyColors val="1"/>
        <c:ser>
          <c:idx val="0"/>
          <c:order val="0"/>
          <c:tx>
            <c:strRef>
              <c:f>Sheet1!$B$1</c:f>
              <c:strCache>
                <c:ptCount val="1"/>
                <c:pt idx="0">
                  <c:v>很不满意</c:v>
                </c:pt>
              </c:strCache>
            </c:strRef>
          </c:tx>
          <c:spPr/>
          <c:explosion val="0"/>
          <c:dPt>
            <c:idx val="0"/>
            <c:bubble3D val="0"/>
            <c:spPr>
              <a:solidFill>
                <a:schemeClr val="accent2">
                  <a:lumMod val="40000"/>
                  <a:lumOff val="60000"/>
                </a:schemeClr>
              </a:solidFill>
              <a:ln w="19050">
                <a:solidFill>
                  <a:schemeClr val="lt1"/>
                </a:solidFill>
              </a:ln>
              <a:effectLst/>
            </c:spPr>
          </c:dPt>
          <c:dPt>
            <c:idx val="1"/>
            <c:bubble3D val="0"/>
            <c:spPr>
              <a:noFill/>
              <a:ln w="19050">
                <a:solidFill>
                  <a:schemeClr val="lt1"/>
                </a:solidFill>
              </a:ln>
              <a:effectLst/>
            </c:spPr>
          </c:dPt>
          <c:dLbls>
            <c:dLbl>
              <c:idx val="0"/>
              <c:layout>
                <c:manualLayout>
                  <c:x val="-0.105976586568084"/>
                  <c:y val="-0.013745704467354"/>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Sheet1!$B$2:$B$3</c:f>
              <c:numCache>
                <c:formatCode>0.00%</c:formatCode>
                <c:ptCount val="2"/>
                <c:pt idx="0">
                  <c:v>0.0042</c:v>
                </c:pt>
                <c:pt idx="1">
                  <c:v>0.9958</c:v>
                </c:pt>
              </c:numCache>
            </c:numRef>
          </c:val>
        </c:ser>
        <c:ser>
          <c:idx val="1"/>
          <c:order val="1"/>
          <c:tx>
            <c:strRef>
              <c:f>Sheet1!$C$1</c:f>
              <c:strCache>
                <c:ptCount val="1"/>
                <c:pt idx="0">
                  <c:v>比较不满意</c:v>
                </c:pt>
              </c:strCache>
            </c:strRef>
          </c:tx>
          <c:spPr/>
          <c:explosion val="0"/>
          <c:dPt>
            <c:idx val="0"/>
            <c:bubble3D val="0"/>
            <c:spPr>
              <a:solidFill>
                <a:schemeClr val="accent1">
                  <a:lumMod val="40000"/>
                  <a:lumOff val="60000"/>
                </a:schemeClr>
              </a:solidFill>
              <a:ln w="19050">
                <a:solidFill>
                  <a:schemeClr val="lt1"/>
                </a:solidFill>
              </a:ln>
              <a:effectLst/>
            </c:spPr>
          </c:dPt>
          <c:dPt>
            <c:idx val="1"/>
            <c:bubble3D val="0"/>
            <c:spPr>
              <a:noFill/>
              <a:ln w="19050">
                <a:solidFill>
                  <a:schemeClr val="lt1"/>
                </a:solidFill>
              </a:ln>
              <a:effectLst/>
            </c:spPr>
          </c:dPt>
          <c:dLbls>
            <c:dLbl>
              <c:idx val="0"/>
              <c:layout>
                <c:manualLayout>
                  <c:x val="-0.121996206111944"/>
                  <c:y val="-0.013745704467354"/>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1"/>
              <c:showPercent val="0"/>
              <c:showBubbleSize val="0"/>
              <c:extLst>
                <c:ext xmlns:c15="http://schemas.microsoft.com/office/drawing/2012/chart" uri="{CE6537A1-D6FC-4f65-9D91-7224C49458BB}">
                  <c15:layout>
                    <c:manualLayout>
                      <c:w val="0.27971647721484"/>
                      <c:h val="0.138866249966177"/>
                    </c:manualLayout>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Sheet1!$C$2:$C$3</c:f>
              <c:numCache>
                <c:formatCode>0.00%</c:formatCode>
                <c:ptCount val="2"/>
                <c:pt idx="0">
                  <c:v>0.0126</c:v>
                </c:pt>
                <c:pt idx="1">
                  <c:v>0.9874</c:v>
                </c:pt>
              </c:numCache>
            </c:numRef>
          </c:val>
        </c:ser>
        <c:ser>
          <c:idx val="2"/>
          <c:order val="2"/>
          <c:tx>
            <c:strRef>
              <c:f>Sheet1!$D$1</c:f>
              <c:strCache>
                <c:ptCount val="1"/>
                <c:pt idx="0">
                  <c:v>一般</c:v>
                </c:pt>
              </c:strCache>
            </c:strRef>
          </c:tx>
          <c:spPr/>
          <c:explosion val="0"/>
          <c:dPt>
            <c:idx val="0"/>
            <c:bubble3D val="0"/>
            <c:spPr>
              <a:solidFill>
                <a:schemeClr val="accent3"/>
              </a:solidFill>
              <a:ln w="19050">
                <a:solidFill>
                  <a:schemeClr val="lt1"/>
                </a:solidFill>
              </a:ln>
              <a:effectLst/>
            </c:spPr>
          </c:dPt>
          <c:dPt>
            <c:idx val="1"/>
            <c:bubble3D val="0"/>
            <c:spPr>
              <a:noFill/>
              <a:ln w="19050">
                <a:solidFill>
                  <a:schemeClr val="lt1"/>
                </a:solidFill>
              </a:ln>
              <a:effectLst/>
            </c:spPr>
          </c:dPt>
          <c:dLbls>
            <c:dLbl>
              <c:idx val="0"/>
              <c:layout>
                <c:manualLayout>
                  <c:x val="-0.133086876155268"/>
                  <c:y val="-0.0549828178694158"/>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Sheet1!$D$2:$D$3</c:f>
              <c:numCache>
                <c:formatCode>0.00%</c:formatCode>
                <c:ptCount val="2"/>
                <c:pt idx="0">
                  <c:v>0.162</c:v>
                </c:pt>
                <c:pt idx="1">
                  <c:v>0.838</c:v>
                </c:pt>
              </c:numCache>
            </c:numRef>
          </c:val>
        </c:ser>
        <c:ser>
          <c:idx val="3"/>
          <c:order val="3"/>
          <c:tx>
            <c:strRef>
              <c:f>Sheet1!$E$1</c:f>
              <c:strCache>
                <c:ptCount val="1"/>
                <c:pt idx="0">
                  <c:v>比较满意</c:v>
                </c:pt>
              </c:strCache>
            </c:strRef>
          </c:tx>
          <c:spPr/>
          <c:explosion val="0"/>
          <c:dPt>
            <c:idx val="0"/>
            <c:bubble3D val="0"/>
            <c:spPr>
              <a:solidFill>
                <a:schemeClr val="accent2"/>
              </a:solidFill>
              <a:ln w="19050">
                <a:solidFill>
                  <a:schemeClr val="lt1"/>
                </a:solidFill>
              </a:ln>
              <a:effectLst/>
            </c:spPr>
          </c:dPt>
          <c:dPt>
            <c:idx val="1"/>
            <c:bubble3D val="0"/>
            <c:spPr>
              <a:noFill/>
              <a:ln w="19050">
                <a:solidFill>
                  <a:schemeClr val="lt1"/>
                </a:solidFill>
              </a:ln>
              <a:effectLst/>
            </c:spPr>
          </c:dPt>
          <c:dLbls>
            <c:dLbl>
              <c:idx val="0"/>
              <c:layout>
                <c:manualLayout>
                  <c:x val="-0.219346888478127"/>
                  <c:y val="-0.185567010309278"/>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Sheet1!$E$2:$E$3</c:f>
              <c:numCache>
                <c:formatCode>0.00%</c:formatCode>
                <c:ptCount val="2"/>
                <c:pt idx="0">
                  <c:v>0.3324</c:v>
                </c:pt>
                <c:pt idx="1">
                  <c:v>0.6676</c:v>
                </c:pt>
              </c:numCache>
            </c:numRef>
          </c:val>
        </c:ser>
        <c:ser>
          <c:idx val="4"/>
          <c:order val="4"/>
          <c:tx>
            <c:strRef>
              <c:f>Sheet1!$F$1</c:f>
              <c:strCache>
                <c:ptCount val="1"/>
                <c:pt idx="0">
                  <c:v>很满意</c:v>
                </c:pt>
              </c:strCache>
            </c:strRef>
          </c:tx>
          <c:spPr/>
          <c:explosion val="0"/>
          <c:dPt>
            <c:idx val="0"/>
            <c:bubble3D val="0"/>
            <c:spPr>
              <a:solidFill>
                <a:schemeClr val="accent1"/>
              </a:solidFill>
              <a:ln w="19050">
                <a:solidFill>
                  <a:schemeClr val="lt1"/>
                </a:solidFill>
              </a:ln>
              <a:effectLst/>
            </c:spPr>
          </c:dPt>
          <c:dPt>
            <c:idx val="1"/>
            <c:bubble3D val="0"/>
            <c:spPr>
              <a:noFill/>
              <a:ln w="19050">
                <a:solidFill>
                  <a:schemeClr val="lt1"/>
                </a:solidFill>
              </a:ln>
              <a:effectLst/>
            </c:spPr>
          </c:dPt>
          <c:dLbls>
            <c:dLbl>
              <c:idx val="0"/>
              <c:layout>
                <c:manualLayout>
                  <c:x val="-0.256315465187924"/>
                  <c:y val="-0.426116838487972"/>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delete val="1"/>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行1</c:v>
                </c:pt>
                <c:pt idx="1">
                  <c:v>行2</c:v>
                </c:pt>
              </c:strCache>
            </c:strRef>
          </c:cat>
          <c:val>
            <c:numRef>
              <c:f>Sheet1!$F$2:$F$3</c:f>
              <c:numCache>
                <c:formatCode>0.00%</c:formatCode>
                <c:ptCount val="2"/>
                <c:pt idx="0">
                  <c:v>0.4888</c:v>
                </c:pt>
                <c:pt idx="1">
                  <c:v>0.5112</c:v>
                </c:pt>
              </c:numCache>
            </c:numRef>
          </c:val>
        </c:ser>
        <c:dLbls>
          <c:showLegendKey val="0"/>
          <c:showVal val="1"/>
          <c:showCatName val="0"/>
          <c:showSerName val="0"/>
          <c:showPercent val="0"/>
          <c:showBubbleSize val="0"/>
          <c:showLeaderLines val="0"/>
        </c:dLbls>
        <c:firstSliceAng val="0"/>
        <c:holeSize val="1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11470186618"/>
          <c:y val="0.0321608415548847"/>
          <c:w val="0.697835989663786"/>
          <c:h val="0.542875802496519"/>
        </c:manualLayout>
      </c:layout>
      <c:barChart>
        <c:barDir val="col"/>
        <c:grouping val="clustered"/>
        <c:varyColors val="0"/>
        <c:ser>
          <c:idx val="0"/>
          <c:order val="0"/>
          <c:tx>
            <c:strRef>
              <c:f>Sheet1!$B$1</c:f>
              <c:strCache>
                <c:ptCount val="1"/>
                <c:pt idx="0">
                  <c:v>满意度</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elete val="1"/>
          </c:dLbls>
          <c:cat>
            <c:strRef>
              <c:f>Sheet1!$A$2:$A$5</c:f>
              <c:strCache>
                <c:ptCount val="4"/>
                <c:pt idx="0">
                  <c:v>任课教师总满意度</c:v>
                </c:pt>
                <c:pt idx="1">
                  <c:v>教学水平</c:v>
                </c:pt>
                <c:pt idx="2">
                  <c:v>教学态度</c:v>
                </c:pt>
                <c:pt idx="3">
                  <c:v>与学生课外沟通交流</c:v>
                </c:pt>
              </c:strCache>
            </c:strRef>
          </c:cat>
          <c:val>
            <c:numRef>
              <c:f>Sheet1!$B$2:$B$5</c:f>
              <c:numCache>
                <c:formatCode>0.00%</c:formatCode>
                <c:ptCount val="4"/>
                <c:pt idx="0">
                  <c:v>0.997179</c:v>
                </c:pt>
                <c:pt idx="1">
                  <c:v>0.997175</c:v>
                </c:pt>
                <c:pt idx="2">
                  <c:v>0.995762</c:v>
                </c:pt>
                <c:pt idx="3">
                  <c:v>0.990112</c:v>
                </c:pt>
              </c:numCache>
            </c:numRef>
          </c:val>
        </c:ser>
        <c:dLbls>
          <c:showLegendKey val="0"/>
          <c:showVal val="0"/>
          <c:showCatName val="0"/>
          <c:showSerName val="0"/>
          <c:showPercent val="0"/>
          <c:showBubbleSize val="0"/>
        </c:dLbls>
        <c:gapWidth val="150"/>
        <c:axId val="637271568"/>
        <c:axId val="637272128"/>
      </c:barChart>
      <c:lineChart>
        <c:grouping val="standard"/>
        <c:varyColors val="0"/>
        <c:ser>
          <c:idx val="1"/>
          <c:order val="1"/>
          <c:tx>
            <c:strRef>
              <c:f>Sheet1!$C$1</c:f>
              <c:strCache>
                <c:ptCount val="1"/>
                <c:pt idx="0">
                  <c:v>均值</c:v>
                </c:pt>
              </c:strCache>
            </c:strRef>
          </c:tx>
          <c:spPr>
            <a:ln w="19050" cap="rnd" cmpd="sng" algn="ctr">
              <a:solidFill>
                <a:schemeClr val="accent2"/>
              </a:solidFill>
              <a:prstDash val="solid"/>
              <a:round/>
            </a:ln>
            <a:effectLst/>
          </c:spPr>
          <c:marker>
            <c:symbol val="diamond"/>
            <c:size val="5"/>
            <c:spPr>
              <a:solidFill>
                <a:schemeClr val="accent2"/>
              </a:solidFill>
              <a:ln w="6350" cap="flat" cmpd="sng" algn="ctr">
                <a:solidFill>
                  <a:schemeClr val="accent2"/>
                </a:solidFill>
                <a:prstDash val="solid"/>
                <a:round/>
              </a:ln>
              <a:effectLst/>
            </c:spPr>
          </c:marker>
          <c:dLbls>
            <c:delete val="1"/>
          </c:dLbls>
          <c:cat>
            <c:strRef>
              <c:f>Sheet1!$A$2:$A$5</c:f>
              <c:strCache>
                <c:ptCount val="4"/>
                <c:pt idx="0">
                  <c:v>任课教师总满意度</c:v>
                </c:pt>
                <c:pt idx="1">
                  <c:v>教学水平</c:v>
                </c:pt>
                <c:pt idx="2">
                  <c:v>教学态度</c:v>
                </c:pt>
                <c:pt idx="3">
                  <c:v>与学生课外沟通交流</c:v>
                </c:pt>
              </c:strCache>
            </c:strRef>
          </c:cat>
          <c:val>
            <c:numRef>
              <c:f>Sheet1!$C$2:$C$5</c:f>
              <c:numCache>
                <c:formatCode>General</c:formatCode>
                <c:ptCount val="4"/>
                <c:pt idx="0">
                  <c:v>4.45</c:v>
                </c:pt>
                <c:pt idx="1">
                  <c:v>4.44</c:v>
                </c:pt>
                <c:pt idx="2">
                  <c:v>4.44</c:v>
                </c:pt>
                <c:pt idx="3">
                  <c:v>4.35</c:v>
                </c:pt>
              </c:numCache>
            </c:numRef>
          </c:val>
          <c:smooth val="0"/>
        </c:ser>
        <c:dLbls>
          <c:showLegendKey val="0"/>
          <c:showVal val="0"/>
          <c:showCatName val="0"/>
          <c:showSerName val="0"/>
          <c:showPercent val="0"/>
          <c:showBubbleSize val="0"/>
        </c:dLbls>
        <c:marker val="1"/>
        <c:smooth val="0"/>
        <c:axId val="637273248"/>
        <c:axId val="637272688"/>
      </c:lineChart>
      <c:catAx>
        <c:axId val="63727156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7272128"/>
        <c:crosses val="autoZero"/>
        <c:auto val="1"/>
        <c:lblAlgn val="ctr"/>
        <c:lblOffset val="100"/>
        <c:noMultiLvlLbl val="0"/>
      </c:catAx>
      <c:valAx>
        <c:axId val="637272128"/>
        <c:scaling>
          <c:orientation val="minMax"/>
          <c:max val="1"/>
          <c:min val="0.8"/>
        </c:scaling>
        <c:delete val="0"/>
        <c:axPos val="l"/>
        <c:numFmt formatCode="0.00%" sourceLinked="1"/>
        <c:majorTickMark val="in"/>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7271568"/>
        <c:crosses val="autoZero"/>
        <c:crossBetween val="between"/>
      </c:valAx>
      <c:catAx>
        <c:axId val="637273248"/>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7272688"/>
        <c:crosses val="autoZero"/>
        <c:auto val="1"/>
        <c:lblAlgn val="ctr"/>
        <c:lblOffset val="100"/>
        <c:noMultiLvlLbl val="0"/>
      </c:catAx>
      <c:valAx>
        <c:axId val="637272688"/>
        <c:scaling>
          <c:orientation val="minMax"/>
          <c:min val="2"/>
        </c:scaling>
        <c:delete val="0"/>
        <c:axPos val="r"/>
        <c:numFmt formatCode="#,##0.00_);[Red]\(#,##0.00\)" sourceLinked="0"/>
        <c:majorTickMark val="in"/>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7273248"/>
        <c:crosses val="max"/>
        <c:crossBetween val="between"/>
      </c:valAx>
      <c:dTable>
        <c:showHorzBorder val="1"/>
        <c:showVertBorder val="1"/>
        <c:showOutline val="1"/>
        <c:showKeys val="1"/>
        <c:spPr>
          <a:noFill/>
          <a:ln w="15875" cap="flat" cmpd="sng" algn="ctr">
            <a:solidFill>
              <a:schemeClr val="accent1"/>
            </a:solidFill>
            <a:prstDash val="solid"/>
            <a:round/>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5221991987844"/>
          <c:y val="0.0436062474098632"/>
          <c:w val="0.594079292719989"/>
          <c:h val="0.935622150849565"/>
        </c:manualLayout>
      </c:layout>
      <c:barChart>
        <c:barDir val="bar"/>
        <c:grouping val="clustered"/>
        <c:varyColors val="0"/>
        <c:ser>
          <c:idx val="0"/>
          <c:order val="0"/>
          <c:tx>
            <c:strRef>
              <c:f>Sheet1!$B$1</c:f>
              <c:strCache>
                <c:ptCount val="1"/>
                <c:pt idx="0">
                  <c:v>列1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逻辑推理</c:v>
                </c:pt>
                <c:pt idx="1">
                  <c:v>信息搜集与获取</c:v>
                </c:pt>
                <c:pt idx="2">
                  <c:v>发现和解决复杂问题</c:v>
                </c:pt>
                <c:pt idx="3">
                  <c:v>情绪感知</c:v>
                </c:pt>
                <c:pt idx="4">
                  <c:v>阅读理解</c:v>
                </c:pt>
                <c:pt idx="5">
                  <c:v>教育指导他人</c:v>
                </c:pt>
                <c:pt idx="6">
                  <c:v>团队协作</c:v>
                </c:pt>
                <c:pt idx="7">
                  <c:v>倾听理解</c:v>
                </c:pt>
                <c:pt idx="8">
                  <c:v>选择教学/学习方法</c:v>
                </c:pt>
                <c:pt idx="9">
                  <c:v>口头表达</c:v>
                </c:pt>
              </c:strCache>
            </c:strRef>
          </c:cat>
          <c:val>
            <c:numRef>
              <c:f>Sheet1!$B$2:$B$11</c:f>
              <c:numCache>
                <c:formatCode>0.00%</c:formatCode>
                <c:ptCount val="10"/>
                <c:pt idx="0">
                  <c:v>0.956521</c:v>
                </c:pt>
                <c:pt idx="1">
                  <c:v>0.958333</c:v>
                </c:pt>
                <c:pt idx="2">
                  <c:v>0.954545</c:v>
                </c:pt>
                <c:pt idx="3">
                  <c:v>0.992753</c:v>
                </c:pt>
                <c:pt idx="4">
                  <c:v>0.985915</c:v>
                </c:pt>
                <c:pt idx="5">
                  <c:v>0.99363</c:v>
                </c:pt>
                <c:pt idx="6">
                  <c:v>0.981707</c:v>
                </c:pt>
                <c:pt idx="7">
                  <c:v>0.988571</c:v>
                </c:pt>
                <c:pt idx="8">
                  <c:v>0.97647</c:v>
                </c:pt>
                <c:pt idx="9">
                  <c:v>0.963455</c:v>
                </c:pt>
              </c:numCache>
            </c:numRef>
          </c:val>
        </c:ser>
        <c:dLbls>
          <c:showLegendKey val="0"/>
          <c:showVal val="0"/>
          <c:showCatName val="0"/>
          <c:showSerName val="0"/>
          <c:showPercent val="0"/>
          <c:showBubbleSize val="0"/>
        </c:dLbls>
        <c:gapWidth val="100"/>
        <c:axId val="637276048"/>
        <c:axId val="637276608"/>
      </c:barChart>
      <c:catAx>
        <c:axId val="637276048"/>
        <c:scaling>
          <c:orientation val="minMax"/>
        </c:scaling>
        <c:delete val="0"/>
        <c:axPos val="l"/>
        <c:numFmt formatCode="General" sourceLinked="1"/>
        <c:majorTickMark val="none"/>
        <c:minorTickMark val="none"/>
        <c:tickLblPos val="nextTo"/>
        <c:spPr>
          <a:noFill/>
          <a:ln w="19050" cap="flat" cmpd="sng" algn="ctr">
            <a:solidFill>
              <a:schemeClr val="accent1">
                <a:alpha val="95000"/>
              </a:schemeClr>
            </a:solidFill>
            <a:round/>
            <a:headEnd type="none" w="med" len="sm"/>
            <a:tailEnd type="none"/>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7276608"/>
        <c:crosses val="autoZero"/>
        <c:auto val="1"/>
        <c:lblAlgn val="ctr"/>
        <c:lblOffset val="100"/>
        <c:noMultiLvlLbl val="0"/>
      </c:catAx>
      <c:valAx>
        <c:axId val="637276608"/>
        <c:scaling>
          <c:orientation val="minMax"/>
          <c:min val="0.5"/>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7276048"/>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780578484028"/>
          <c:y val="0.164311284194169"/>
          <c:w val="0.382293762575453"/>
          <c:h val="0.685920577617328"/>
        </c:manualLayout>
      </c:layout>
      <c:radarChart>
        <c:radarStyle val="marker"/>
        <c:varyColors val="0"/>
        <c:ser>
          <c:idx val="0"/>
          <c:order val="0"/>
          <c:tx>
            <c:strRef>
              <c:f>Sheet1!$B$1</c:f>
              <c:strCache>
                <c:ptCount val="1"/>
                <c:pt idx="0">
                  <c:v>比例</c:v>
                </c:pt>
              </c:strCache>
            </c:strRef>
          </c:tx>
          <c:spPr>
            <a:ln w="28575" cap="sq">
              <a:solidFill>
                <a:schemeClr val="accent1"/>
              </a:solidFill>
              <a:bevel/>
            </a:ln>
            <a:effectLst/>
          </c:spPr>
          <c:marker>
            <c:symbol val="triangle"/>
            <c:size val="7"/>
            <c:spPr>
              <a:solidFill>
                <a:schemeClr val="accent2"/>
              </a:solidFill>
              <a:ln w="9525">
                <a:solidFill>
                  <a:schemeClr val="accent2"/>
                </a:solidFill>
              </a:ln>
              <a:effectLst/>
            </c:spPr>
          </c:marker>
          <c:dLbls>
            <c:dLbl>
              <c:idx val="0"/>
              <c:layout>
                <c:manualLayout>
                  <c:x val="0.00134138162307171"/>
                  <c:y val="-0.020375624253194"/>
                </c:manualLayout>
              </c:layout>
              <c:showLegendKey val="0"/>
              <c:showVal val="1"/>
              <c:showCatName val="1"/>
              <c:showSerName val="0"/>
              <c:showPercent val="0"/>
              <c:showBubbleSize val="0"/>
              <c:extLst>
                <c:ext xmlns:c15="http://schemas.microsoft.com/office/drawing/2012/chart" uri="{CE6537A1-D6FC-4f65-9D91-7224C49458BB}">
                  <c15:layout>
                    <c:manualLayout>
                      <c:w val="0.251304784085088"/>
                      <c:h val="0.1506872471266"/>
                    </c:manualLayout>
                  </c15:layout>
                </c:ext>
              </c:extLst>
            </c:dLbl>
            <c:dLbl>
              <c:idx val="1"/>
              <c:layout>
                <c:manualLayout>
                  <c:x val="0.0804828973843058"/>
                  <c:y val="-0.0200030638193572"/>
                </c:manualLayout>
              </c:layout>
              <c:numFmt formatCode="General" sourceLinked="1"/>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48088425566522"/>
                      <c:h val="0.136964980544747"/>
                    </c:manualLayout>
                  </c15:layout>
                </c:ext>
              </c:extLst>
            </c:dLbl>
            <c:dLbl>
              <c:idx val="2"/>
              <c:layout>
                <c:manualLayout>
                  <c:x val="0.108651911468813"/>
                  <c:y val="0.0610770346313715"/>
                </c:manualLayout>
              </c:layout>
              <c:showLegendKey val="0"/>
              <c:showVal val="1"/>
              <c:showCatName val="1"/>
              <c:showSerName val="0"/>
              <c:showPercent val="0"/>
              <c:showBubbleSize val="0"/>
              <c:extLst>
                <c:ext xmlns:c15="http://schemas.microsoft.com/office/drawing/2012/chart" uri="{CE6537A1-D6FC-4f65-9D91-7224C49458BB}">
                  <c15:layout>
                    <c:manualLayout>
                      <c:w val="0.252179745137492"/>
                      <c:h val="0.136964980544747"/>
                    </c:manualLayout>
                  </c15:layout>
                </c:ext>
              </c:extLst>
            </c:dLbl>
            <c:dLbl>
              <c:idx val="3"/>
              <c:layout>
                <c:manualLayout>
                  <c:x val="-1.05620600291055e-7"/>
                  <c:y val="0.0190745222994986"/>
                </c:manualLayout>
              </c:layout>
              <c:numFmt formatCode="General" sourceLinked="1"/>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64185005043384"/>
                      <c:h val="0.136964980544747"/>
                    </c:manualLayout>
                  </c15:layout>
                </c:ext>
              </c:extLst>
            </c:dLbl>
            <c:dLbl>
              <c:idx val="4"/>
              <c:layout>
                <c:manualLayout>
                  <c:x val="-0.0778001341381623"/>
                  <c:y val="0.0410735623027666"/>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643863179074447"/>
                  <c:y val="-0.0177554459389075"/>
                </c:manualLayout>
              </c:layout>
              <c:numFmt formatCode="General" sourceLinked="1"/>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就业手续办理</c:v>
                </c:pt>
                <c:pt idx="1">
                  <c:v>校园招聘会/宣讲会</c:v>
                </c:pt>
                <c:pt idx="2">
                  <c:v>学校发布的招聘信息</c:v>
                </c:pt>
                <c:pt idx="3">
                  <c:v>生涯规划/就业指导课</c:v>
                </c:pt>
                <c:pt idx="4">
                  <c:v>职业咨询与辅导</c:v>
                </c:pt>
                <c:pt idx="5">
                  <c:v>就业帮扶与推荐</c:v>
                </c:pt>
              </c:strCache>
            </c:strRef>
          </c:cat>
          <c:val>
            <c:numRef>
              <c:f>Sheet1!$B$2:$B$7</c:f>
              <c:numCache>
                <c:formatCode>0.00%</c:formatCode>
                <c:ptCount val="6"/>
                <c:pt idx="0">
                  <c:v>1</c:v>
                </c:pt>
                <c:pt idx="1">
                  <c:v>0.966666</c:v>
                </c:pt>
                <c:pt idx="2">
                  <c:v>0.994186</c:v>
                </c:pt>
                <c:pt idx="3">
                  <c:v>0.990697</c:v>
                </c:pt>
                <c:pt idx="4">
                  <c:v>1</c:v>
                </c:pt>
                <c:pt idx="5">
                  <c:v>1</c:v>
                </c:pt>
              </c:numCache>
            </c:numRef>
          </c:val>
        </c:ser>
        <c:dLbls>
          <c:showLegendKey val="0"/>
          <c:showVal val="0"/>
          <c:showCatName val="0"/>
          <c:showSerName val="0"/>
          <c:showPercent val="0"/>
          <c:showBubbleSize val="0"/>
        </c:dLbls>
        <c:axId val="644169376"/>
        <c:axId val="644169936"/>
      </c:radarChart>
      <c:catAx>
        <c:axId val="6441693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44169936"/>
        <c:crosses val="autoZero"/>
        <c:auto val="1"/>
        <c:lblAlgn val="ctr"/>
        <c:lblOffset val="100"/>
        <c:noMultiLvlLbl val="0"/>
      </c:catAx>
      <c:valAx>
        <c:axId val="644169936"/>
        <c:scaling>
          <c:orientation val="minMax"/>
          <c:max val="1"/>
          <c:min val="0.5"/>
        </c:scaling>
        <c:delete val="0"/>
        <c:axPos val="l"/>
        <c:majorGridlines>
          <c:spPr>
            <a:ln w="9525" cap="flat" cmpd="sng" algn="ctr">
              <a:solidFill>
                <a:schemeClr val="bg1">
                  <a:lumMod val="50000"/>
                </a:schemeClr>
              </a:solidFill>
              <a:prstDash val="sysDash"/>
              <a:round/>
            </a:ln>
            <a:effectLst/>
          </c:spPr>
        </c:majorGridlines>
        <c:numFmt formatCode="0.0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lang="zh-CN" sz="900" b="0" i="0" u="none" strike="noStrike" kern="1200" baseline="0">
                <a:noFill/>
                <a:latin typeface="+mn-lt"/>
                <a:ea typeface="+mn-ea"/>
                <a:cs typeface="+mn-cs"/>
              </a:defRPr>
            </a:pPr>
          </a:p>
        </c:txPr>
        <c:crossAx val="6441693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41505199174"/>
          <c:y val="0.155038759689922"/>
          <c:w val="0.390342052313883"/>
          <c:h val="0.751937984496124"/>
        </c:manualLayout>
      </c:layout>
      <c:radarChart>
        <c:radarStyle val="marker"/>
        <c:varyColors val="0"/>
        <c:ser>
          <c:idx val="0"/>
          <c:order val="0"/>
          <c:tx>
            <c:strRef>
              <c:f>Sheet1!$B$1</c:f>
              <c:strCache>
                <c:ptCount val="1"/>
                <c:pt idx="0">
                  <c:v>比例</c:v>
                </c:pt>
              </c:strCache>
            </c:strRef>
          </c:tx>
          <c:spPr>
            <a:ln w="28575" cap="rnd">
              <a:solidFill>
                <a:schemeClr val="accent1"/>
              </a:solidFill>
              <a:round/>
            </a:ln>
            <a:effectLst/>
          </c:spPr>
          <c:marker>
            <c:symbol val="triangle"/>
            <c:size val="7"/>
            <c:spPr>
              <a:solidFill>
                <a:schemeClr val="accent2"/>
              </a:solidFill>
              <a:ln w="9525">
                <a:solidFill>
                  <a:schemeClr val="accent2"/>
                </a:solidFill>
              </a:ln>
              <a:effectLst/>
            </c:spPr>
          </c:marker>
          <c:dLbls>
            <c:dLbl>
              <c:idx val="0"/>
              <c:layout>
                <c:manualLayout>
                  <c:x val="0.00536552649228701"/>
                  <c:y val="-0.0103359173126615"/>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751173708920187"/>
                  <c:y val="0.0361757105943152"/>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778001341381622"/>
                  <c:y val="0.0516795865633075"/>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724346076458752"/>
                  <c:y val="0.0465116279069767"/>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590208970357579"/>
                  <c:y val="0.020671834625323"/>
                </c:manualLayout>
              </c:layout>
              <c:numFmt formatCode="General" sourceLinked="1"/>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164252285365738"/>
                      <c:h val="0.137984496124031"/>
                    </c:manualLayout>
                  </c15:layout>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创业课程和讲座</c:v>
                </c:pt>
                <c:pt idx="1">
                  <c:v>创新创业大赛</c:v>
                </c:pt>
                <c:pt idx="2">
                  <c:v>创业实训与模拟</c:v>
                </c:pt>
                <c:pt idx="3">
                  <c:v>创业孵化项目</c:v>
                </c:pt>
                <c:pt idx="4">
                  <c:v>创业社团</c:v>
                </c:pt>
              </c:strCache>
            </c:strRef>
          </c:cat>
          <c:val>
            <c:numRef>
              <c:f>Sheet1!$B$2:$B$6</c:f>
              <c:numCache>
                <c:formatCode>0.00%</c:formatCode>
                <c:ptCount val="5"/>
                <c:pt idx="0">
                  <c:v>1</c:v>
                </c:pt>
                <c:pt idx="1">
                  <c:v>1</c:v>
                </c:pt>
                <c:pt idx="2">
                  <c:v>0.984615</c:v>
                </c:pt>
                <c:pt idx="3">
                  <c:v>1</c:v>
                </c:pt>
                <c:pt idx="4">
                  <c:v>0.984126</c:v>
                </c:pt>
              </c:numCache>
            </c:numRef>
          </c:val>
        </c:ser>
        <c:dLbls>
          <c:showLegendKey val="0"/>
          <c:showVal val="0"/>
          <c:showCatName val="0"/>
          <c:showSerName val="0"/>
          <c:showPercent val="0"/>
          <c:showBubbleSize val="0"/>
        </c:dLbls>
        <c:axId val="644172176"/>
        <c:axId val="644172736"/>
      </c:radarChart>
      <c:catAx>
        <c:axId val="6441721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44172736"/>
        <c:crosses val="autoZero"/>
        <c:auto val="1"/>
        <c:lblAlgn val="ctr"/>
        <c:lblOffset val="100"/>
        <c:noMultiLvlLbl val="0"/>
      </c:catAx>
      <c:valAx>
        <c:axId val="644172736"/>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zh-CN" sz="900" b="0" i="0" u="none" strike="noStrike" kern="1200" baseline="0">
                <a:noFill/>
                <a:latin typeface="+mn-lt"/>
                <a:ea typeface="+mn-ea"/>
                <a:cs typeface="+mn-cs"/>
              </a:defRPr>
            </a:pPr>
          </a:p>
        </c:txPr>
        <c:crossAx val="6441721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441578423387"/>
          <c:y val="0.0473866625152605"/>
          <c:w val="0.48427646544182"/>
          <c:h val="0.924306855779835"/>
        </c:manualLayout>
      </c:layout>
      <c:barChart>
        <c:barDir val="bar"/>
        <c:grouping val="clustered"/>
        <c:varyColors val="0"/>
        <c:ser>
          <c:idx val="0"/>
          <c:order val="0"/>
          <c:tx>
            <c:strRef>
              <c:f>Sheet1!$B$1</c:f>
              <c:strCache>
                <c:ptCount val="1"/>
                <c:pt idx="0">
                  <c:v>列1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Sheet1!$A$2:$A$8</c:f>
              <c:strCache>
                <c:ptCount val="7"/>
                <c:pt idx="0">
                  <c:v>其他</c:v>
                </c:pt>
                <c:pt idx="1">
                  <c:v>已确定创业项目和方向，正在进行创业的各项前期准备及筹建工作</c:v>
                </c:pt>
                <c:pt idx="2">
                  <c:v>准备应征入伍</c:v>
                </c:pt>
                <c:pt idx="3">
                  <c:v>正在选择就业单位中</c:v>
                </c:pt>
                <c:pt idx="4">
                  <c:v>准备参加公务员、事业单位等公开招录考试</c:v>
                </c:pt>
                <c:pt idx="5">
                  <c:v>准备升学考试</c:v>
                </c:pt>
                <c:pt idx="6">
                  <c:v>暂时不想就业</c:v>
                </c:pt>
              </c:strCache>
            </c:strRef>
          </c:cat>
          <c:val>
            <c:numRef>
              <c:f>Sheet1!$B$2:$B$8</c:f>
              <c:numCache>
                <c:formatCode>0.00%</c:formatCode>
                <c:ptCount val="7"/>
                <c:pt idx="0">
                  <c:v>0.342857</c:v>
                </c:pt>
                <c:pt idx="1">
                  <c:v>0.028571</c:v>
                </c:pt>
                <c:pt idx="2">
                  <c:v>0.057142</c:v>
                </c:pt>
                <c:pt idx="3">
                  <c:v>0.114285</c:v>
                </c:pt>
                <c:pt idx="4">
                  <c:v>0.114285</c:v>
                </c:pt>
                <c:pt idx="5">
                  <c:v>0.142857</c:v>
                </c:pt>
                <c:pt idx="6">
                  <c:v>0.2</c:v>
                </c:pt>
              </c:numCache>
            </c:numRef>
          </c:val>
        </c:ser>
        <c:dLbls>
          <c:showLegendKey val="0"/>
          <c:showVal val="0"/>
          <c:showCatName val="0"/>
          <c:showSerName val="0"/>
          <c:showPercent val="0"/>
          <c:showBubbleSize val="0"/>
        </c:dLbls>
        <c:gapWidth val="100"/>
        <c:axId val="588680560"/>
        <c:axId val="588681120"/>
      </c:barChart>
      <c:catAx>
        <c:axId val="588680560"/>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588681120"/>
        <c:crosses val="autoZero"/>
        <c:auto val="1"/>
        <c:lblAlgn val="ctr"/>
        <c:lblOffset val="100"/>
        <c:noMultiLvlLbl val="0"/>
      </c:catAx>
      <c:valAx>
        <c:axId val="588681120"/>
        <c:scaling>
          <c:orientation val="minMax"/>
          <c:max val="0.4"/>
          <c:min val="0"/>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88680560"/>
        <c:crosses val="autoZero"/>
        <c:crossBetween val="between"/>
        <c:majorUnit val="0.05"/>
      </c:valAx>
      <c:spPr>
        <a:solidFill>
          <a:schemeClr val="bg1"/>
        </a:solidFill>
        <a:ln>
          <a:noFill/>
        </a:ln>
        <a:effectLst/>
      </c:spPr>
    </c:plotArea>
    <c:plotVisOnly val="1"/>
    <c:dispBlanksAs val="gap"/>
    <c:showDLblsOverMax val="0"/>
  </c:chart>
  <c:spPr>
    <a:solidFill>
      <a:schemeClr val="bg1"/>
    </a:solidFill>
    <a:ln w="12700" cap="flat" cmpd="sng" algn="ctr">
      <a:solidFill>
        <a:schemeClr val="accent1"/>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0214223879909748"/>
          <c:w val="0.982245665237791"/>
          <c:h val="0.887745779182446"/>
        </c:manualLayout>
      </c:layout>
      <c:barChart>
        <c:barDir val="col"/>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Sheet1!$A$2:$A$11</c:f>
              <c:strCache>
                <c:ptCount val="10"/>
                <c:pt idx="0">
                  <c:v>盐城市</c:v>
                </c:pt>
                <c:pt idx="1">
                  <c:v>淮安市</c:v>
                </c:pt>
                <c:pt idx="2">
                  <c:v>泰州市</c:v>
                </c:pt>
                <c:pt idx="3">
                  <c:v>连云港市</c:v>
                </c:pt>
                <c:pt idx="4">
                  <c:v>扬州市</c:v>
                </c:pt>
                <c:pt idx="5">
                  <c:v>南京市</c:v>
                </c:pt>
                <c:pt idx="6">
                  <c:v>宿迁市</c:v>
                </c:pt>
                <c:pt idx="7">
                  <c:v>常州市</c:v>
                </c:pt>
                <c:pt idx="8">
                  <c:v>苏州市</c:v>
                </c:pt>
                <c:pt idx="9">
                  <c:v>镇江市</c:v>
                </c:pt>
              </c:strCache>
            </c:strRef>
          </c:cat>
          <c:val>
            <c:numRef>
              <c:f>Sheet1!$B$2:$B$11</c:f>
              <c:numCache>
                <c:formatCode>0.00%</c:formatCode>
                <c:ptCount val="10"/>
                <c:pt idx="0">
                  <c:v>0.954769</c:v>
                </c:pt>
                <c:pt idx="1">
                  <c:v>0.014802</c:v>
                </c:pt>
                <c:pt idx="2">
                  <c:v>0.009868</c:v>
                </c:pt>
                <c:pt idx="3">
                  <c:v>0.005756</c:v>
                </c:pt>
                <c:pt idx="4">
                  <c:v>0.004111</c:v>
                </c:pt>
                <c:pt idx="5">
                  <c:v>0.003289</c:v>
                </c:pt>
                <c:pt idx="6">
                  <c:v>0.003289</c:v>
                </c:pt>
                <c:pt idx="7">
                  <c:v>0.001644</c:v>
                </c:pt>
                <c:pt idx="8">
                  <c:v>0.001644</c:v>
                </c:pt>
                <c:pt idx="9">
                  <c:v>0.000822</c:v>
                </c:pt>
              </c:numCache>
            </c:numRef>
          </c:val>
        </c:ser>
        <c:dLbls>
          <c:showLegendKey val="0"/>
          <c:showVal val="0"/>
          <c:showCatName val="0"/>
          <c:showSerName val="0"/>
          <c:showPercent val="0"/>
          <c:showBubbleSize val="0"/>
        </c:dLbls>
        <c:gapWidth val="100"/>
        <c:axId val="606053856"/>
        <c:axId val="606054416"/>
      </c:barChart>
      <c:catAx>
        <c:axId val="606053856"/>
        <c:scaling>
          <c:orientation val="minMax"/>
        </c:scaling>
        <c:delete val="0"/>
        <c:axPos val="b"/>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606054416"/>
        <c:crosses val="autoZero"/>
        <c:auto val="1"/>
        <c:lblAlgn val="ctr"/>
        <c:lblOffset val="100"/>
        <c:noMultiLvlLbl val="0"/>
      </c:catAx>
      <c:valAx>
        <c:axId val="606054416"/>
        <c:scaling>
          <c:orientation val="minMax"/>
          <c:max val="1.2"/>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053856"/>
        <c:crosses val="autoZero"/>
        <c:crossBetween val="between"/>
        <c:majorUnit val="0.2"/>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665335866367"/>
          <c:y val="0.227855968096409"/>
          <c:w val="0.616520112405304"/>
          <c:h val="0.739824134886365"/>
        </c:manualLayout>
      </c:layout>
      <c:doughnut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Pt>
            <c:idx val="5"/>
            <c:bubble3D val="0"/>
            <c:spPr>
              <a:solidFill>
                <a:schemeClr val="accent5">
                  <a:lumMod val="60000"/>
                </a:schemeClr>
              </a:solidFill>
              <a:ln w="19050">
                <a:solidFill>
                  <a:schemeClr val="lt1"/>
                </a:solidFill>
              </a:ln>
              <a:effectLst/>
            </c:spPr>
          </c:dPt>
          <c:dPt>
            <c:idx val="6"/>
            <c:bubble3D val="0"/>
            <c:spPr>
              <a:solidFill>
                <a:schemeClr val="accent1">
                  <a:lumMod val="80000"/>
                  <a:lumOff val="20000"/>
                </a:schemeClr>
              </a:solidFill>
              <a:ln w="19050">
                <a:solidFill>
                  <a:schemeClr val="lt1"/>
                </a:solidFill>
              </a:ln>
              <a:effectLst/>
            </c:spPr>
          </c:dPt>
          <c:dLbls>
            <c:dLbl>
              <c:idx val="0"/>
              <c:layout>
                <c:manualLayout>
                  <c:x val="0.0819865258778137"/>
                  <c:y val="-0.211350677939451"/>
                </c:manualLayout>
              </c:layout>
              <c:showLegendKey val="0"/>
              <c:showVal val="1"/>
              <c:showCatName val="1"/>
              <c:showSerName val="0"/>
              <c:showPercent val="0"/>
              <c:showBubbleSize val="0"/>
              <c:extLst>
                <c:ext xmlns:c15="http://schemas.microsoft.com/office/drawing/2012/chart" uri="{CE6537A1-D6FC-4f65-9D91-7224C49458BB}">
                  <c15:layout>
                    <c:manualLayout>
                      <c:w val="0.287352790578597"/>
                      <c:h val="0.19245837513554"/>
                    </c:manualLayout>
                  </c15:layout>
                </c:ext>
              </c:extLst>
            </c:dLbl>
            <c:dLbl>
              <c:idx val="1"/>
              <c:layout>
                <c:manualLayout>
                  <c:x val="0.18181754768929"/>
                  <c:y val="0.087899825830458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24105402666251"/>
                      <c:h val="0.164148728174228"/>
                    </c:manualLayout>
                  </c15:layout>
                </c:ext>
              </c:extLst>
            </c:dLbl>
            <c:dLbl>
              <c:idx val="2"/>
              <c:layout>
                <c:manualLayout>
                  <c:x val="-0.187081526221416"/>
                  <c:y val="0.086955720183775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1966407424878"/>
                      <c:h val="0.177030073883936"/>
                    </c:manualLayout>
                  </c15:layout>
                </c:ext>
              </c:extLst>
            </c:dLbl>
            <c:dLbl>
              <c:idx val="3"/>
              <c:layout>
                <c:manualLayout>
                  <c:x val="-0.197132616487455"/>
                  <c:y val="0.0355378158375364"/>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82207062826824"/>
                      <c:h val="0.168185328185328"/>
                    </c:manualLayout>
                  </c15:layout>
                </c:ext>
              </c:extLst>
            </c:dLbl>
            <c:dLbl>
              <c:idx val="4"/>
              <c:layout>
                <c:manualLayout>
                  <c:x val="-0.19858122573388"/>
                  <c:y val="-0.0494926037471123"/>
                </c:manualLayout>
              </c:layout>
              <c:showLegendKey val="0"/>
              <c:showVal val="1"/>
              <c:showCatName val="1"/>
              <c:showSerName val="0"/>
              <c:showPercent val="0"/>
              <c:showBubbleSize val="0"/>
              <c:extLst>
                <c:ext xmlns:c15="http://schemas.microsoft.com/office/drawing/2012/chart" uri="{CE6537A1-D6FC-4f65-9D91-7224C49458BB}">
                  <c15:layout>
                    <c:manualLayout>
                      <c:w val="0.304582491704666"/>
                      <c:h val="0.188777348777349"/>
                    </c:manualLayout>
                  </c15:layout>
                </c:ext>
              </c:extLst>
            </c:dLbl>
            <c:dLbl>
              <c:idx val="5"/>
              <c:layout>
                <c:manualLayout>
                  <c:x val="-0.26675738113381"/>
                  <c:y val="-0.14808665045901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09702819405639"/>
                      <c:h val="0.164199958876108"/>
                    </c:manualLayout>
                  </c15:layout>
                </c:ext>
              </c:extLst>
            </c:dLbl>
            <c:dLbl>
              <c:idx val="6"/>
              <c:layout>
                <c:manualLayout>
                  <c:x val="-0.00282363898061129"/>
                  <c:y val="-0.17082550165100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28955251561297"/>
                      <c:h val="0.16788078909491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50人及以下</c:v>
                </c:pt>
                <c:pt idx="1">
                  <c:v>51-100人</c:v>
                </c:pt>
                <c:pt idx="2">
                  <c:v>101-200人</c:v>
                </c:pt>
                <c:pt idx="3">
                  <c:v>201-300人</c:v>
                </c:pt>
                <c:pt idx="4">
                  <c:v>301-1000人</c:v>
                </c:pt>
                <c:pt idx="5">
                  <c:v>1001-2000人</c:v>
                </c:pt>
                <c:pt idx="6">
                  <c:v>2001人及以上</c:v>
                </c:pt>
              </c:strCache>
            </c:strRef>
          </c:cat>
          <c:val>
            <c:numRef>
              <c:f>Sheet1!$B$2:$B$8</c:f>
              <c:numCache>
                <c:formatCode>0.00%</c:formatCode>
                <c:ptCount val="7"/>
                <c:pt idx="0">
                  <c:v>0.300589390962672</c:v>
                </c:pt>
                <c:pt idx="1">
                  <c:v>0.222003929273084</c:v>
                </c:pt>
                <c:pt idx="2">
                  <c:v>0.143418467583497</c:v>
                </c:pt>
                <c:pt idx="3">
                  <c:v>0.108055009823183</c:v>
                </c:pt>
                <c:pt idx="4">
                  <c:v>0.121807465618861</c:v>
                </c:pt>
                <c:pt idx="5">
                  <c:v>0.0569744597249509</c:v>
                </c:pt>
                <c:pt idx="6">
                  <c:v>0.0471512770137525</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8594767490798"/>
          <c:y val="0.0281506840630428"/>
          <c:w val="0.497437004047963"/>
          <c:h val="0.939643347050754"/>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Sheet1!$A$2:$A$6</c:f>
              <c:strCache>
                <c:ptCount val="5"/>
                <c:pt idx="0">
                  <c:v>其他单位</c:v>
                </c:pt>
                <c:pt idx="1">
                  <c:v>教育培训机构</c:v>
                </c:pt>
                <c:pt idx="2">
                  <c:v>小学、初中、高中学校</c:v>
                </c:pt>
                <c:pt idx="3">
                  <c:v>民办幼儿园</c:v>
                </c:pt>
                <c:pt idx="4">
                  <c:v>公办幼儿园</c:v>
                </c:pt>
              </c:strCache>
            </c:strRef>
          </c:cat>
          <c:val>
            <c:numRef>
              <c:f>Sheet1!$B$2:$B$6</c:f>
              <c:numCache>
                <c:formatCode>0.00%</c:formatCode>
                <c:ptCount val="5"/>
                <c:pt idx="0">
                  <c:v>0.197265625</c:v>
                </c:pt>
                <c:pt idx="1">
                  <c:v>0.109375</c:v>
                </c:pt>
                <c:pt idx="2">
                  <c:v>0.146484375</c:v>
                </c:pt>
                <c:pt idx="3">
                  <c:v>0.26953125</c:v>
                </c:pt>
                <c:pt idx="4">
                  <c:v>0.27734375</c:v>
                </c:pt>
              </c:numCache>
            </c:numRef>
          </c:val>
        </c:ser>
        <c:dLbls>
          <c:showLegendKey val="0"/>
          <c:showVal val="0"/>
          <c:showCatName val="0"/>
          <c:showSerName val="0"/>
          <c:showPercent val="0"/>
          <c:showBubbleSize val="0"/>
        </c:dLbls>
        <c:gapWidth val="108"/>
        <c:axId val="622832864"/>
        <c:axId val="622833424"/>
      </c:barChart>
      <c:catAx>
        <c:axId val="622832864"/>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622833424"/>
        <c:crosses val="autoZero"/>
        <c:auto val="1"/>
        <c:lblAlgn val="ctr"/>
        <c:lblOffset val="100"/>
        <c:noMultiLvlLbl val="0"/>
      </c:catAx>
      <c:valAx>
        <c:axId val="622833424"/>
        <c:scaling>
          <c:orientation val="minMax"/>
          <c:max val="0.3"/>
          <c:min val="0"/>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22832864"/>
        <c:crosses val="autoZero"/>
        <c:crossBetween val="between"/>
        <c:majorUnit val="0.2"/>
      </c:valAx>
      <c:spPr>
        <a:noFill/>
        <a:ln>
          <a:noFill/>
        </a:ln>
        <a:effectLst/>
      </c:spPr>
    </c:plotArea>
    <c:plotVisOnly val="1"/>
    <c:dispBlanksAs val="gap"/>
    <c:showDLblsOverMax val="0"/>
  </c:chart>
  <c:spPr>
    <a:noFill/>
    <a:ln w="6350" cap="flat" cmpd="sng" algn="ctr">
      <a:no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86127784815"/>
          <c:y val="0.108476785229433"/>
          <c:w val="0.579717454673005"/>
          <c:h val="0.743637562546061"/>
        </c:manualLayout>
      </c:layout>
      <c:doughnut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Lbls>
            <c:dLbl>
              <c:idx val="0"/>
              <c:layout>
                <c:manualLayout>
                  <c:x val="0.146668071920082"/>
                  <c:y val="-0.130363445948567"/>
                </c:manualLayout>
              </c:layout>
              <c:showLegendKey val="0"/>
              <c:showVal val="1"/>
              <c:showCatName val="1"/>
              <c:showSerName val="0"/>
              <c:showPercent val="0"/>
              <c:showBubbleSize val="0"/>
              <c:extLst>
                <c:ext xmlns:c15="http://schemas.microsoft.com/office/drawing/2012/chart" uri="{CE6537A1-D6FC-4f65-9D91-7224C49458BB}">
                  <c15:layout>
                    <c:manualLayout>
                      <c:w val="0.287352790578597"/>
                      <c:h val="0.19245837513554"/>
                    </c:manualLayout>
                  </c15:layout>
                </c:ext>
              </c:extLst>
            </c:dLbl>
            <c:dLbl>
              <c:idx val="1"/>
              <c:layout>
                <c:manualLayout>
                  <c:x val="-0.205799625309533"/>
                  <c:y val="0.059955264212663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6215823284786"/>
                      <c:h val="0.162504686914136"/>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是</c:v>
                </c:pt>
                <c:pt idx="1">
                  <c:v>否</c:v>
                </c:pt>
              </c:strCache>
            </c:strRef>
          </c:cat>
          <c:val>
            <c:numRef>
              <c:f>Sheet1!$B$2:$B$3</c:f>
              <c:numCache>
                <c:formatCode>0.00%</c:formatCode>
                <c:ptCount val="2"/>
                <c:pt idx="0">
                  <c:v>0.196428571428571</c:v>
                </c:pt>
                <c:pt idx="1">
                  <c:v>0.803571428571429</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820229104015"/>
          <c:y val="0.0603566529492455"/>
          <c:w val="0.524647888401705"/>
          <c:h val="0.939643347050754"/>
        </c:manualLayout>
      </c:layout>
      <c:barChart>
        <c:barDir val="bar"/>
        <c:grouping val="clustered"/>
        <c:varyColors val="0"/>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Sheet1!$A$2:$A$5</c:f>
              <c:strCache>
                <c:ptCount val="4"/>
                <c:pt idx="0">
                  <c:v>其他</c:v>
                </c:pt>
                <c:pt idx="1">
                  <c:v>农村合格幼儿园</c:v>
                </c:pt>
                <c:pt idx="2">
                  <c:v>市优质幼儿园</c:v>
                </c:pt>
                <c:pt idx="3">
                  <c:v>省优质幼儿园</c:v>
                </c:pt>
              </c:strCache>
            </c:strRef>
          </c:cat>
          <c:val>
            <c:numRef>
              <c:f>Sheet1!$B$2:$B$5</c:f>
              <c:numCache>
                <c:formatCode>0.00%</c:formatCode>
                <c:ptCount val="4"/>
                <c:pt idx="0">
                  <c:v>0.125</c:v>
                </c:pt>
                <c:pt idx="1">
                  <c:v>0.103571428571429</c:v>
                </c:pt>
                <c:pt idx="2">
                  <c:v>0.296428571428571</c:v>
                </c:pt>
                <c:pt idx="3">
                  <c:v>0.475</c:v>
                </c:pt>
              </c:numCache>
            </c:numRef>
          </c:val>
        </c:ser>
        <c:dLbls>
          <c:showLegendKey val="0"/>
          <c:showVal val="0"/>
          <c:showCatName val="0"/>
          <c:showSerName val="0"/>
          <c:showPercent val="0"/>
          <c:showBubbleSize val="0"/>
        </c:dLbls>
        <c:gapWidth val="108"/>
        <c:axId val="304435472"/>
        <c:axId val="304436032"/>
      </c:barChart>
      <c:catAx>
        <c:axId val="304435472"/>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p>
        </c:txPr>
        <c:crossAx val="304436032"/>
        <c:crosses val="autoZero"/>
        <c:auto val="1"/>
        <c:lblAlgn val="ctr"/>
        <c:lblOffset val="100"/>
        <c:noMultiLvlLbl val="0"/>
      </c:catAx>
      <c:valAx>
        <c:axId val="304436032"/>
        <c:scaling>
          <c:orientation val="minMax"/>
          <c:max val="0.55"/>
          <c:min val="0"/>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443547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0.74671</cdr:x>
      <cdr:y>0.84821</cdr:y>
    </cdr:from>
    <cdr:to>
      <cdr:x>0.90659</cdr:x>
      <cdr:y>1</cdr:y>
    </cdr:to>
    <cdr:sp>
      <cdr:nvSpPr>
        <cdr:cNvPr id="2" name="矩形 1"/>
        <cdr:cNvSpPr/>
      </cdr:nvSpPr>
      <cdr:spPr xmlns:a="http://schemas.openxmlformats.org/drawingml/2006/main">
        <a:xfrm xmlns:a="http://schemas.openxmlformats.org/drawingml/2006/main">
          <a:off x="2446655" y="7461250"/>
          <a:ext cx="523875" cy="485775"/>
        </a:xfrm>
        <a:prstGeom xmlns:a="http://schemas.openxmlformats.org/drawingml/2006/main" prst="rect">
          <a:avLst/>
        </a:prstGeom>
        <a:noFill/>
        <a:ln w="6350">
          <a:noFill/>
        </a:ln>
        <a:effectLst/>
      </cdr:spPr>
    </cdr:sp>
  </cdr:relSizeAnchor>
</c:userShapes>
</file>

<file path=word/drawings/drawing2.xml><?xml version="1.0" encoding="utf-8"?>
<c:userShapes xmlns:c="http://schemas.openxmlformats.org/drawingml/2006/chart">
  <cdr:relSizeAnchor xmlns:cdr="http://schemas.openxmlformats.org/drawingml/2006/chartDrawing">
    <cdr:from>
      <cdr:x>0.74671</cdr:x>
      <cdr:y>0.84821</cdr:y>
    </cdr:from>
    <cdr:to>
      <cdr:x>0.90659</cdr:x>
      <cdr:y>1</cdr:y>
    </cdr:to>
    <cdr:sp>
      <cdr:nvSpPr>
        <cdr:cNvPr id="2" name="矩形 1"/>
        <cdr:cNvSpPr/>
      </cdr:nvSpPr>
      <cdr:spPr xmlns:a="http://schemas.openxmlformats.org/drawingml/2006/main">
        <a:xfrm xmlns:a="http://schemas.openxmlformats.org/drawingml/2006/main">
          <a:off x="2446655" y="7461250"/>
          <a:ext cx="523875" cy="485775"/>
        </a:xfrm>
        <a:prstGeom xmlns:a="http://schemas.openxmlformats.org/drawingml/2006/main" prst="rect">
          <a:avLst/>
        </a:prstGeom>
        <a:noFill/>
        <a:ln w="6350">
          <a:noFill/>
        </a:ln>
        <a:effectLst/>
      </cdr:spPr>
    </cdr:sp>
  </cdr:relSizeAnchor>
</c:userShapes>
</file>

<file path=word/drawings/drawing3.xml><?xml version="1.0" encoding="utf-8"?>
<c:userShapes xmlns:c="http://schemas.openxmlformats.org/drawingml/2006/chart">
  <cdr:relSizeAnchor xmlns:cdr="http://schemas.openxmlformats.org/drawingml/2006/chartDrawing">
    <cdr:from>
      <cdr:x>0.12456</cdr:x>
      <cdr:y>0.02858</cdr:y>
    </cdr:from>
    <cdr:to>
      <cdr:x>0.12807</cdr:x>
      <cdr:y>0.97533</cdr:y>
    </cdr:to>
    <cdr:sp>
      <cdr:nvSpPr>
        <cdr:cNvPr id="2" name="直接箭头连接符 1"/>
        <cdr:cNvSpPr/>
      </cdr:nvSpPr>
      <cdr:spPr xmlns:a="http://schemas.openxmlformats.org/drawingml/2006/main">
        <a:xfrm xmlns:a="http://schemas.openxmlformats.org/drawingml/2006/main" flipH="1" flipV="1">
          <a:off x="676269" y="88266"/>
          <a:ext cx="19056" cy="2924174"/>
        </a:xfrm>
        <a:prstGeom xmlns:a="http://schemas.openxmlformats.org/drawingml/2006/main" prst="straightConnector1">
          <a:avLst/>
        </a:prstGeom>
        <a:ln w="4445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sp>
  </cdr:relSizeAnchor>
  <cdr:relSizeAnchor xmlns:cdr="http://schemas.openxmlformats.org/drawingml/2006/chartDrawing">
    <cdr:from>
      <cdr:x>0.02281</cdr:x>
      <cdr:y>0.03701</cdr:y>
    </cdr:from>
    <cdr:to>
      <cdr:x>0.09474</cdr:x>
      <cdr:y>0.13261</cdr:y>
    </cdr:to>
    <cdr:sp>
      <cdr:nvSpPr>
        <cdr:cNvPr id="3" name="矩形 2"/>
        <cdr:cNvSpPr/>
      </cdr:nvSpPr>
      <cdr:spPr xmlns:a="http://schemas.openxmlformats.org/drawingml/2006/main">
        <a:xfrm xmlns:a="http://schemas.openxmlformats.org/drawingml/2006/main">
          <a:off x="123825" y="114304"/>
          <a:ext cx="390525" cy="295271"/>
        </a:xfrm>
        <a:prstGeom xmlns:a="http://schemas.openxmlformats.org/drawingml/2006/main" prst="rect">
          <a:avLst/>
        </a:prstGeom>
        <a:noFill/>
        <a:ln w="9525">
          <a:noFill/>
          <a:miter lim="800000"/>
        </a:ln>
      </cdr:spPr>
      <cdr:txBody xmlns:a="http://schemas.openxmlformats.org/drawingml/2006/main">
        <a:bodyPr rot="0" vertOverflow="clip" vert="horz" wrap="square" lIns="91440" tIns="45720" rIns="91440" bIns="45720" rtlCol="0" anchor="t" anchorCtr="0">
          <a:noAutofit/>
        </a:bodyPr>
        <a:lstStyle/>
        <a:p>
          <a:r>
            <a:rPr lang="zh-CN" altLang="en-US" sz="1100" b="1">
              <a:solidFill>
                <a:schemeClr val="accent3"/>
              </a:solidFill>
            </a:rPr>
            <a:t>高</a:t>
          </a:r>
          <a:endParaRPr lang="zh-CN" altLang="en-US" sz="1100" b="1">
            <a:solidFill>
              <a:schemeClr val="accent3"/>
            </a:solidFill>
          </a:endParaRPr>
        </a:p>
      </cdr:txBody>
    </cdr:sp>
  </cdr:relSizeAnchor>
  <cdr:relSizeAnchor xmlns:cdr="http://schemas.openxmlformats.org/drawingml/2006/chartDrawing">
    <cdr:from>
      <cdr:x>0</cdr:x>
      <cdr:y>0.40399</cdr:y>
    </cdr:from>
    <cdr:to>
      <cdr:x>0.1193</cdr:x>
      <cdr:y>0.4965</cdr:y>
    </cdr:to>
    <cdr:sp>
      <cdr:nvSpPr>
        <cdr:cNvPr id="4" name="矩形 3"/>
        <cdr:cNvSpPr/>
      </cdr:nvSpPr>
      <cdr:spPr xmlns:a="http://schemas.openxmlformats.org/drawingml/2006/main">
        <a:xfrm xmlns:a="http://schemas.openxmlformats.org/drawingml/2006/main">
          <a:off x="0" y="1247775"/>
          <a:ext cx="647700" cy="285750"/>
        </a:xfrm>
        <a:prstGeom xmlns:a="http://schemas.openxmlformats.org/drawingml/2006/main" prst="rect">
          <a:avLst/>
        </a:prstGeom>
        <a:noFill/>
        <a:ln w="9525">
          <a:noFill/>
          <a:miter lim="800000"/>
        </a:ln>
      </cdr:spPr>
      <cdr:txBody xmlns:a="http://schemas.openxmlformats.org/drawingml/2006/main">
        <a:bodyPr rot="0" vertOverflow="clip" vert="horz" wrap="square" lIns="91440" tIns="45720" rIns="91440" bIns="45720" rtlCol="0" anchor="t" anchorCtr="0">
          <a:noAutofit/>
        </a:bodyPr>
        <a:lstStyle/>
        <a:p>
          <a:r>
            <a:rPr lang="zh-CN" altLang="en-US" sz="1100" b="1">
              <a:solidFill>
                <a:schemeClr val="accent3"/>
              </a:solidFill>
            </a:rPr>
            <a:t>重要度</a:t>
          </a:r>
          <a:endParaRPr lang="zh-CN" altLang="en-US" sz="1100" b="1">
            <a:solidFill>
              <a:schemeClr val="accent3"/>
            </a:solidFill>
          </a:endParaRPr>
        </a:p>
      </cdr:txBody>
    </cdr:sp>
  </cdr:relSizeAnchor>
  <cdr:relSizeAnchor xmlns:cdr="http://schemas.openxmlformats.org/drawingml/2006/chartDrawing">
    <cdr:from>
      <cdr:x>0.03509</cdr:x>
      <cdr:y>0.8419</cdr:y>
    </cdr:from>
    <cdr:to>
      <cdr:x>0.09825</cdr:x>
      <cdr:y>0.95601</cdr:y>
    </cdr:to>
    <cdr:sp>
      <cdr:nvSpPr>
        <cdr:cNvPr id="5" name="矩形 4"/>
        <cdr:cNvSpPr/>
      </cdr:nvSpPr>
      <cdr:spPr xmlns:a="http://schemas.openxmlformats.org/drawingml/2006/main">
        <a:xfrm xmlns:a="http://schemas.openxmlformats.org/drawingml/2006/main">
          <a:off x="190500" y="2600314"/>
          <a:ext cx="342897" cy="352444"/>
        </a:xfrm>
        <a:prstGeom xmlns:a="http://schemas.openxmlformats.org/drawingml/2006/main" prst="rect">
          <a:avLst/>
        </a:prstGeom>
        <a:noFill/>
        <a:ln w="9525">
          <a:noFill/>
          <a:miter lim="800000"/>
        </a:ln>
      </cdr:spPr>
      <cdr:txBody xmlns:a="http://schemas.openxmlformats.org/drawingml/2006/main">
        <a:bodyPr rot="0" vertOverflow="clip" vert="horz" wrap="square" lIns="91440" tIns="45720" rIns="91440" bIns="45720" rtlCol="0" anchor="t" anchorCtr="0">
          <a:noAutofit/>
        </a:bodyPr>
        <a:lstStyle/>
        <a:p>
          <a:r>
            <a:rPr lang="zh-CN" altLang="en-US" sz="1100" b="1">
              <a:solidFill>
                <a:schemeClr val="accent3"/>
              </a:solidFill>
            </a:rPr>
            <a:t>低</a:t>
          </a:r>
          <a:endParaRPr lang="zh-CN" altLang="en-US" sz="1100" b="1">
            <a:solidFill>
              <a:schemeClr val="accent3"/>
            </a:solidFill>
          </a:endParaRPr>
        </a:p>
      </cdr:txBody>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4FC200-AA98-4D20-A582-4950EBE56962}">
  <ds:schemaRefs/>
</ds:datastoreItem>
</file>

<file path=docProps/app.xml><?xml version="1.0" encoding="utf-8"?>
<Properties xmlns="http://schemas.openxmlformats.org/officeDocument/2006/extended-properties" xmlns:vt="http://schemas.openxmlformats.org/officeDocument/2006/docPropsVTypes">
  <Template>Normal.dotm</Template>
  <Company>http://sdwm.org</Company>
  <Pages>33</Pages>
  <Words>2831</Words>
  <Characters>16139</Characters>
  <Lines>134</Lines>
  <Paragraphs>37</Paragraphs>
  <TotalTime>11</TotalTime>
  <ScaleCrop>false</ScaleCrop>
  <LinksUpToDate>false</LinksUpToDate>
  <CharactersWithSpaces>18933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2018-08-07T02:45:00Z</dcterms:created>
  <dc:creator>SDWM</dc:creator>
  <cp:lastModifiedBy>Administrator</cp:lastModifiedBy>
  <cp:lastPrinted>2018-08-07T02:45:00Z</cp:lastPrinted>
  <dcterms:modified xsi:type="dcterms:W3CDTF">2018-09-25T11:24:30Z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