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一馆一中心建设项目规划调整及单体方案设计服务</w:t>
      </w:r>
      <w:r>
        <w:rPr>
          <w:rFonts w:hint="eastAsia" w:ascii="仿宋_GB2312" w:eastAsia="仿宋_GB2312"/>
          <w:sz w:val="28"/>
          <w:szCs w:val="28"/>
        </w:rPr>
        <w:t>项目经公开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一、询价项目名称：盐城幼儿师范高等专科学校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一馆一中心建设项目规划调整及单体方案设计服务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二、询价公告媒体及日期：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629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行政楼5楼会议室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孙军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贾昆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刘伟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杭胜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刘毓敏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监委：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马力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四、中标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入围单位：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  <w:lang w:val="en-US" w:eastAsia="zh-CN"/>
        </w:rPr>
        <w:t>盐城市建筑设计研究院有限公司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深圳市东大国际工程设计有限公司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淮安市建筑设计研究院有限公司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五、本次询价联系事项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蒋</w:t>
      </w:r>
      <w:r>
        <w:rPr>
          <w:rFonts w:hint="eastAsia" w:ascii="仿宋_GB2312" w:eastAsia="仿宋_GB2312"/>
          <w:sz w:val="28"/>
          <w:szCs w:val="28"/>
        </w:rPr>
        <w:t>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0515-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05F719B2"/>
    <w:rsid w:val="27DD5E4F"/>
    <w:rsid w:val="4C071D24"/>
    <w:rsid w:val="4E610A21"/>
    <w:rsid w:val="59633356"/>
    <w:rsid w:val="6DC24E41"/>
    <w:rsid w:val="712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6</TotalTime>
  <ScaleCrop>false</ScaleCrop>
  <LinksUpToDate>false</LinksUpToDate>
  <CharactersWithSpaces>466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ASUS</cp:lastModifiedBy>
  <dcterms:modified xsi:type="dcterms:W3CDTF">2020-07-21T01:28:13Z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