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themeColor="text1"/>
          <w:sz w:val="32"/>
          <w:szCs w:val="32"/>
          <w14:textFill>
            <w14:solidFill>
              <w14:schemeClr w14:val="tx1"/>
            </w14:solidFill>
          </w14:textFill>
        </w:rPr>
      </w:pPr>
    </w:p>
    <w:p>
      <w:pPr>
        <w:spacing w:line="760" w:lineRule="exact"/>
        <w:jc w:val="center"/>
        <w:rPr>
          <w:rFonts w:eastAsiaTheme="minorEastAsia"/>
          <w:b/>
          <w:bCs/>
          <w:color w:val="000000" w:themeColor="text1"/>
          <w:sz w:val="50"/>
          <w:szCs w:val="32"/>
          <w14:textFill>
            <w14:solidFill>
              <w14:schemeClr w14:val="tx1"/>
            </w14:solidFill>
          </w14:textFill>
        </w:rPr>
      </w:pPr>
      <w:r>
        <w:rPr>
          <w:rFonts w:hint="eastAsia" w:eastAsiaTheme="minorEastAsia"/>
          <w:b/>
          <w:bCs/>
          <w:color w:val="000000" w:themeColor="text1"/>
          <w:sz w:val="50"/>
          <w:szCs w:val="32"/>
          <w14:textFill>
            <w14:solidFill>
              <w14:schemeClr w14:val="tx1"/>
            </w14:solidFill>
          </w14:textFill>
        </w:rPr>
        <w:t>盐城幼儿师范高等专科学校</w:t>
      </w:r>
    </w:p>
    <w:p>
      <w:pPr>
        <w:jc w:val="center"/>
        <w:rPr>
          <w:b/>
          <w:bCs/>
          <w:color w:val="000000" w:themeColor="text1"/>
          <w:sz w:val="32"/>
          <w:szCs w:val="32"/>
          <w14:textFill>
            <w14:solidFill>
              <w14:schemeClr w14:val="tx1"/>
            </w14:solidFill>
          </w14:textFill>
        </w:rPr>
      </w:pPr>
      <w:r>
        <w:rPr>
          <w:rFonts w:hint="eastAsia" w:eastAsiaTheme="minorEastAsia"/>
          <w:b/>
          <w:bCs/>
          <w:color w:val="000000" w:themeColor="text1"/>
          <w:sz w:val="50"/>
          <w:szCs w:val="32"/>
          <w14:textFill>
            <w14:solidFill>
              <w14:schemeClr w14:val="tx1"/>
            </w14:solidFill>
          </w14:textFill>
        </w:rPr>
        <w:t>艺术训练中心教学设备采购项目</w:t>
      </w:r>
    </w:p>
    <w:p>
      <w:pPr>
        <w:jc w:val="center"/>
        <w:rPr>
          <w:color w:val="000000" w:themeColor="text1"/>
          <w:sz w:val="32"/>
          <w:szCs w:val="32"/>
          <w14:textFill>
            <w14:solidFill>
              <w14:schemeClr w14:val="tx1"/>
            </w14:solidFill>
          </w14:textFill>
        </w:rPr>
      </w:pPr>
    </w:p>
    <w:p>
      <w:pPr>
        <w:pStyle w:val="27"/>
      </w:pPr>
    </w:p>
    <w:p>
      <w:pPr>
        <w:pStyle w:val="27"/>
      </w:pPr>
    </w:p>
    <w:p>
      <w:pPr>
        <w:jc w:val="center"/>
        <w:rPr>
          <w:rFonts w:eastAsia="黑体"/>
          <w:bCs/>
          <w:color w:val="000000" w:themeColor="text1"/>
          <w:sz w:val="78"/>
          <w:szCs w:val="84"/>
          <w14:textFill>
            <w14:solidFill>
              <w14:schemeClr w14:val="tx1"/>
            </w14:solidFill>
          </w14:textFill>
        </w:rPr>
      </w:pPr>
      <w:r>
        <w:rPr>
          <w:rFonts w:hint="eastAsia" w:eastAsia="黑体"/>
          <w:bCs/>
          <w:color w:val="000000" w:themeColor="text1"/>
          <w:sz w:val="78"/>
          <w:szCs w:val="84"/>
          <w14:textFill>
            <w14:solidFill>
              <w14:schemeClr w14:val="tx1"/>
            </w14:solidFill>
          </w14:textFill>
        </w:rPr>
        <w:t>招 标 文 件</w:t>
      </w:r>
    </w:p>
    <w:p>
      <w:pPr>
        <w:jc w:val="center"/>
        <w:rPr>
          <w:color w:val="000000" w:themeColor="text1"/>
          <w:sz w:val="32"/>
          <w:szCs w:val="32"/>
          <w14:textFill>
            <w14:solidFill>
              <w14:schemeClr w14:val="tx1"/>
            </w14:solidFill>
          </w14:textFill>
        </w:rPr>
      </w:pPr>
    </w:p>
    <w:p>
      <w:pPr>
        <w:jc w:val="center"/>
        <w:rPr>
          <w:rFonts w:eastAsia="黑体"/>
          <w:bCs/>
          <w:color w:val="000000" w:themeColor="text1"/>
          <w:sz w:val="36"/>
          <w:szCs w:val="36"/>
          <w14:textFill>
            <w14:solidFill>
              <w14:schemeClr w14:val="tx1"/>
            </w14:solidFill>
          </w14:textFill>
        </w:rPr>
      </w:pPr>
      <w:r>
        <w:rPr>
          <w:rFonts w:hint="eastAsia" w:eastAsia="黑体"/>
          <w:bCs/>
          <w:color w:val="000000" w:themeColor="text1"/>
          <w:sz w:val="36"/>
          <w:szCs w:val="36"/>
          <w14:textFill>
            <w14:solidFill>
              <w14:schemeClr w14:val="tx1"/>
            </w14:solidFill>
          </w14:textFill>
        </w:rPr>
        <w:t>（</w:t>
      </w:r>
      <w:r>
        <w:rPr>
          <w:rFonts w:eastAsia="黑体"/>
          <w:bCs/>
          <w:color w:val="000000" w:themeColor="text1"/>
          <w:sz w:val="36"/>
          <w:szCs w:val="36"/>
          <w14:textFill>
            <w14:solidFill>
              <w14:schemeClr w14:val="tx1"/>
            </w14:solidFill>
          </w14:textFill>
        </w:rPr>
        <w:t>项目编号：</w:t>
      </w:r>
      <w:r>
        <w:rPr>
          <w:rFonts w:hint="eastAsia" w:eastAsia="黑体"/>
          <w:bCs/>
          <w:color w:val="000000" w:themeColor="text1"/>
          <w:sz w:val="36"/>
          <w:szCs w:val="36"/>
          <w14:textFill>
            <w14:solidFill>
              <w14:schemeClr w14:val="tx1"/>
            </w14:solidFill>
          </w14:textFill>
        </w:rPr>
        <w:t>YCYZ2022HW005）</w:t>
      </w: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pStyle w:val="27"/>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Theme="minorEastAsia" w:hAnsiTheme="minorEastAsia" w:eastAsiaTheme="minorEastAsia"/>
          <w:b/>
          <w:color w:val="000000" w:themeColor="text1"/>
          <w:spacing w:val="15"/>
          <w:sz w:val="36"/>
          <w:szCs w:val="36"/>
          <w14:textFill>
            <w14:solidFill>
              <w14:schemeClr w14:val="tx1"/>
            </w14:solidFill>
          </w14:textFill>
        </w:rPr>
      </w:pPr>
      <w:r>
        <w:rPr>
          <w:rFonts w:asciiTheme="minorEastAsia" w:hAnsiTheme="minorEastAsia" w:eastAsiaTheme="minorEastAsia"/>
          <w:b/>
          <w:color w:val="000000" w:themeColor="text1"/>
          <w:spacing w:val="15"/>
          <w:sz w:val="36"/>
          <w:szCs w:val="36"/>
          <w14:textFill>
            <w14:solidFill>
              <w14:schemeClr w14:val="tx1"/>
            </w14:solidFill>
          </w14:textFill>
        </w:rPr>
        <w:t>盐城幼儿师范高等专科学校</w:t>
      </w:r>
    </w:p>
    <w:p>
      <w:pPr>
        <w:spacing w:line="360" w:lineRule="auto"/>
        <w:jc w:val="center"/>
        <w:rPr>
          <w:rFonts w:asciiTheme="minorEastAsia" w:hAnsiTheme="minorEastAsia" w:eastAsiaTheme="minorEastAsia"/>
          <w:b/>
          <w:color w:val="000000" w:themeColor="text1"/>
          <w:sz w:val="36"/>
          <w:szCs w:val="36"/>
          <w14:textFill>
            <w14:solidFill>
              <w14:schemeClr w14:val="tx1"/>
            </w14:solidFill>
          </w14:textFill>
        </w:rPr>
      </w:pPr>
      <w:r>
        <w:rPr>
          <w:rFonts w:asciiTheme="minorEastAsia" w:hAnsiTheme="minorEastAsia" w:eastAsiaTheme="minorEastAsia"/>
          <w:b/>
          <w:color w:val="000000" w:themeColor="text1"/>
          <w:sz w:val="36"/>
          <w:szCs w:val="36"/>
          <w14:textFill>
            <w14:solidFill>
              <w14:schemeClr w14:val="tx1"/>
            </w14:solidFill>
          </w14:textFill>
        </w:rPr>
        <w:t>2022年</w:t>
      </w:r>
      <w:r>
        <w:rPr>
          <w:rFonts w:hint="eastAsia" w:asciiTheme="minorEastAsia" w:hAnsiTheme="minorEastAsia" w:eastAsiaTheme="minorEastAsia"/>
          <w:b/>
          <w:color w:val="000000" w:themeColor="text1"/>
          <w:sz w:val="36"/>
          <w:szCs w:val="36"/>
          <w14:textFill>
            <w14:solidFill>
              <w14:schemeClr w14:val="tx1"/>
            </w14:solidFill>
          </w14:textFill>
        </w:rPr>
        <w:t>11</w:t>
      </w:r>
      <w:r>
        <w:rPr>
          <w:rFonts w:asciiTheme="minorEastAsia" w:hAnsiTheme="minorEastAsia" w:eastAsiaTheme="minorEastAsia"/>
          <w:b/>
          <w:color w:val="000000" w:themeColor="text1"/>
          <w:sz w:val="36"/>
          <w:szCs w:val="36"/>
          <w14:textFill>
            <w14:solidFill>
              <w14:schemeClr w14:val="tx1"/>
            </w14:solidFill>
          </w14:textFill>
        </w:rPr>
        <w:t>月</w:t>
      </w:r>
      <w:r>
        <w:rPr>
          <w:rFonts w:hint="eastAsia" w:asciiTheme="minorEastAsia" w:hAnsiTheme="minorEastAsia" w:eastAsiaTheme="minorEastAsia"/>
          <w:b/>
          <w:color w:val="000000" w:themeColor="text1"/>
          <w:sz w:val="36"/>
          <w:szCs w:val="36"/>
          <w14:textFill>
            <w14:solidFill>
              <w14:schemeClr w14:val="tx1"/>
            </w14:solidFill>
          </w14:textFill>
        </w:rPr>
        <w:t xml:space="preserve"> </w:t>
      </w:r>
      <w:r>
        <w:rPr>
          <w:rFonts w:asciiTheme="minorEastAsia" w:hAnsiTheme="minorEastAsia" w:eastAsiaTheme="minorEastAsia"/>
          <w:b/>
          <w:color w:val="000000" w:themeColor="text1"/>
          <w:sz w:val="36"/>
          <w:szCs w:val="36"/>
          <w14:textFill>
            <w14:solidFill>
              <w14:schemeClr w14:val="tx1"/>
            </w14:solidFill>
          </w14:textFill>
        </w:rPr>
        <w:t>3日</w:t>
      </w:r>
    </w:p>
    <w:p>
      <w:pPr>
        <w:pStyle w:val="27"/>
      </w:pPr>
      <w:r>
        <w:br w:type="page"/>
      </w:r>
    </w:p>
    <w:p>
      <w:pPr>
        <w:jc w:val="left"/>
        <w:rPr>
          <w:rFonts w:eastAsia="黑体"/>
          <w:b/>
          <w:bCs/>
          <w:color w:val="000000" w:themeColor="text1"/>
          <w:sz w:val="44"/>
          <w:szCs w:val="44"/>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bookmarkStart w:id="0" w:name="_Toc108021864"/>
      <w:r>
        <w:rPr>
          <w:rFonts w:eastAsia="黑体"/>
          <w:color w:val="000000" w:themeColor="text1"/>
          <w:sz w:val="40"/>
          <w:szCs w:val="40"/>
          <w14:textFill>
            <w14:solidFill>
              <w14:schemeClr w14:val="tx1"/>
            </w14:solidFill>
          </w14:textFill>
        </w:rPr>
        <w:t>总 目 录</w:t>
      </w:r>
      <w:bookmarkEnd w:id="0"/>
    </w:p>
    <w:p>
      <w:pPr>
        <w:rPr>
          <w:rFonts w:eastAsia="黑体"/>
          <w:b/>
          <w:bCs/>
          <w:color w:val="000000" w:themeColor="text1"/>
          <w:sz w:val="28"/>
          <w:szCs w:val="28"/>
          <w14:textFill>
            <w14:solidFill>
              <w14:schemeClr w14:val="tx1"/>
            </w14:solidFill>
          </w14:textFill>
        </w:rPr>
      </w:pPr>
    </w:p>
    <w:p>
      <w:pPr>
        <w:pStyle w:val="20"/>
        <w:tabs>
          <w:tab w:val="right" w:leader="middleDot" w:pos="8720"/>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"_Toc108021865" </w:instrText>
      </w:r>
      <w:r>
        <w:fldChar w:fldCharType="separate"/>
      </w:r>
      <w:r>
        <w:rPr>
          <w:rStyle w:val="24"/>
          <w:rFonts w:hint="eastAsia" w:eastAsia="黑体"/>
          <w:sz w:val="28"/>
          <w:szCs w:val="28"/>
        </w:rPr>
        <w:t>第一章采购公告</w:t>
      </w:r>
      <w:r>
        <w:rPr>
          <w:sz w:val="28"/>
          <w:szCs w:val="28"/>
        </w:rPr>
        <w:tab/>
      </w:r>
      <w:r>
        <w:rPr>
          <w:rFonts w:hint="eastAsia"/>
          <w:sz w:val="28"/>
          <w:szCs w:val="28"/>
        </w:rPr>
        <w:t>3</w:t>
      </w:r>
      <w:r>
        <w:rPr>
          <w:rFonts w:hint="eastAsia"/>
          <w:sz w:val="28"/>
          <w:szCs w:val="28"/>
        </w:rPr>
        <w:fldChar w:fldCharType="end"/>
      </w:r>
    </w:p>
    <w:p>
      <w:pPr>
        <w:pStyle w:val="20"/>
        <w:tabs>
          <w:tab w:val="right" w:leader="middleDot" w:pos="8720"/>
        </w:tabs>
        <w:rPr>
          <w:sz w:val="28"/>
          <w:szCs w:val="28"/>
        </w:rPr>
      </w:pPr>
      <w:r>
        <w:fldChar w:fldCharType="begin"/>
      </w:r>
      <w:r>
        <w:instrText xml:space="preserve"> HYPERLINK \l "_Toc108021872" </w:instrText>
      </w:r>
      <w:r>
        <w:fldChar w:fldCharType="separate"/>
      </w:r>
      <w:r>
        <w:rPr>
          <w:rStyle w:val="24"/>
          <w:rFonts w:hint="eastAsia" w:eastAsia="黑体"/>
          <w:sz w:val="28"/>
          <w:szCs w:val="28"/>
        </w:rPr>
        <w:t>第二章投标人须知</w:t>
      </w:r>
      <w:r>
        <w:rPr>
          <w:sz w:val="28"/>
          <w:szCs w:val="28"/>
        </w:rPr>
        <w:tab/>
      </w:r>
      <w:r>
        <w:rPr>
          <w:rFonts w:hint="eastAsia"/>
          <w:sz w:val="28"/>
          <w:szCs w:val="28"/>
        </w:rPr>
        <w:t>6</w:t>
      </w:r>
      <w:r>
        <w:rPr>
          <w:rFonts w:hint="eastAsia"/>
          <w:sz w:val="28"/>
          <w:szCs w:val="28"/>
        </w:rPr>
        <w:fldChar w:fldCharType="end"/>
      </w:r>
    </w:p>
    <w:p>
      <w:pPr>
        <w:pStyle w:val="20"/>
        <w:tabs>
          <w:tab w:val="right" w:leader="middleDot" w:pos="8720"/>
        </w:tabs>
        <w:rPr>
          <w:sz w:val="28"/>
          <w:szCs w:val="28"/>
        </w:rPr>
      </w:pPr>
      <w:r>
        <w:fldChar w:fldCharType="begin"/>
      </w:r>
      <w:r>
        <w:instrText xml:space="preserve"> HYPERLINK \l "_Toc108021874" </w:instrText>
      </w:r>
      <w:r>
        <w:fldChar w:fldCharType="separate"/>
      </w:r>
      <w:r>
        <w:rPr>
          <w:rStyle w:val="24"/>
          <w:rFonts w:hint="eastAsia" w:eastAsia="黑体"/>
          <w:sz w:val="28"/>
          <w:szCs w:val="28"/>
        </w:rPr>
        <w:t>第三章合同条款及格式</w:t>
      </w:r>
      <w:r>
        <w:rPr>
          <w:sz w:val="28"/>
          <w:szCs w:val="28"/>
        </w:rPr>
        <w:tab/>
      </w:r>
      <w:r>
        <w:rPr>
          <w:sz w:val="28"/>
          <w:szCs w:val="28"/>
        </w:rPr>
        <w:fldChar w:fldCharType="begin"/>
      </w:r>
      <w:r>
        <w:rPr>
          <w:sz w:val="28"/>
          <w:szCs w:val="28"/>
        </w:rPr>
        <w:instrText xml:space="preserve"> PAGEREF _Toc108021874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20"/>
        <w:tabs>
          <w:tab w:val="right" w:leader="middleDot" w:pos="8720"/>
        </w:tabs>
        <w:rPr>
          <w:sz w:val="28"/>
          <w:szCs w:val="28"/>
        </w:rPr>
      </w:pPr>
      <w:r>
        <w:fldChar w:fldCharType="begin"/>
      </w:r>
      <w:r>
        <w:instrText xml:space="preserve"> HYPERLINK \l "_Toc108021875" </w:instrText>
      </w:r>
      <w:r>
        <w:fldChar w:fldCharType="separate"/>
      </w:r>
      <w:r>
        <w:rPr>
          <w:rStyle w:val="24"/>
          <w:rFonts w:hint="eastAsia" w:eastAsia="黑体"/>
          <w:sz w:val="28"/>
          <w:szCs w:val="28"/>
        </w:rPr>
        <w:t>第四章项目需求</w:t>
      </w:r>
      <w:r>
        <w:rPr>
          <w:sz w:val="28"/>
          <w:szCs w:val="28"/>
        </w:rPr>
        <w:tab/>
      </w:r>
      <w:r>
        <w:rPr>
          <w:rFonts w:hint="eastAsia"/>
          <w:sz w:val="28"/>
          <w:szCs w:val="28"/>
        </w:rPr>
        <w:t>26</w:t>
      </w:r>
      <w:r>
        <w:rPr>
          <w:rFonts w:hint="eastAsia"/>
          <w:sz w:val="28"/>
          <w:szCs w:val="28"/>
        </w:rPr>
        <w:fldChar w:fldCharType="end"/>
      </w:r>
    </w:p>
    <w:p>
      <w:pPr>
        <w:pStyle w:val="20"/>
        <w:tabs>
          <w:tab w:val="right" w:leader="middleDot" w:pos="8720"/>
        </w:tabs>
        <w:rPr>
          <w:sz w:val="28"/>
          <w:szCs w:val="28"/>
        </w:rPr>
      </w:pPr>
      <w:r>
        <w:fldChar w:fldCharType="begin"/>
      </w:r>
      <w:r>
        <w:instrText xml:space="preserve"> HYPERLINK \l "_Toc108021876" </w:instrText>
      </w:r>
      <w:r>
        <w:fldChar w:fldCharType="separate"/>
      </w:r>
      <w:r>
        <w:rPr>
          <w:rStyle w:val="24"/>
          <w:rFonts w:hint="eastAsia" w:eastAsia="黑体"/>
          <w:sz w:val="28"/>
          <w:szCs w:val="28"/>
        </w:rPr>
        <w:t>第五章定标原则与评标标准</w:t>
      </w:r>
      <w:r>
        <w:rPr>
          <w:sz w:val="28"/>
          <w:szCs w:val="28"/>
        </w:rPr>
        <w:tab/>
      </w:r>
      <w:r>
        <w:rPr>
          <w:sz w:val="28"/>
          <w:szCs w:val="28"/>
        </w:rPr>
        <w:fldChar w:fldCharType="begin"/>
      </w:r>
      <w:r>
        <w:rPr>
          <w:sz w:val="28"/>
          <w:szCs w:val="28"/>
        </w:rPr>
        <w:instrText xml:space="preserve"> PAGEREF _Toc108021876 \h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20"/>
        <w:tabs>
          <w:tab w:val="right" w:leader="middleDot" w:pos="8720"/>
        </w:tabs>
        <w:rPr>
          <w:sz w:val="28"/>
          <w:szCs w:val="28"/>
        </w:rPr>
      </w:pPr>
      <w:r>
        <w:fldChar w:fldCharType="begin"/>
      </w:r>
      <w:r>
        <w:instrText xml:space="preserve"> HYPERLINK \l "_Toc108021877" </w:instrText>
      </w:r>
      <w:r>
        <w:fldChar w:fldCharType="separate"/>
      </w:r>
      <w:r>
        <w:rPr>
          <w:rStyle w:val="24"/>
          <w:rFonts w:hint="eastAsia" w:eastAsia="黑体"/>
          <w:sz w:val="28"/>
          <w:szCs w:val="28"/>
        </w:rPr>
        <w:t>第六章投标文件的组成和格式</w:t>
      </w:r>
      <w:r>
        <w:rPr>
          <w:sz w:val="28"/>
          <w:szCs w:val="28"/>
        </w:rPr>
        <w:tab/>
      </w:r>
      <w:r>
        <w:rPr>
          <w:sz w:val="28"/>
          <w:szCs w:val="28"/>
        </w:rPr>
        <w:fldChar w:fldCharType="begin"/>
      </w:r>
      <w:r>
        <w:rPr>
          <w:sz w:val="28"/>
          <w:szCs w:val="28"/>
        </w:rPr>
        <w:instrText xml:space="preserve"> PAGEREF _Toc108021877 \h </w:instrText>
      </w:r>
      <w:r>
        <w:rPr>
          <w:sz w:val="28"/>
          <w:szCs w:val="28"/>
        </w:rPr>
        <w:fldChar w:fldCharType="separate"/>
      </w:r>
      <w:r>
        <w:rPr>
          <w:sz w:val="28"/>
          <w:szCs w:val="28"/>
        </w:rPr>
        <w:t>50</w:t>
      </w:r>
      <w:r>
        <w:rPr>
          <w:sz w:val="28"/>
          <w:szCs w:val="28"/>
        </w:rPr>
        <w:fldChar w:fldCharType="end"/>
      </w:r>
      <w:r>
        <w:rPr>
          <w:sz w:val="28"/>
          <w:szCs w:val="28"/>
        </w:rPr>
        <w:fldChar w:fldCharType="end"/>
      </w:r>
    </w:p>
    <w:p>
      <w:pPr>
        <w:pStyle w:val="27"/>
      </w:pPr>
      <w:r>
        <w:rPr>
          <w:sz w:val="28"/>
          <w:szCs w:val="28"/>
        </w:rPr>
        <w:fldChar w:fldCharType="end"/>
      </w:r>
    </w:p>
    <w:p>
      <w:pPr>
        <w:widowControl/>
        <w:jc w:val="left"/>
        <w:rPr>
          <w:color w:val="000000"/>
          <w:kern w:val="0"/>
          <w:sz w:val="24"/>
          <w:szCs w:val="24"/>
        </w:rPr>
      </w:pPr>
      <w:r>
        <w:br w:type="page"/>
      </w:r>
    </w:p>
    <w:p>
      <w:pPr>
        <w:widowControl/>
        <w:jc w:val="center"/>
        <w:rPr>
          <w:b/>
          <w:bCs/>
          <w:color w:val="000000" w:themeColor="text1"/>
          <w:sz w:val="40"/>
          <w:szCs w:val="40"/>
          <w14:textFill>
            <w14:solidFill>
              <w14:schemeClr w14:val="tx1"/>
            </w14:solidFill>
          </w14:textFill>
        </w:rPr>
      </w:pPr>
      <w:bookmarkStart w:id="1" w:name="_Toc108021865"/>
      <w:r>
        <w:rPr>
          <w:rFonts w:eastAsia="黑体"/>
          <w:color w:val="000000" w:themeColor="text1"/>
          <w:sz w:val="40"/>
          <w:szCs w:val="40"/>
          <w14:textFill>
            <w14:solidFill>
              <w14:schemeClr w14:val="tx1"/>
            </w14:solidFill>
          </w14:textFill>
        </w:rPr>
        <w:t xml:space="preserve">第一章 </w:t>
      </w:r>
      <w:r>
        <w:rPr>
          <w:rFonts w:hint="eastAsia" w:eastAsia="黑体"/>
          <w:color w:val="000000" w:themeColor="text1"/>
          <w:sz w:val="40"/>
          <w:szCs w:val="40"/>
          <w14:textFill>
            <w14:solidFill>
              <w14:schemeClr w14:val="tx1"/>
            </w14:solidFill>
          </w14:textFill>
        </w:rPr>
        <w:t>招标</w:t>
      </w:r>
      <w:r>
        <w:rPr>
          <w:rFonts w:eastAsia="黑体"/>
          <w:color w:val="000000" w:themeColor="text1"/>
          <w:sz w:val="40"/>
          <w:szCs w:val="40"/>
          <w14:textFill>
            <w14:solidFill>
              <w14:schemeClr w14:val="tx1"/>
            </w14:solidFill>
          </w14:textFill>
        </w:rPr>
        <w:t>公告</w:t>
      </w:r>
      <w:bookmarkEnd w:id="1"/>
    </w:p>
    <w:p>
      <w:pPr>
        <w:rPr>
          <w:color w:val="000000" w:themeColor="text1"/>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22" w:firstLineChars="200"/>
        <w:rPr>
          <w:b/>
          <w:color w:val="000000" w:themeColor="text1"/>
          <w:sz w:val="24"/>
          <w:szCs w:val="24"/>
          <w14:textFill>
            <w14:solidFill>
              <w14:schemeClr w14:val="tx1"/>
            </w14:solidFill>
          </w14:textFill>
        </w:rPr>
      </w:pPr>
      <w:r>
        <w:rPr>
          <w:b/>
          <w:color w:val="000000" w:themeColor="text1"/>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wordWrap w:val="0"/>
        <w:spacing w:line="360" w:lineRule="auto"/>
        <w:ind w:firstLine="420" w:firstLineChars="200"/>
        <w:rPr>
          <w:color w:val="000000" w:themeColor="text1"/>
          <w14:textFill>
            <w14:solidFill>
              <w14:schemeClr w14:val="tx1"/>
            </w14:solidFill>
          </w14:textFill>
        </w:rPr>
      </w:pPr>
      <w:r>
        <w:rPr>
          <w:color w:val="000000" w:themeColor="text1"/>
          <w:u w:val="single"/>
          <w14:textFill>
            <w14:solidFill>
              <w14:schemeClr w14:val="tx1"/>
            </w14:solidFill>
          </w14:textFill>
        </w:rPr>
        <w:t>盐城幼儿师范高等专科学校</w:t>
      </w:r>
      <w:r>
        <w:rPr>
          <w:rFonts w:hint="eastAsia"/>
          <w:color w:val="000000" w:themeColor="text1"/>
          <w:u w:val="single"/>
          <w14:textFill>
            <w14:solidFill>
              <w14:schemeClr w14:val="tx1"/>
            </w14:solidFill>
          </w14:textFill>
        </w:rPr>
        <w:t>艺术训练中心教学设备采购项目</w:t>
      </w:r>
      <w:r>
        <w:rPr>
          <w:color w:val="000000" w:themeColor="text1"/>
          <w14:textFill>
            <w14:solidFill>
              <w14:schemeClr w14:val="tx1"/>
            </w14:solidFill>
          </w14:textFill>
        </w:rPr>
        <w:t>的潜在供应商应</w:t>
      </w:r>
      <w:r>
        <w:rPr>
          <w:rFonts w:hint="eastAsia"/>
          <w:color w:val="000000" w:themeColor="text1"/>
          <w14:textFill>
            <w14:solidFill>
              <w14:schemeClr w14:val="tx1"/>
            </w14:solidFill>
          </w14:textFill>
        </w:rPr>
        <w:t>在</w:t>
      </w:r>
      <w:r>
        <w:rPr>
          <w:color w:val="000000" w:themeColor="text1"/>
          <w:u w:val="single"/>
          <w14:textFill>
            <w14:solidFill>
              <w14:schemeClr w14:val="tx1"/>
            </w14:solidFill>
          </w14:textFill>
        </w:rPr>
        <w:t>江苏政府采购网http://www.ccgp-jiangsu.gov.cn/、盐城市政府采购网http://czj.yancheng.gov.cn/col/col2383/index.html、盐城幼儿师范高等专科学校网站www.yyz.edu.cn</w:t>
      </w:r>
      <w:r>
        <w:rPr>
          <w:color w:val="000000" w:themeColor="text1"/>
          <w14:textFill>
            <w14:solidFill>
              <w14:schemeClr w14:val="tx1"/>
            </w14:solidFill>
          </w14:textFill>
        </w:rPr>
        <w:t>获取采购文件，并于</w:t>
      </w:r>
      <w:r>
        <w:rPr>
          <w:rFonts w:hint="eastAsia"/>
          <w:color w:val="000000" w:themeColor="text1"/>
          <w:u w:val="single"/>
          <w14:textFill>
            <w14:solidFill>
              <w14:schemeClr w14:val="tx1"/>
            </w14:solidFill>
          </w14:textFill>
        </w:rPr>
        <w:t>2022年11</w:t>
      </w:r>
      <w:r>
        <w:rPr>
          <w:color w:val="000000" w:themeColor="text1"/>
          <w:u w:val="single"/>
          <w14:textFill>
            <w14:solidFill>
              <w14:schemeClr w14:val="tx1"/>
            </w14:solidFill>
          </w14:textFill>
        </w:rPr>
        <w:t>月</w:t>
      </w:r>
      <w:r>
        <w:rPr>
          <w:rFonts w:hint="eastAsia"/>
          <w:color w:val="000000" w:themeColor="text1"/>
          <w:u w:val="single"/>
          <w14:textFill>
            <w14:solidFill>
              <w14:schemeClr w14:val="tx1"/>
            </w14:solidFill>
          </w14:textFill>
        </w:rPr>
        <w:t>23</w:t>
      </w:r>
      <w:r>
        <w:rPr>
          <w:color w:val="000000" w:themeColor="text1"/>
          <w:u w:val="single"/>
          <w14:textFill>
            <w14:solidFill>
              <w14:schemeClr w14:val="tx1"/>
            </w14:solidFill>
          </w14:textFill>
        </w:rPr>
        <w:t>日</w:t>
      </w:r>
      <w:r>
        <w:rPr>
          <w:rFonts w:hint="eastAsia"/>
          <w:color w:val="000000" w:themeColor="text1"/>
          <w:u w:val="single"/>
          <w14:textFill>
            <w14:solidFill>
              <w14:schemeClr w14:val="tx1"/>
            </w14:solidFill>
          </w14:textFill>
        </w:rPr>
        <w:t>15</w:t>
      </w:r>
      <w:r>
        <w:rPr>
          <w:color w:val="000000" w:themeColor="text1"/>
          <w:u w:val="single"/>
          <w14:textFill>
            <w14:solidFill>
              <w14:schemeClr w14:val="tx1"/>
            </w14:solidFill>
          </w14:textFill>
        </w:rPr>
        <w:t>点</w:t>
      </w:r>
      <w:r>
        <w:rPr>
          <w:rFonts w:hint="eastAsia"/>
          <w:color w:val="000000" w:themeColor="text1"/>
          <w:u w:val="single"/>
          <w14:textFill>
            <w14:solidFill>
              <w14:schemeClr w14:val="tx1"/>
            </w14:solidFill>
          </w14:textFill>
        </w:rPr>
        <w:t xml:space="preserve">00 </w:t>
      </w:r>
      <w:r>
        <w:rPr>
          <w:color w:val="000000" w:themeColor="text1"/>
          <w:u w:val="single"/>
          <w14:textFill>
            <w14:solidFill>
              <w14:schemeClr w14:val="tx1"/>
            </w14:solidFill>
          </w14:textFill>
        </w:rPr>
        <w:t>分</w:t>
      </w:r>
      <w:r>
        <w:rPr>
          <w:color w:val="000000" w:themeColor="text1"/>
          <w14:textFill>
            <w14:solidFill>
              <w14:schemeClr w14:val="tx1"/>
            </w14:solidFill>
          </w14:textFill>
        </w:rPr>
        <w:t>（北京时间）前提交投标文件。</w:t>
      </w:r>
    </w:p>
    <w:p>
      <w:pPr>
        <w:spacing w:line="440" w:lineRule="exact"/>
        <w:ind w:firstLine="482" w:firstLineChars="2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一、项目基本情况</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1、项目编号：YCYZ2022HW005</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2、项目名称：盐城幼儿师范高等专科学校艺术训练中心教学设备采购项目</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3、采购方式：公开招标</w:t>
      </w:r>
    </w:p>
    <w:p>
      <w:pPr>
        <w:spacing w:line="360" w:lineRule="auto"/>
        <w:ind w:firstLine="480" w:firstLineChars="200"/>
        <w:rPr>
          <w:sz w:val="24"/>
          <w:szCs w:val="24"/>
        </w:rPr>
      </w:pPr>
      <w:r>
        <w:rPr>
          <w:rFonts w:hint="eastAsia"/>
          <w:sz w:val="24"/>
          <w:szCs w:val="24"/>
        </w:rPr>
        <w:t>4、预算金额：298万元，其中一标段：182.5万元，二标段：90万元，三标段： 25.5万元。</w:t>
      </w:r>
    </w:p>
    <w:p>
      <w:pPr>
        <w:spacing w:line="360" w:lineRule="auto"/>
        <w:ind w:firstLine="480" w:firstLineChars="200"/>
        <w:rPr>
          <w:sz w:val="24"/>
          <w:szCs w:val="24"/>
        </w:rPr>
      </w:pPr>
      <w:r>
        <w:rPr>
          <w:rFonts w:hint="eastAsia"/>
          <w:sz w:val="24"/>
          <w:szCs w:val="24"/>
        </w:rPr>
        <w:t>一标段：钢琴采购，最高限价：182.5万元</w:t>
      </w:r>
    </w:p>
    <w:p>
      <w:pPr>
        <w:spacing w:line="360" w:lineRule="auto"/>
        <w:ind w:firstLine="480" w:firstLineChars="200"/>
        <w:rPr>
          <w:sz w:val="24"/>
          <w:szCs w:val="24"/>
        </w:rPr>
      </w:pPr>
      <w:r>
        <w:rPr>
          <w:rFonts w:hint="eastAsia"/>
          <w:sz w:val="24"/>
          <w:szCs w:val="24"/>
        </w:rPr>
        <w:t>二标段：电教设备采购，最高限价：90万元。</w:t>
      </w:r>
    </w:p>
    <w:p>
      <w:pPr>
        <w:spacing w:line="360" w:lineRule="auto"/>
        <w:ind w:firstLine="480" w:firstLineChars="200"/>
        <w:rPr>
          <w:color w:val="0000FF"/>
          <w:sz w:val="24"/>
          <w:szCs w:val="24"/>
        </w:rPr>
      </w:pPr>
      <w:r>
        <w:rPr>
          <w:rFonts w:hint="eastAsia"/>
          <w:sz w:val="24"/>
          <w:szCs w:val="24"/>
        </w:rPr>
        <w:t>三标段：美术展厅设备采购，最高限价： 25.5万元。</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采购需求：</w:t>
      </w:r>
      <w:r>
        <w:rPr>
          <w:rFonts w:hint="eastAsia"/>
          <w:color w:val="000000" w:themeColor="text1"/>
          <w:sz w:val="24"/>
          <w:szCs w:val="24"/>
          <w14:textFill>
            <w14:solidFill>
              <w14:schemeClr w14:val="tx1"/>
            </w14:solidFill>
          </w14:textFill>
        </w:rPr>
        <w:t>采购琴房钢琴、舞蹈房、音乐教室合班教室、指挥教学实训室、化妆间、一楼画展展厅设备，详见招标文件第四章项目需求。</w:t>
      </w:r>
    </w:p>
    <w:p>
      <w:pPr>
        <w:pStyle w:val="14"/>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合</w:t>
      </w:r>
      <w:r>
        <w:rPr>
          <w:rFonts w:hint="eastAsia" w:ascii="Times New Roman" w:hAnsi="Times New Roman" w:cs="Times New Roman"/>
          <w:color w:val="000000" w:themeColor="text1"/>
          <w:sz w:val="24"/>
          <w:szCs w:val="24"/>
          <w14:textFill>
            <w14:solidFill>
              <w14:schemeClr w14:val="tx1"/>
            </w14:solidFill>
          </w14:textFill>
        </w:rPr>
        <w:t>同履行期限：合同签订后30个工作日内送至盐城幼儿师范高等专科学校指定地点，并安装、调试到位。</w:t>
      </w:r>
    </w:p>
    <w:p>
      <w:pPr>
        <w:pStyle w:val="14"/>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本项目不接受联合体参与投标。</w:t>
      </w:r>
    </w:p>
    <w:p>
      <w:pPr>
        <w:spacing w:line="360" w:lineRule="auto"/>
        <w:ind w:firstLine="480" w:firstLineChars="200"/>
        <w:rPr>
          <w:rFonts w:ascii="宋体" w:hAnsi="宋体" w:cs="宋体"/>
          <w:sz w:val="24"/>
        </w:rPr>
      </w:pPr>
      <w:r>
        <w:rPr>
          <w:rFonts w:hint="eastAsia" w:ascii="宋体" w:hAnsi="宋体" w:cs="宋体"/>
          <w:sz w:val="24"/>
        </w:rPr>
        <w:t>8、本项目投标人可参与三个标段的投标，兼投兼中，开标、评标、定标顺序一标段→二标段→三标段。</w:t>
      </w:r>
    </w:p>
    <w:p>
      <w:pPr>
        <w:spacing w:line="440" w:lineRule="exact"/>
        <w:ind w:firstLine="482" w:firstLineChars="2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二、申请人的资格要求：</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1.满足《中华人民共和国政府采购法》第二十二条规定，并提供下列材料；</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（1）法人或者其他组织的营业执照等证明文件，自然人的身份证明；</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（2）上一年度的财务报表（成立不满一年不需提供）；</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（3）依法缴纳税收和社会保障资金的相关材料；</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（4）具备履行合同所必需的设备和专业技术能力的书面声明；</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（5）参加政府采购活动前3年内在经营活动中没有重大违法记录的书面声明；</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2.落实政府采购政策需满足的资格要求：</w:t>
      </w:r>
      <w:r>
        <w:rPr>
          <w:color w:val="000000" w:themeColor="text1"/>
          <w:sz w:val="24"/>
          <w:szCs w:val="24"/>
          <w:u w:val="single"/>
          <w14:textFill>
            <w14:solidFill>
              <w14:schemeClr w14:val="tx1"/>
            </w14:solidFill>
          </w14:textFill>
        </w:rPr>
        <w:t>无</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3.本项目的特定资格要求：</w:t>
      </w:r>
    </w:p>
    <w:p>
      <w:pPr>
        <w:pStyle w:val="9"/>
        <w:spacing w:line="520" w:lineRule="exact"/>
        <w:ind w:firstLine="480"/>
        <w:rPr>
          <w:rFonts w:asciiTheme="minorEastAsia" w:hAnsiTheme="minorEastAsia" w:eastAsiaTheme="minorEastAsia"/>
          <w:sz w:val="24"/>
          <w:szCs w:val="24"/>
        </w:rPr>
      </w:pPr>
      <w:bookmarkStart w:id="2" w:name="_Toc108021866"/>
      <w:bookmarkStart w:id="3" w:name="_Toc35393800"/>
      <w:bookmarkStart w:id="4" w:name="_Toc28359092"/>
      <w:r>
        <w:rPr>
          <w:rFonts w:hint="eastAsia" w:asciiTheme="minorEastAsia" w:hAnsiTheme="minorEastAsia" w:eastAsiaTheme="minorEastAsia"/>
          <w:sz w:val="24"/>
          <w:szCs w:val="24"/>
        </w:rPr>
        <w:t>（1）未被“信用中国”网站（www.creditchina.gov.cn）列入失信被执行人、重大税收违法案件当事人名单、政府采购严重失信行为记录名单。</w:t>
      </w:r>
    </w:p>
    <w:p>
      <w:pPr>
        <w:spacing w:line="44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（2）单位负责人为同一人或者存在直接控股、管理关系的不同供应商，不得参加同一合同项下的政府采购活动。</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三、获取招标文件</w:t>
      </w:r>
      <w:bookmarkEnd w:id="2"/>
      <w:bookmarkEnd w:id="3"/>
      <w:bookmarkEnd w:id="4"/>
    </w:p>
    <w:p>
      <w:pPr>
        <w:tabs>
          <w:tab w:val="left" w:pos="900"/>
        </w:tabs>
        <w:spacing w:line="440" w:lineRule="exact"/>
        <w:ind w:firstLine="480" w:firstLineChars="200"/>
        <w:rPr>
          <w:color w:val="000000"/>
          <w:sz w:val="24"/>
          <w:szCs w:val="24"/>
        </w:rPr>
      </w:pPr>
      <w:bookmarkStart w:id="5" w:name="_Toc108021867"/>
      <w:r>
        <w:rPr>
          <w:rFonts w:hint="eastAsia"/>
          <w:color w:val="000000"/>
          <w:sz w:val="24"/>
          <w:szCs w:val="24"/>
        </w:rPr>
        <w:t>招标文件获取：招标文件在江苏政府采购网http://www.ccgp-jiangsu.gov.cn/、盐城市政府采购网http://czj.yancheng.gov.cn/col/col2383/index.html 、盐城幼儿师范高等专科学校网站www.yyz.edu.cn下载。有关本次招标的事项若存在变动或修改，敬请及时关注江苏政府采购网http://www.ccgp-jiangsu.gov.cn/、盐城市政府采购网http://czj.yancheng.gov.cn/col/col2383/index.html 、盐城幼儿师范高等专科学校网站www.yyz.edu.cn发布的信息更正公告。</w:t>
      </w:r>
    </w:p>
    <w:p>
      <w:pPr>
        <w:tabs>
          <w:tab w:val="left" w:pos="900"/>
        </w:tabs>
        <w:spacing w:line="440" w:lineRule="exact"/>
        <w:ind w:firstLine="480" w:firstLineChars="200"/>
        <w:rPr>
          <w:color w:val="000000"/>
          <w:sz w:val="24"/>
          <w:szCs w:val="24"/>
        </w:rPr>
      </w:pPr>
      <w:r>
        <w:rPr>
          <w:rFonts w:hint="eastAsia"/>
          <w:color w:val="000000"/>
          <w:sz w:val="24"/>
          <w:szCs w:val="24"/>
        </w:rPr>
        <w:t>售价：投标人递交投标文件时，须交纳文件工本费：一标段</w:t>
      </w:r>
      <w:r>
        <w:rPr>
          <w:color w:val="000000"/>
          <w:sz w:val="24"/>
          <w:szCs w:val="24"/>
        </w:rPr>
        <w:t>5</w:t>
      </w:r>
      <w:r>
        <w:rPr>
          <w:rFonts w:hint="eastAsia"/>
          <w:color w:val="000000"/>
          <w:sz w:val="24"/>
          <w:szCs w:val="24"/>
        </w:rPr>
        <w:t>00元、二标段</w:t>
      </w:r>
      <w:r>
        <w:rPr>
          <w:color w:val="000000"/>
          <w:sz w:val="24"/>
          <w:szCs w:val="24"/>
        </w:rPr>
        <w:t>5</w:t>
      </w:r>
      <w:r>
        <w:rPr>
          <w:rFonts w:hint="eastAsia"/>
          <w:color w:val="000000"/>
          <w:sz w:val="24"/>
          <w:szCs w:val="24"/>
        </w:rPr>
        <w:t>00元，三标段3</w:t>
      </w:r>
      <w:r>
        <w:rPr>
          <w:color w:val="000000"/>
          <w:sz w:val="24"/>
          <w:szCs w:val="24"/>
        </w:rPr>
        <w:t>00</w:t>
      </w:r>
      <w:r>
        <w:rPr>
          <w:rFonts w:hint="eastAsia"/>
          <w:color w:val="000000"/>
          <w:sz w:val="24"/>
          <w:szCs w:val="24"/>
        </w:rPr>
        <w:t>元。</w:t>
      </w:r>
    </w:p>
    <w:p>
      <w:pPr>
        <w:tabs>
          <w:tab w:val="left" w:pos="900"/>
        </w:tabs>
        <w:spacing w:line="440" w:lineRule="exact"/>
        <w:ind w:firstLine="480" w:firstLineChars="200"/>
        <w:rPr>
          <w:color w:val="000000"/>
          <w:sz w:val="24"/>
          <w:szCs w:val="24"/>
        </w:rPr>
      </w:pPr>
      <w:r>
        <w:rPr>
          <w:rFonts w:hint="eastAsia"/>
          <w:color w:val="000000"/>
          <w:sz w:val="24"/>
          <w:szCs w:val="24"/>
        </w:rPr>
        <w:t>文件工本费的收取方式：开标时现场现金缴纳，由代理公司收取，投标人无论中标与否，文件工本费不退。</w:t>
      </w:r>
    </w:p>
    <w:p>
      <w:pPr>
        <w:tabs>
          <w:tab w:val="left" w:pos="900"/>
        </w:tabs>
        <w:spacing w:line="440" w:lineRule="exact"/>
        <w:ind w:firstLine="480" w:firstLineChars="200"/>
        <w:rPr>
          <w:color w:val="000000"/>
          <w:sz w:val="24"/>
          <w:szCs w:val="24"/>
        </w:rPr>
      </w:pPr>
      <w:r>
        <w:rPr>
          <w:rFonts w:hint="eastAsia"/>
          <w:color w:val="000000"/>
          <w:sz w:val="24"/>
          <w:szCs w:val="24"/>
        </w:rPr>
        <w:t>投标人通过其他渠道获取的与本项目招标相关的资料，招标人一律不予承认且不承担由此引发的一切责任。</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四、</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投标</w:t>
      </w:r>
      <w:r>
        <w:rPr>
          <w:rFonts w:ascii="Times New Roman" w:hAnsi="Times New Roman" w:eastAsia="宋体" w:cs="Times New Roman"/>
          <w:color w:val="000000" w:themeColor="text1"/>
          <w:sz w:val="24"/>
          <w:szCs w:val="24"/>
          <w:shd w:val="clear" w:color="auto" w:fill="FFFFFF"/>
          <w14:textFill>
            <w14:solidFill>
              <w14:schemeClr w14:val="tx1"/>
            </w14:solidFill>
          </w14:textFill>
        </w:rPr>
        <w:t>文件提交</w:t>
      </w:r>
      <w:bookmarkEnd w:id="5"/>
    </w:p>
    <w:p>
      <w:pPr>
        <w:tabs>
          <w:tab w:val="left" w:pos="900"/>
        </w:tabs>
        <w:spacing w:line="440" w:lineRule="exact"/>
        <w:ind w:firstLine="480" w:firstLineChars="200"/>
        <w:rPr>
          <w:color w:val="000000"/>
          <w:sz w:val="24"/>
          <w:szCs w:val="24"/>
        </w:rPr>
      </w:pPr>
      <w:bookmarkStart w:id="6" w:name="_Toc105320190"/>
      <w:r>
        <w:rPr>
          <w:rFonts w:hint="eastAsia"/>
          <w:color w:val="000000"/>
          <w:sz w:val="24"/>
          <w:szCs w:val="24"/>
        </w:rPr>
        <w:t>投标文件接收时间：2022年11月23日14: 30-15: 00 时</w:t>
      </w:r>
      <w:bookmarkEnd w:id="6"/>
    </w:p>
    <w:p>
      <w:pPr>
        <w:tabs>
          <w:tab w:val="left" w:pos="900"/>
        </w:tabs>
        <w:spacing w:line="440" w:lineRule="exact"/>
        <w:ind w:firstLine="480" w:firstLineChars="200"/>
        <w:rPr>
          <w:color w:val="000000"/>
          <w:sz w:val="24"/>
          <w:szCs w:val="24"/>
        </w:rPr>
      </w:pPr>
      <w:r>
        <w:rPr>
          <w:rFonts w:hint="eastAsia"/>
          <w:color w:val="000000"/>
          <w:sz w:val="24"/>
          <w:szCs w:val="24"/>
        </w:rPr>
        <w:t>投标文件接收截止时间：2022年11月23日15:00时</w:t>
      </w:r>
    </w:p>
    <w:p>
      <w:pPr>
        <w:spacing w:line="360" w:lineRule="auto"/>
        <w:ind w:firstLine="480" w:firstLineChars="200"/>
        <w:rPr>
          <w:rFonts w:ascii="宋体" w:hAnsi="宋体" w:cs="宋体"/>
          <w:sz w:val="24"/>
        </w:rPr>
      </w:pPr>
      <w:r>
        <w:rPr>
          <w:rFonts w:hint="eastAsia"/>
          <w:color w:val="000000"/>
          <w:sz w:val="24"/>
          <w:szCs w:val="24"/>
        </w:rPr>
        <w:t>投标文件接收地点：</w:t>
      </w:r>
      <w:r>
        <w:rPr>
          <w:rFonts w:hint="eastAsia" w:ascii="宋体" w:hAnsi="宋体" w:cs="宋体"/>
          <w:sz w:val="24"/>
        </w:rPr>
        <w:t>江苏宏天工程管理有限公司会议室（盐城市鹿鸣路988号金航财富大厦17楼）。</w:t>
      </w:r>
    </w:p>
    <w:p>
      <w:pPr>
        <w:widowControl/>
        <w:shd w:val="clear" w:color="auto" w:fill="FFFFFF"/>
        <w:spacing w:line="440" w:lineRule="exact"/>
        <w:ind w:firstLine="482" w:firstLineChars="200"/>
        <w:rPr>
          <w:b/>
          <w:color w:val="000000"/>
          <w:sz w:val="24"/>
          <w:szCs w:val="24"/>
        </w:rPr>
      </w:pPr>
      <w:bookmarkStart w:id="7" w:name="_Toc108021869"/>
      <w:r>
        <w:rPr>
          <w:rFonts w:hint="eastAsia"/>
          <w:b/>
          <w:color w:val="000000"/>
          <w:sz w:val="24"/>
          <w:szCs w:val="24"/>
        </w:rPr>
        <w:t>五、开标有关信息</w:t>
      </w:r>
    </w:p>
    <w:p>
      <w:pPr>
        <w:spacing w:line="440" w:lineRule="exact"/>
        <w:ind w:firstLine="480" w:firstLineChars="200"/>
        <w:rPr>
          <w:color w:val="000000"/>
          <w:kern w:val="0"/>
          <w:sz w:val="24"/>
          <w:szCs w:val="24"/>
        </w:rPr>
      </w:pPr>
      <w:r>
        <w:rPr>
          <w:rFonts w:hint="eastAsia"/>
          <w:color w:val="000000"/>
          <w:kern w:val="0"/>
          <w:sz w:val="24"/>
          <w:szCs w:val="24"/>
        </w:rPr>
        <w:t>开标时间：</w:t>
      </w:r>
      <w:r>
        <w:rPr>
          <w:rFonts w:hint="eastAsia"/>
          <w:color w:val="000000"/>
          <w:sz w:val="24"/>
          <w:szCs w:val="24"/>
        </w:rPr>
        <w:t>2022年11月23日</w:t>
      </w:r>
      <w:r>
        <w:rPr>
          <w:rFonts w:hint="eastAsia"/>
          <w:color w:val="000000"/>
          <w:kern w:val="0"/>
          <w:sz w:val="24"/>
          <w:szCs w:val="24"/>
        </w:rPr>
        <w:t>15:00时</w:t>
      </w:r>
    </w:p>
    <w:p>
      <w:pPr>
        <w:spacing w:line="360" w:lineRule="auto"/>
        <w:ind w:firstLine="480" w:firstLineChars="200"/>
        <w:rPr>
          <w:rFonts w:ascii="宋体" w:hAnsi="宋体" w:cs="宋体"/>
          <w:sz w:val="24"/>
        </w:rPr>
      </w:pPr>
      <w:r>
        <w:rPr>
          <w:rFonts w:hint="eastAsia"/>
          <w:color w:val="000000"/>
          <w:sz w:val="24"/>
          <w:szCs w:val="24"/>
        </w:rPr>
        <w:t>开标地点：</w:t>
      </w:r>
      <w:r>
        <w:rPr>
          <w:rFonts w:hint="eastAsia" w:ascii="宋体" w:hAnsi="宋体" w:cs="宋体"/>
          <w:sz w:val="24"/>
        </w:rPr>
        <w:t>江苏宏天工程管理有限公司会议室（盐城市鹿鸣路988号金航财富大厦17楼）。</w:t>
      </w:r>
    </w:p>
    <w:p>
      <w:pPr>
        <w:pStyle w:val="4"/>
        <w:keepNext w:val="0"/>
        <w:keepLines w:val="0"/>
        <w:spacing w:before="0" w:after="0" w:line="440" w:lineRule="exact"/>
        <w:ind w:firstLine="482" w:firstLineChars="200"/>
        <w:jc w:val="both"/>
        <w:rPr>
          <w:rFonts w:ascii="Times New Roman" w:hAnsi="Times New Roman" w:eastAsia="宋体" w:cs="Times New Roman"/>
          <w:bCs w:val="0"/>
          <w:color w:val="000000"/>
          <w:sz w:val="24"/>
          <w:szCs w:val="24"/>
        </w:rPr>
      </w:pPr>
      <w:r>
        <w:rPr>
          <w:rFonts w:ascii="Times New Roman" w:hAnsi="Times New Roman" w:eastAsia="宋体" w:cs="Times New Roman"/>
          <w:bCs w:val="0"/>
          <w:color w:val="000000"/>
          <w:sz w:val="24"/>
          <w:szCs w:val="24"/>
        </w:rPr>
        <w:t>六、公告期限</w:t>
      </w:r>
      <w:bookmarkEnd w:id="7"/>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自本公告发布之日起</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个工作日。</w:t>
      </w:r>
    </w:p>
    <w:p>
      <w:pPr>
        <w:widowControl/>
        <w:shd w:val="clear" w:color="auto" w:fill="FFFFFF"/>
        <w:spacing w:line="440" w:lineRule="exact"/>
        <w:ind w:firstLine="480" w:firstLineChars="200"/>
        <w:rPr>
          <w:b/>
          <w:color w:val="000000"/>
          <w:sz w:val="24"/>
          <w:szCs w:val="24"/>
        </w:rPr>
      </w:pPr>
      <w:bookmarkStart w:id="8" w:name="_Toc108021870"/>
      <w:r>
        <w:rPr>
          <w:rFonts w:hint="eastAsia"/>
          <w:color w:val="000000" w:themeColor="text1"/>
          <w:sz w:val="24"/>
          <w:szCs w:val="24"/>
          <w:shd w:val="clear" w:color="auto" w:fill="FFFFFF"/>
          <w14:textFill>
            <w14:solidFill>
              <w14:schemeClr w14:val="tx1"/>
            </w14:solidFill>
          </w14:textFill>
        </w:rPr>
        <w:t>七</w:t>
      </w:r>
      <w:r>
        <w:rPr>
          <w:color w:val="000000" w:themeColor="text1"/>
          <w:sz w:val="24"/>
          <w:szCs w:val="24"/>
          <w:shd w:val="clear" w:color="auto" w:fill="FFFFFF"/>
          <w14:textFill>
            <w14:solidFill>
              <w14:schemeClr w14:val="tx1"/>
            </w14:solidFill>
          </w14:textFill>
        </w:rPr>
        <w:t>、</w:t>
      </w:r>
      <w:bookmarkEnd w:id="8"/>
      <w:r>
        <w:rPr>
          <w:rFonts w:hint="eastAsia"/>
          <w:b/>
          <w:color w:val="000000"/>
          <w:sz w:val="24"/>
          <w:szCs w:val="24"/>
        </w:rPr>
        <w:t>投标文件制作份数要求</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w:t>
      </w:r>
      <w:r>
        <w:rPr>
          <w:color w:val="000000" w:themeColor="text1"/>
          <w:sz w:val="24"/>
          <w:szCs w:val="24"/>
          <w14:textFill>
            <w14:solidFill>
              <w14:schemeClr w14:val="tx1"/>
            </w14:solidFill>
          </w14:textFill>
        </w:rPr>
        <w:t>文件正本1份，</w:t>
      </w:r>
      <w:r>
        <w:rPr>
          <w:rFonts w:hint="eastAsia"/>
          <w:color w:val="000000" w:themeColor="text1"/>
          <w:sz w:val="24"/>
          <w:szCs w:val="24"/>
          <w14:textFill>
            <w14:solidFill>
              <w14:schemeClr w14:val="tx1"/>
            </w14:solidFill>
          </w14:textFill>
        </w:rPr>
        <w:t>副本份数：4份</w:t>
      </w:r>
      <w:r>
        <w:rPr>
          <w:color w:val="000000" w:themeColor="text1"/>
          <w:sz w:val="24"/>
          <w:szCs w:val="24"/>
          <w14:textFill>
            <w14:solidFill>
              <w14:schemeClr w14:val="tx1"/>
            </w14:solidFill>
          </w14:textFill>
        </w:rPr>
        <w:t>。</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14:textFill>
            <w14:solidFill>
              <w14:schemeClr w14:val="tx1"/>
            </w14:solidFill>
          </w14:textFill>
        </w:rPr>
      </w:pPr>
      <w:bookmarkStart w:id="9" w:name="_Toc108021871"/>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八</w:t>
      </w:r>
      <w:r>
        <w:rPr>
          <w:rFonts w:ascii="Times New Roman" w:hAnsi="Times New Roman" w:eastAsia="宋体" w:cs="Times New Roman"/>
          <w:color w:val="000000" w:themeColor="text1"/>
          <w:sz w:val="24"/>
          <w:szCs w:val="24"/>
          <w:shd w:val="clear" w:color="auto" w:fill="FFFFFF"/>
          <w14:textFill>
            <w14:solidFill>
              <w14:schemeClr w14:val="tx1"/>
            </w14:solidFill>
          </w14:textFill>
        </w:rPr>
        <w:t>、凡对本次采购提出询问，请按以下方式联系。</w:t>
      </w:r>
      <w:bookmarkEnd w:id="9"/>
    </w:p>
    <w:p>
      <w:pPr>
        <w:spacing w:line="440" w:lineRule="exact"/>
        <w:ind w:firstLine="480" w:firstLineChars="200"/>
        <w:rPr>
          <w:color w:val="000000"/>
          <w:sz w:val="24"/>
          <w:szCs w:val="24"/>
        </w:rPr>
      </w:pPr>
      <w:bookmarkStart w:id="10" w:name="_Toc35393637"/>
      <w:bookmarkStart w:id="11" w:name="_Toc35393806"/>
      <w:bookmarkStart w:id="12" w:name="_Toc28359096"/>
      <w:bookmarkStart w:id="13" w:name="_Toc28359019"/>
      <w:r>
        <w:rPr>
          <w:rFonts w:hint="eastAsia"/>
          <w:color w:val="000000"/>
          <w:sz w:val="24"/>
          <w:szCs w:val="24"/>
        </w:rPr>
        <w:t>1.使用部门联系人：</w:t>
      </w:r>
      <w:r>
        <w:rPr>
          <w:rFonts w:hint="eastAsia"/>
          <w:color w:val="000000"/>
          <w:sz w:val="24"/>
          <w:szCs w:val="24"/>
          <w:lang w:val="en-US" w:eastAsia="zh-CN"/>
        </w:rPr>
        <w:t>夏</w:t>
      </w:r>
      <w:r>
        <w:rPr>
          <w:rFonts w:hint="eastAsia"/>
          <w:color w:val="000000"/>
          <w:sz w:val="24"/>
          <w:szCs w:val="24"/>
        </w:rPr>
        <w:t>老师， 联系电话：13961996001。</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采购部门联系人：蒋老师  ，联系电话：0515-89966103。</w:t>
      </w:r>
      <w:bookmarkStart w:id="134" w:name="_GoBack"/>
      <w:bookmarkEnd w:id="134"/>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采购人地址：盐城市高职园区学海路28号，邮政编码：224005</w:t>
      </w:r>
    </w:p>
    <w:p>
      <w:pPr>
        <w:spacing w:line="440" w:lineRule="exact"/>
        <w:ind w:firstLine="480" w:firstLineChars="200"/>
        <w:rPr>
          <w:color w:val="000000"/>
          <w:sz w:val="24"/>
          <w:szCs w:val="24"/>
        </w:rPr>
      </w:pPr>
      <w:r>
        <w:rPr>
          <w:rFonts w:hint="eastAsia"/>
          <w:color w:val="000000"/>
          <w:sz w:val="24"/>
          <w:szCs w:val="24"/>
        </w:rPr>
        <w:t>2.招标代理服务机构：江苏宏天工程管理有限公司。</w:t>
      </w:r>
    </w:p>
    <w:p>
      <w:pPr>
        <w:spacing w:line="440" w:lineRule="exact"/>
        <w:ind w:firstLine="480" w:firstLineChars="200"/>
        <w:rPr>
          <w:color w:val="000000"/>
          <w:sz w:val="24"/>
          <w:szCs w:val="24"/>
        </w:rPr>
      </w:pPr>
      <w:r>
        <w:rPr>
          <w:rFonts w:hint="eastAsia"/>
          <w:color w:val="000000"/>
          <w:sz w:val="24"/>
          <w:szCs w:val="24"/>
        </w:rPr>
        <w:t>联系人：蔡海云，联系电话：180051083</w:t>
      </w:r>
      <w:r>
        <w:rPr>
          <w:color w:val="000000"/>
          <w:sz w:val="24"/>
          <w:szCs w:val="24"/>
        </w:rPr>
        <w:t>80</w:t>
      </w:r>
      <w:r>
        <w:rPr>
          <w:rFonts w:hint="eastAsia"/>
          <w:color w:val="000000"/>
          <w:sz w:val="24"/>
          <w:szCs w:val="24"/>
        </w:rPr>
        <w:t>。</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3. </w:t>
      </w:r>
      <w:r>
        <w:rPr>
          <w:color w:val="000000" w:themeColor="text1"/>
          <w:sz w:val="24"/>
          <w:szCs w:val="24"/>
          <w14:textFill>
            <w14:solidFill>
              <w14:schemeClr w14:val="tx1"/>
            </w14:solidFill>
          </w14:textFill>
        </w:rPr>
        <w:t>对项目需求部分的询问、质疑请与采购人联系、答复；其他部分的询问、质疑请与</w:t>
      </w:r>
      <w:r>
        <w:rPr>
          <w:rFonts w:hint="eastAsia"/>
          <w:color w:val="000000"/>
          <w:sz w:val="24"/>
          <w:szCs w:val="24"/>
        </w:rPr>
        <w:t>招标代理服务机构</w:t>
      </w:r>
      <w:r>
        <w:rPr>
          <w:color w:val="000000" w:themeColor="text1"/>
          <w:sz w:val="24"/>
          <w:szCs w:val="24"/>
          <w14:textFill>
            <w14:solidFill>
              <w14:schemeClr w14:val="tx1"/>
            </w14:solidFill>
          </w14:textFill>
        </w:rPr>
        <w:t>联系、答复。</w:t>
      </w:r>
    </w:p>
    <w:p>
      <w:pPr>
        <w:snapToGrid w:val="0"/>
        <w:spacing w:line="440" w:lineRule="exact"/>
        <w:ind w:firstLine="4003" w:firstLineChars="1668"/>
        <w:jc w:val="center"/>
        <w:rPr>
          <w:color w:val="000000"/>
          <w:sz w:val="24"/>
          <w:szCs w:val="24"/>
        </w:rPr>
      </w:pPr>
    </w:p>
    <w:p>
      <w:pPr>
        <w:snapToGrid w:val="0"/>
        <w:spacing w:line="440" w:lineRule="exact"/>
        <w:ind w:firstLine="4003" w:firstLineChars="1668"/>
        <w:jc w:val="center"/>
        <w:rPr>
          <w:color w:val="000000"/>
          <w:sz w:val="24"/>
          <w:szCs w:val="24"/>
        </w:rPr>
      </w:pPr>
      <w:r>
        <w:rPr>
          <w:rFonts w:hint="eastAsia"/>
          <w:color w:val="000000"/>
          <w:sz w:val="24"/>
          <w:szCs w:val="24"/>
        </w:rPr>
        <w:t>盐城幼儿师范高等专科学校</w:t>
      </w:r>
    </w:p>
    <w:p>
      <w:pPr>
        <w:spacing w:line="440" w:lineRule="exact"/>
        <w:ind w:firstLine="4003" w:firstLineChars="1668"/>
        <w:jc w:val="center"/>
        <w:rPr>
          <w:color w:val="000000"/>
          <w:sz w:val="24"/>
          <w:szCs w:val="24"/>
        </w:rPr>
      </w:pPr>
      <w:r>
        <w:rPr>
          <w:rFonts w:hint="eastAsia"/>
          <w:color w:val="000000"/>
          <w:sz w:val="24"/>
          <w:szCs w:val="24"/>
        </w:rPr>
        <w:t>2022</w:t>
      </w:r>
      <w:r>
        <w:rPr>
          <w:color w:val="000000"/>
          <w:sz w:val="24"/>
          <w:szCs w:val="24"/>
        </w:rPr>
        <w:t>年</w:t>
      </w:r>
      <w:r>
        <w:rPr>
          <w:rFonts w:hint="eastAsia"/>
          <w:color w:val="000000"/>
          <w:sz w:val="24"/>
          <w:szCs w:val="24"/>
        </w:rPr>
        <w:t>11</w:t>
      </w:r>
      <w:r>
        <w:rPr>
          <w:color w:val="000000"/>
          <w:sz w:val="24"/>
          <w:szCs w:val="24"/>
        </w:rPr>
        <w:t>月3日</w:t>
      </w:r>
    </w:p>
    <w:bookmarkEnd w:id="10"/>
    <w:bookmarkEnd w:id="11"/>
    <w:bookmarkEnd w:id="12"/>
    <w:bookmarkEnd w:id="13"/>
    <w:p>
      <w:pPr>
        <w:pStyle w:val="27"/>
      </w:pPr>
    </w:p>
    <w:p>
      <w:pPr>
        <w:jc w:val="center"/>
        <w:outlineLvl w:val="0"/>
        <w:rPr>
          <w:rFonts w:eastAsia="黑体"/>
          <w:color w:val="000000" w:themeColor="text1"/>
          <w:sz w:val="40"/>
          <w:szCs w:val="40"/>
          <w14:textFill>
            <w14:solidFill>
              <w14:schemeClr w14:val="tx1"/>
            </w14:solidFill>
          </w14:textFill>
        </w:rPr>
      </w:pPr>
      <w:bookmarkStart w:id="14" w:name="_Toc108021872"/>
    </w:p>
    <w:p>
      <w:pPr>
        <w:jc w:val="center"/>
        <w:outlineLvl w:val="0"/>
        <w:rPr>
          <w:rFonts w:eastAsia="黑体"/>
          <w:color w:val="000000" w:themeColor="text1"/>
          <w:sz w:val="40"/>
          <w:szCs w:val="40"/>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p>
    <w:p>
      <w:pPr>
        <w:pStyle w:val="9"/>
        <w:ind w:firstLine="800"/>
        <w:rPr>
          <w:rFonts w:eastAsia="黑体"/>
          <w:color w:val="000000" w:themeColor="text1"/>
          <w:sz w:val="40"/>
          <w:szCs w:val="40"/>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r>
        <w:rPr>
          <w:rFonts w:eastAsia="黑体"/>
          <w:color w:val="000000" w:themeColor="text1"/>
          <w:sz w:val="40"/>
          <w:szCs w:val="40"/>
          <w14:textFill>
            <w14:solidFill>
              <w14:schemeClr w14:val="tx1"/>
            </w14:solidFill>
          </w14:textFill>
        </w:rPr>
        <w:t>第二章  投标人须知</w:t>
      </w:r>
      <w:bookmarkEnd w:id="14"/>
    </w:p>
    <w:p>
      <w:pPr>
        <w:spacing w:line="440" w:lineRule="exact"/>
        <w:ind w:firstLine="482" w:firstLineChars="200"/>
        <w:rPr>
          <w:b/>
          <w:bCs/>
          <w:color w:val="000000" w:themeColor="text1"/>
          <w:sz w:val="24"/>
          <w:szCs w:val="24"/>
          <w14:textFill>
            <w14:solidFill>
              <w14:schemeClr w14:val="tx1"/>
            </w14:solidFill>
          </w14:textFill>
        </w:rPr>
      </w:pPr>
    </w:p>
    <w:p>
      <w:pPr>
        <w:pStyle w:val="4"/>
        <w:keepNext w:val="0"/>
        <w:keepLines w:val="0"/>
        <w:spacing w:before="0" w:after="0" w:line="360" w:lineRule="auto"/>
        <w:ind w:firstLine="482" w:firstLineChars="200"/>
        <w:jc w:val="both"/>
        <w:rPr>
          <w:rFonts w:ascii="Times New Roman" w:hAnsi="Times New Roman" w:eastAsia="宋体" w:cs="Times New Roman"/>
          <w:color w:val="000000" w:themeColor="text1"/>
          <w:sz w:val="24"/>
          <w:szCs w:val="24"/>
          <w:shd w:val="clear" w:color="auto" w:fill="FFFFFF"/>
          <w14:textFill>
            <w14:solidFill>
              <w14:schemeClr w14:val="tx1"/>
            </w14:solidFill>
          </w14:textFill>
        </w:rPr>
      </w:pPr>
      <w:bookmarkStart w:id="15" w:name="_Toc108021873"/>
      <w:r>
        <w:rPr>
          <w:rFonts w:ascii="Times New Roman" w:hAnsi="Times New Roman" w:eastAsia="宋体" w:cs="Times New Roman"/>
          <w:color w:val="000000" w:themeColor="text1"/>
          <w:sz w:val="24"/>
          <w:szCs w:val="24"/>
          <w:shd w:val="clear" w:color="auto" w:fill="FFFFFF"/>
          <w14:textFill>
            <w14:solidFill>
              <w14:schemeClr w14:val="tx1"/>
            </w14:solidFill>
          </w14:textFill>
        </w:rPr>
        <w:t>一、总则</w:t>
      </w:r>
      <w:bookmarkEnd w:id="15"/>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1、招标方式</w:t>
      </w:r>
    </w:p>
    <w:p>
      <w:pPr>
        <w:spacing w:line="360" w:lineRule="auto"/>
        <w:ind w:firstLine="480" w:firstLineChars="200"/>
        <w:rPr>
          <w:color w:val="000000"/>
          <w:sz w:val="24"/>
          <w:szCs w:val="24"/>
        </w:rPr>
      </w:pPr>
      <w:r>
        <w:rPr>
          <w:rFonts w:hint="eastAsia"/>
          <w:color w:val="000000"/>
          <w:sz w:val="24"/>
          <w:szCs w:val="24"/>
        </w:rPr>
        <w:t>1.1 本次招标采取公开招标方式，本招标文件仅适用于招标公告中所述项目。</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2、合格的投标人</w:t>
      </w:r>
    </w:p>
    <w:p>
      <w:pPr>
        <w:spacing w:line="360" w:lineRule="auto"/>
        <w:ind w:firstLine="480" w:firstLineChars="200"/>
        <w:rPr>
          <w:color w:val="000000"/>
          <w:sz w:val="24"/>
          <w:szCs w:val="24"/>
        </w:rPr>
      </w:pPr>
      <w:r>
        <w:rPr>
          <w:rFonts w:hint="eastAsia"/>
          <w:color w:val="000000"/>
          <w:sz w:val="24"/>
          <w:szCs w:val="24"/>
        </w:rPr>
        <w:t>2.1满足招标公告中供应商的资格要求的规定。</w:t>
      </w:r>
    </w:p>
    <w:p>
      <w:pPr>
        <w:spacing w:line="360" w:lineRule="auto"/>
        <w:ind w:firstLine="480" w:firstLineChars="200"/>
        <w:rPr>
          <w:color w:val="000000"/>
          <w:sz w:val="24"/>
          <w:szCs w:val="24"/>
        </w:rPr>
      </w:pPr>
      <w:r>
        <w:rPr>
          <w:rFonts w:hint="eastAsia"/>
          <w:color w:val="000000"/>
          <w:sz w:val="24"/>
          <w:szCs w:val="24"/>
        </w:rPr>
        <w:t>2.2 满足本文件实质性条款的规定。</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3、适用法律</w:t>
      </w:r>
    </w:p>
    <w:p>
      <w:pPr>
        <w:spacing w:line="360" w:lineRule="auto"/>
        <w:ind w:firstLine="480" w:firstLineChars="200"/>
        <w:rPr>
          <w:color w:val="000000"/>
          <w:sz w:val="24"/>
          <w:szCs w:val="24"/>
        </w:rPr>
      </w:pPr>
      <w:r>
        <w:rPr>
          <w:rFonts w:hint="eastAsia"/>
          <w:color w:val="000000"/>
          <w:sz w:val="24"/>
          <w:szCs w:val="24"/>
        </w:rPr>
        <w:t>3.1 本次招标及由此产生的合同受中华人民共和国有关的法律法规制约和保护</w:t>
      </w:r>
      <w:r>
        <w:rPr>
          <w:color w:val="000000"/>
          <w:sz w:val="24"/>
          <w:szCs w:val="24"/>
        </w:rPr>
        <w:t>。</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4、投标费用</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 参加投标的供应商应自行承担所有与参加投标有关的费用。不论最终的成交结果如何，盐城幼儿师范高等专科学校在任何情况下均无义务和责任承担这些费用。</w:t>
      </w:r>
    </w:p>
    <w:p>
      <w:pPr>
        <w:spacing w:line="360" w:lineRule="auto"/>
        <w:ind w:firstLine="480" w:firstLineChars="200"/>
        <w:rPr>
          <w:sz w:val="24"/>
        </w:rPr>
      </w:pPr>
      <w:r>
        <w:rPr>
          <w:sz w:val="24"/>
          <w:szCs w:val="24"/>
        </w:rPr>
        <w:t xml:space="preserve">4.2 </w:t>
      </w:r>
      <w:r>
        <w:rPr>
          <w:rFonts w:hint="eastAsia"/>
          <w:sz w:val="24"/>
        </w:rPr>
        <w:t>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widowControl/>
        <w:shd w:val="clear" w:color="auto" w:fill="FFFFFF"/>
        <w:spacing w:line="360" w:lineRule="auto"/>
        <w:ind w:firstLine="482" w:firstLineChars="200"/>
        <w:rPr>
          <w:b/>
          <w:sz w:val="24"/>
          <w:szCs w:val="24"/>
        </w:rPr>
      </w:pPr>
      <w:r>
        <w:rPr>
          <w:rFonts w:hint="eastAsia"/>
          <w:b/>
          <w:sz w:val="24"/>
          <w:szCs w:val="24"/>
        </w:rPr>
        <w:t>5.招标文件的约束力</w:t>
      </w:r>
    </w:p>
    <w:p>
      <w:pPr>
        <w:spacing w:line="360" w:lineRule="auto"/>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widowControl/>
        <w:shd w:val="clear" w:color="auto" w:fill="FFFFFF"/>
        <w:spacing w:line="360" w:lineRule="auto"/>
        <w:ind w:firstLine="482" w:firstLineChars="200"/>
        <w:rPr>
          <w:b/>
          <w:sz w:val="24"/>
          <w:szCs w:val="24"/>
        </w:rPr>
      </w:pPr>
      <w:r>
        <w:rPr>
          <w:rFonts w:hint="eastAsia"/>
          <w:b/>
          <w:sz w:val="24"/>
          <w:szCs w:val="24"/>
        </w:rPr>
        <w:t>6.招标文件的解释</w:t>
      </w:r>
    </w:p>
    <w:p>
      <w:pPr>
        <w:spacing w:line="360" w:lineRule="auto"/>
        <w:ind w:firstLine="480" w:firstLineChars="200"/>
        <w:rPr>
          <w:bCs/>
          <w:color w:val="000000"/>
          <w:sz w:val="24"/>
          <w:szCs w:val="24"/>
        </w:rPr>
      </w:pPr>
      <w:r>
        <w:rPr>
          <w:rFonts w:hint="eastAsia"/>
          <w:bCs/>
          <w:color w:val="000000"/>
          <w:sz w:val="24"/>
          <w:szCs w:val="24"/>
        </w:rPr>
        <w:t>6.1 本招标文件由采购人和</w:t>
      </w:r>
      <w:r>
        <w:rPr>
          <w:rFonts w:hint="eastAsia"/>
          <w:color w:val="000000"/>
          <w:sz w:val="24"/>
          <w:szCs w:val="24"/>
        </w:rPr>
        <w:t>采购代理机构</w:t>
      </w:r>
      <w:r>
        <w:rPr>
          <w:rFonts w:hint="eastAsia"/>
          <w:bCs/>
          <w:color w:val="000000"/>
          <w:sz w:val="24"/>
          <w:szCs w:val="24"/>
        </w:rPr>
        <w:t>负责解释。</w:t>
      </w:r>
    </w:p>
    <w:p>
      <w:pPr>
        <w:widowControl/>
        <w:shd w:val="clear" w:color="auto" w:fill="FFFFFF"/>
        <w:spacing w:line="360" w:lineRule="auto"/>
        <w:ind w:firstLine="482" w:firstLineChars="200"/>
        <w:rPr>
          <w:b/>
          <w:sz w:val="24"/>
          <w:szCs w:val="24"/>
        </w:rPr>
      </w:pPr>
      <w:bookmarkStart w:id="16" w:name="_Toc20823281"/>
      <w:bookmarkStart w:id="17" w:name="_Toc16938525"/>
      <w:bookmarkStart w:id="18" w:name="_Toc513029209"/>
      <w:bookmarkStart w:id="19" w:name="_Toc120614215"/>
      <w:r>
        <w:rPr>
          <w:rFonts w:hint="eastAsia"/>
          <w:b/>
          <w:sz w:val="24"/>
          <w:szCs w:val="24"/>
        </w:rPr>
        <w:t>二、招标文件</w:t>
      </w:r>
      <w:bookmarkEnd w:id="16"/>
      <w:bookmarkEnd w:id="17"/>
      <w:bookmarkEnd w:id="18"/>
      <w:bookmarkEnd w:id="19"/>
    </w:p>
    <w:p>
      <w:pPr>
        <w:widowControl/>
        <w:shd w:val="clear" w:color="auto" w:fill="FFFFFF"/>
        <w:spacing w:line="360" w:lineRule="auto"/>
        <w:ind w:firstLine="482" w:firstLineChars="200"/>
        <w:rPr>
          <w:b/>
          <w:sz w:val="24"/>
          <w:szCs w:val="24"/>
        </w:rPr>
      </w:pPr>
      <w:bookmarkStart w:id="20" w:name="_Toc20823282"/>
      <w:bookmarkStart w:id="21" w:name="_Toc16938526"/>
      <w:bookmarkStart w:id="22" w:name="_Toc513029210"/>
      <w:r>
        <w:rPr>
          <w:rFonts w:hint="eastAsia"/>
          <w:b/>
          <w:sz w:val="24"/>
          <w:szCs w:val="24"/>
        </w:rPr>
        <w:t>7.招标文件构成</w:t>
      </w:r>
      <w:bookmarkEnd w:id="20"/>
      <w:bookmarkEnd w:id="21"/>
      <w:bookmarkEnd w:id="22"/>
    </w:p>
    <w:p>
      <w:pPr>
        <w:spacing w:line="360" w:lineRule="auto"/>
        <w:ind w:firstLine="480" w:firstLineChars="200"/>
        <w:rPr>
          <w:color w:val="000000"/>
          <w:sz w:val="24"/>
          <w:szCs w:val="24"/>
        </w:rPr>
      </w:pPr>
      <w:r>
        <w:rPr>
          <w:rFonts w:hint="eastAsia"/>
          <w:bCs/>
          <w:color w:val="000000"/>
          <w:sz w:val="24"/>
          <w:szCs w:val="24"/>
        </w:rPr>
        <w:t>7.1</w:t>
      </w:r>
      <w:r>
        <w:rPr>
          <w:rFonts w:hint="eastAsia"/>
          <w:color w:val="000000"/>
          <w:sz w:val="24"/>
          <w:szCs w:val="24"/>
        </w:rPr>
        <w:t xml:space="preserve"> 招标文件有以下部分组成：</w:t>
      </w:r>
    </w:p>
    <w:p>
      <w:pPr>
        <w:spacing w:line="360" w:lineRule="auto"/>
        <w:ind w:firstLine="480" w:firstLineChars="200"/>
        <w:rPr>
          <w:color w:val="000000"/>
          <w:sz w:val="24"/>
          <w:szCs w:val="24"/>
        </w:rPr>
      </w:pPr>
      <w:r>
        <w:rPr>
          <w:rFonts w:hint="eastAsia"/>
          <w:color w:val="000000"/>
          <w:sz w:val="24"/>
          <w:szCs w:val="24"/>
        </w:rPr>
        <w:t>（1）招标公告</w:t>
      </w:r>
    </w:p>
    <w:p>
      <w:pPr>
        <w:spacing w:line="360" w:lineRule="auto"/>
        <w:ind w:firstLine="480" w:firstLineChars="200"/>
        <w:rPr>
          <w:color w:val="000000"/>
          <w:sz w:val="24"/>
          <w:szCs w:val="24"/>
        </w:rPr>
      </w:pPr>
      <w:r>
        <w:rPr>
          <w:rFonts w:hint="eastAsia"/>
          <w:color w:val="000000"/>
          <w:sz w:val="24"/>
          <w:szCs w:val="24"/>
        </w:rPr>
        <w:t>（2）投标人须知</w:t>
      </w:r>
    </w:p>
    <w:p>
      <w:pPr>
        <w:spacing w:line="360" w:lineRule="auto"/>
        <w:ind w:firstLine="480" w:firstLineChars="200"/>
        <w:rPr>
          <w:color w:val="000000"/>
          <w:sz w:val="24"/>
          <w:szCs w:val="24"/>
        </w:rPr>
      </w:pPr>
      <w:r>
        <w:rPr>
          <w:rFonts w:hint="eastAsia"/>
          <w:color w:val="000000"/>
          <w:sz w:val="24"/>
          <w:szCs w:val="24"/>
        </w:rPr>
        <w:t>（3）合同条款及格式</w:t>
      </w:r>
    </w:p>
    <w:p>
      <w:pPr>
        <w:spacing w:line="360" w:lineRule="auto"/>
        <w:ind w:firstLine="480" w:firstLineChars="200"/>
        <w:rPr>
          <w:color w:val="000000"/>
          <w:sz w:val="24"/>
          <w:szCs w:val="24"/>
        </w:rPr>
      </w:pPr>
      <w:r>
        <w:rPr>
          <w:rFonts w:hint="eastAsia"/>
          <w:color w:val="000000"/>
          <w:sz w:val="24"/>
          <w:szCs w:val="24"/>
        </w:rPr>
        <w:t>（4）项目需求</w:t>
      </w:r>
    </w:p>
    <w:p>
      <w:pPr>
        <w:spacing w:line="360" w:lineRule="auto"/>
        <w:ind w:firstLine="480" w:firstLineChars="200"/>
        <w:rPr>
          <w:color w:val="000000"/>
          <w:sz w:val="24"/>
          <w:szCs w:val="24"/>
        </w:rPr>
      </w:pPr>
      <w:r>
        <w:rPr>
          <w:rFonts w:hint="eastAsia"/>
          <w:color w:val="000000"/>
          <w:sz w:val="24"/>
          <w:szCs w:val="24"/>
        </w:rPr>
        <w:t>（5）定标原则与评标标准</w:t>
      </w:r>
    </w:p>
    <w:p>
      <w:pPr>
        <w:spacing w:line="360" w:lineRule="auto"/>
        <w:ind w:firstLine="480" w:firstLineChars="200"/>
        <w:rPr>
          <w:color w:val="000000"/>
          <w:sz w:val="24"/>
          <w:szCs w:val="24"/>
        </w:rPr>
      </w:pPr>
      <w:r>
        <w:rPr>
          <w:rFonts w:hint="eastAsia"/>
          <w:color w:val="000000"/>
          <w:sz w:val="24"/>
          <w:szCs w:val="24"/>
        </w:rPr>
        <w:t>（6）投标文件格式</w:t>
      </w:r>
    </w:p>
    <w:p>
      <w:pPr>
        <w:spacing w:line="360" w:lineRule="auto"/>
        <w:ind w:firstLine="480" w:firstLineChars="200"/>
        <w:rPr>
          <w:color w:val="000000"/>
          <w:sz w:val="24"/>
          <w:szCs w:val="24"/>
        </w:rPr>
      </w:pPr>
      <w:r>
        <w:rPr>
          <w:rFonts w:hint="eastAsia"/>
          <w:color w:val="000000"/>
          <w:sz w:val="24"/>
          <w:szCs w:val="24"/>
        </w:rPr>
        <w:t>请仔细检查招标文件是否齐全，如有缺漏请立即与采购人联系解决。</w:t>
      </w:r>
    </w:p>
    <w:p>
      <w:pPr>
        <w:spacing w:line="360" w:lineRule="auto"/>
        <w:ind w:firstLine="480" w:firstLineChars="200"/>
        <w:rPr>
          <w:color w:val="000000"/>
          <w:sz w:val="24"/>
          <w:szCs w:val="24"/>
        </w:rPr>
      </w:pPr>
      <w:r>
        <w:rPr>
          <w:rFonts w:hint="eastAsia"/>
          <w:bCs/>
          <w:color w:val="000000"/>
          <w:sz w:val="24"/>
          <w:szCs w:val="24"/>
        </w:rPr>
        <w:t>7.2</w:t>
      </w:r>
      <w:r>
        <w:rPr>
          <w:rFonts w:hint="eastAsia"/>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widowControl/>
        <w:shd w:val="clear" w:color="auto" w:fill="FFFFFF"/>
        <w:spacing w:line="360" w:lineRule="auto"/>
        <w:ind w:firstLine="482" w:firstLineChars="200"/>
        <w:rPr>
          <w:b/>
          <w:sz w:val="24"/>
          <w:szCs w:val="24"/>
        </w:rPr>
      </w:pPr>
      <w:bookmarkStart w:id="23" w:name="_Toc462564070"/>
      <w:bookmarkStart w:id="24" w:name="_Toc20823283"/>
      <w:bookmarkStart w:id="25" w:name="_Toc513029211"/>
      <w:bookmarkStart w:id="26" w:name="_Toc16938527"/>
      <w:r>
        <w:rPr>
          <w:rFonts w:hint="eastAsia"/>
          <w:b/>
          <w:sz w:val="24"/>
          <w:szCs w:val="24"/>
        </w:rPr>
        <w:t>8.招标文件的</w:t>
      </w:r>
      <w:bookmarkEnd w:id="23"/>
      <w:bookmarkEnd w:id="24"/>
      <w:bookmarkEnd w:id="25"/>
      <w:bookmarkEnd w:id="26"/>
      <w:r>
        <w:rPr>
          <w:rFonts w:hint="eastAsia"/>
          <w:b/>
          <w:sz w:val="24"/>
          <w:szCs w:val="24"/>
        </w:rPr>
        <w:t>询问</w:t>
      </w:r>
    </w:p>
    <w:p>
      <w:pPr>
        <w:spacing w:line="360" w:lineRule="auto"/>
        <w:ind w:firstLine="480" w:firstLineChars="200"/>
        <w:rPr>
          <w:color w:val="000000"/>
          <w:sz w:val="24"/>
          <w:szCs w:val="24"/>
        </w:rPr>
      </w:pPr>
      <w:r>
        <w:rPr>
          <w:rFonts w:hint="eastAsia"/>
          <w:bCs/>
          <w:color w:val="000000"/>
          <w:sz w:val="24"/>
          <w:szCs w:val="24"/>
        </w:rPr>
        <w:t>8.1</w:t>
      </w:r>
      <w:r>
        <w:rPr>
          <w:rFonts w:hint="eastAsia"/>
          <w:color w:val="000000"/>
          <w:sz w:val="24"/>
          <w:szCs w:val="24"/>
        </w:rPr>
        <w:t xml:space="preserve"> 任何要求对招标文件进行询问的投标人，应在投标截止日期十日前按招标公告中的通讯地址，向代理机构或采购人书面提出。</w:t>
      </w:r>
    </w:p>
    <w:p>
      <w:pPr>
        <w:widowControl/>
        <w:shd w:val="clear" w:color="auto" w:fill="FFFFFF"/>
        <w:spacing w:line="360" w:lineRule="auto"/>
        <w:ind w:firstLine="482" w:firstLineChars="200"/>
        <w:rPr>
          <w:b/>
          <w:sz w:val="24"/>
          <w:szCs w:val="24"/>
        </w:rPr>
      </w:pPr>
      <w:bookmarkStart w:id="27" w:name="_Toc462564071"/>
      <w:bookmarkStart w:id="28" w:name="_Toc20823284"/>
      <w:bookmarkStart w:id="29" w:name="_Toc513029212"/>
      <w:bookmarkStart w:id="30" w:name="_Toc16938528"/>
      <w:r>
        <w:rPr>
          <w:rFonts w:hint="eastAsia"/>
          <w:b/>
          <w:sz w:val="24"/>
          <w:szCs w:val="24"/>
        </w:rPr>
        <w:t>9.招标文件的修改</w:t>
      </w:r>
      <w:bookmarkEnd w:id="27"/>
      <w:bookmarkEnd w:id="28"/>
      <w:bookmarkEnd w:id="29"/>
      <w:bookmarkEnd w:id="30"/>
    </w:p>
    <w:p>
      <w:pPr>
        <w:spacing w:line="360" w:lineRule="auto"/>
        <w:ind w:firstLine="480" w:firstLineChars="200"/>
        <w:rPr>
          <w:color w:val="000000"/>
          <w:sz w:val="24"/>
          <w:szCs w:val="24"/>
        </w:rPr>
      </w:pPr>
      <w:bookmarkStart w:id="31" w:name="_Toc120614216"/>
      <w:bookmarkStart w:id="32" w:name="_Toc462564072"/>
      <w:bookmarkStart w:id="33" w:name="_Toc513029213"/>
      <w:bookmarkStart w:id="34" w:name="_Toc20823285"/>
      <w:bookmarkStart w:id="35" w:name="_Toc16938529"/>
      <w:r>
        <w:rPr>
          <w:rFonts w:hint="eastAsia"/>
          <w:bCs/>
          <w:color w:val="000000"/>
          <w:sz w:val="24"/>
          <w:szCs w:val="24"/>
        </w:rPr>
        <w:t>9.1</w:t>
      </w:r>
      <w:r>
        <w:rPr>
          <w:rFonts w:hint="eastAsia"/>
          <w:color w:val="000000"/>
          <w:sz w:val="24"/>
          <w:szCs w:val="24"/>
        </w:rPr>
        <w:t xml:space="preserve"> 在投标截止时间前，招标人或招标代理机构可以对招标文件进行修改。</w:t>
      </w:r>
    </w:p>
    <w:p>
      <w:pPr>
        <w:spacing w:line="360" w:lineRule="auto"/>
        <w:ind w:firstLine="480" w:firstLineChars="200"/>
        <w:rPr>
          <w:color w:val="000000"/>
          <w:sz w:val="24"/>
          <w:szCs w:val="24"/>
        </w:rPr>
      </w:pPr>
      <w:r>
        <w:rPr>
          <w:rFonts w:hint="eastAsia"/>
          <w:bCs/>
          <w:color w:val="000000"/>
          <w:sz w:val="24"/>
          <w:szCs w:val="24"/>
        </w:rPr>
        <w:t>9.2</w:t>
      </w:r>
      <w:r>
        <w:rPr>
          <w:rFonts w:hint="eastAsia"/>
          <w:color w:val="000000"/>
          <w:sz w:val="24"/>
          <w:szCs w:val="24"/>
        </w:rPr>
        <w:t>招标人有权依法推迟投标截止日期和开标日期。</w:t>
      </w:r>
    </w:p>
    <w:p>
      <w:pPr>
        <w:spacing w:line="360" w:lineRule="auto"/>
        <w:ind w:firstLine="480" w:firstLineChars="200"/>
        <w:rPr>
          <w:color w:val="000000"/>
          <w:sz w:val="24"/>
          <w:szCs w:val="24"/>
        </w:rPr>
      </w:pPr>
      <w:r>
        <w:rPr>
          <w:rFonts w:hint="eastAsia"/>
          <w:bCs/>
          <w:color w:val="000000"/>
          <w:sz w:val="24"/>
          <w:szCs w:val="24"/>
        </w:rPr>
        <w:t>9.3</w:t>
      </w:r>
      <w:r>
        <w:rPr>
          <w:rFonts w:hint="eastAsia"/>
          <w:color w:val="000000"/>
          <w:sz w:val="24"/>
          <w:szCs w:val="24"/>
        </w:rPr>
        <w:t>招标文件的修改将在</w:t>
      </w:r>
      <w:r>
        <w:rPr>
          <w:rFonts w:hint="eastAsia"/>
          <w:color w:val="000000"/>
          <w:sz w:val="24"/>
          <w:szCs w:val="24"/>
          <w:u w:val="single"/>
        </w:rPr>
        <w:t>江苏政府采购网（http://www.ccgp-jiangsu.gov.cn/）、盐城市政府采购网http://czj.yancheng.gov.cn/col/col2383/index.html 、盐城幼儿师范高等专科学校网站www.yyz.edu.cn</w:t>
      </w:r>
      <w:r>
        <w:rPr>
          <w:rFonts w:hint="eastAsia"/>
          <w:color w:val="000000"/>
          <w:sz w:val="24"/>
          <w:szCs w:val="24"/>
        </w:rPr>
        <w:t>公布，补充文件将作为招标文件的组成部分，并对投标人具有约束力。</w:t>
      </w:r>
    </w:p>
    <w:p>
      <w:pPr>
        <w:widowControl/>
        <w:shd w:val="clear" w:color="auto" w:fill="FFFFFF"/>
        <w:spacing w:line="360" w:lineRule="auto"/>
        <w:ind w:firstLine="482" w:firstLineChars="200"/>
        <w:rPr>
          <w:b/>
          <w:sz w:val="24"/>
          <w:szCs w:val="24"/>
        </w:rPr>
      </w:pPr>
      <w:r>
        <w:rPr>
          <w:rFonts w:hint="eastAsia"/>
          <w:b/>
          <w:sz w:val="24"/>
          <w:szCs w:val="24"/>
        </w:rPr>
        <w:t>三、投标文件的编制</w:t>
      </w:r>
      <w:bookmarkEnd w:id="31"/>
      <w:bookmarkEnd w:id="32"/>
      <w:bookmarkEnd w:id="33"/>
      <w:bookmarkEnd w:id="34"/>
      <w:bookmarkEnd w:id="35"/>
    </w:p>
    <w:p>
      <w:pPr>
        <w:widowControl/>
        <w:shd w:val="clear" w:color="auto" w:fill="FFFFFF"/>
        <w:spacing w:line="360" w:lineRule="auto"/>
        <w:ind w:firstLine="482" w:firstLineChars="200"/>
        <w:rPr>
          <w:b/>
          <w:sz w:val="24"/>
          <w:szCs w:val="24"/>
        </w:rPr>
      </w:pPr>
      <w:bookmarkStart w:id="36" w:name="_Toc513029214"/>
      <w:bookmarkStart w:id="37" w:name="_Toc20823286"/>
      <w:bookmarkStart w:id="38" w:name="_Toc462564073"/>
      <w:bookmarkStart w:id="39" w:name="_Toc16938530"/>
      <w:r>
        <w:rPr>
          <w:rFonts w:hint="eastAsia"/>
          <w:b/>
          <w:sz w:val="24"/>
          <w:szCs w:val="24"/>
        </w:rPr>
        <w:t>10.投标文件的语言及度量衡单位</w:t>
      </w:r>
      <w:bookmarkEnd w:id="36"/>
      <w:bookmarkEnd w:id="37"/>
      <w:bookmarkEnd w:id="38"/>
      <w:bookmarkEnd w:id="39"/>
    </w:p>
    <w:p>
      <w:pPr>
        <w:spacing w:line="360" w:lineRule="auto"/>
        <w:ind w:firstLine="480" w:firstLineChars="200"/>
        <w:rPr>
          <w:color w:val="000000"/>
          <w:sz w:val="24"/>
          <w:szCs w:val="24"/>
        </w:rPr>
      </w:pPr>
      <w:r>
        <w:rPr>
          <w:rFonts w:hint="eastAsia"/>
          <w:bCs/>
          <w:color w:val="000000"/>
          <w:sz w:val="24"/>
          <w:szCs w:val="24"/>
        </w:rPr>
        <w:t>10.1</w:t>
      </w:r>
      <w:r>
        <w:rPr>
          <w:rFonts w:hint="eastAsia"/>
          <w:color w:val="000000"/>
          <w:sz w:val="24"/>
          <w:szCs w:val="24"/>
        </w:rPr>
        <w:t xml:space="preserve"> 投标人提交的投标文件以及投标人与采购人和代理机构就有关投标的所有来往通知、函件和文件均应使用</w:t>
      </w:r>
      <w:r>
        <w:rPr>
          <w:rFonts w:hint="eastAsia"/>
          <w:b/>
          <w:bCs/>
          <w:color w:val="000000"/>
          <w:sz w:val="24"/>
          <w:szCs w:val="24"/>
        </w:rPr>
        <w:t>简体中文</w:t>
      </w:r>
      <w:r>
        <w:rPr>
          <w:rFonts w:hint="eastAsia"/>
          <w:color w:val="000000"/>
          <w:sz w:val="24"/>
          <w:szCs w:val="24"/>
        </w:rPr>
        <w:t>。</w:t>
      </w:r>
    </w:p>
    <w:p>
      <w:pPr>
        <w:spacing w:line="360" w:lineRule="auto"/>
        <w:ind w:firstLine="480" w:firstLineChars="200"/>
        <w:rPr>
          <w:color w:val="000000"/>
          <w:sz w:val="24"/>
          <w:szCs w:val="24"/>
        </w:rPr>
      </w:pPr>
      <w:r>
        <w:rPr>
          <w:rFonts w:hint="eastAsia"/>
          <w:bCs/>
          <w:color w:val="000000"/>
          <w:sz w:val="24"/>
          <w:szCs w:val="24"/>
        </w:rPr>
        <w:t>10.2</w:t>
      </w:r>
      <w:r>
        <w:rPr>
          <w:rFonts w:hint="eastAsia"/>
          <w:color w:val="000000"/>
          <w:sz w:val="24"/>
          <w:szCs w:val="24"/>
        </w:rPr>
        <w:t xml:space="preserve"> 除技术性能另有规定外，投标文件所使用的度量衡单位，均须采用国家法定计量单位。</w:t>
      </w:r>
    </w:p>
    <w:p>
      <w:pPr>
        <w:widowControl/>
        <w:shd w:val="clear" w:color="auto" w:fill="FFFFFF"/>
        <w:spacing w:line="360" w:lineRule="auto"/>
        <w:ind w:firstLine="482" w:firstLineChars="200"/>
        <w:rPr>
          <w:b/>
          <w:sz w:val="24"/>
          <w:szCs w:val="24"/>
        </w:rPr>
      </w:pPr>
      <w:bookmarkStart w:id="40" w:name="_Toc16938531"/>
      <w:bookmarkStart w:id="41" w:name="_Toc513029215"/>
      <w:bookmarkStart w:id="42" w:name="_Toc20823287"/>
      <w:bookmarkStart w:id="43" w:name="_Toc462564074"/>
      <w:r>
        <w:rPr>
          <w:rFonts w:hint="eastAsia"/>
          <w:b/>
          <w:sz w:val="24"/>
          <w:szCs w:val="24"/>
        </w:rPr>
        <w:t>11.投标文件构成</w:t>
      </w:r>
      <w:bookmarkEnd w:id="40"/>
      <w:bookmarkEnd w:id="41"/>
      <w:bookmarkEnd w:id="42"/>
      <w:bookmarkEnd w:id="43"/>
    </w:p>
    <w:p>
      <w:pPr>
        <w:spacing w:line="360" w:lineRule="auto"/>
        <w:ind w:firstLine="480" w:firstLineChars="200"/>
        <w:rPr>
          <w:color w:val="000000"/>
          <w:sz w:val="24"/>
          <w:szCs w:val="24"/>
        </w:rPr>
      </w:pPr>
      <w:bookmarkStart w:id="44" w:name="_Hlt26668975"/>
      <w:bookmarkEnd w:id="44"/>
      <w:bookmarkStart w:id="45" w:name="_Hlt26670360"/>
      <w:bookmarkEnd w:id="45"/>
      <w:bookmarkStart w:id="46" w:name="_Hlt26954838"/>
      <w:bookmarkEnd w:id="46"/>
      <w:bookmarkStart w:id="47" w:name="_Toc513029219"/>
      <w:bookmarkStart w:id="48" w:name="_Toc14577357"/>
      <w:bookmarkStart w:id="49" w:name="_Toc49090509"/>
      <w:bookmarkStart w:id="50" w:name="_Toc49090507"/>
      <w:bookmarkStart w:id="51" w:name="_Toc513029216"/>
      <w:bookmarkStart w:id="52" w:name="_Toc14577354"/>
      <w:r>
        <w:rPr>
          <w:rFonts w:hint="eastAsia"/>
          <w:color w:val="000000"/>
          <w:sz w:val="24"/>
          <w:szCs w:val="24"/>
          <w:highlight w:val="yellow"/>
        </w:rPr>
        <w:t>各标段</w:t>
      </w:r>
      <w:r>
        <w:rPr>
          <w:rFonts w:hint="eastAsia"/>
          <w:color w:val="000000"/>
          <w:sz w:val="24"/>
          <w:szCs w:val="24"/>
        </w:rPr>
        <w:t>投标文件正、副本至少应提交（包含并不限于）以下投标材料：</w:t>
      </w:r>
    </w:p>
    <w:p>
      <w:pPr>
        <w:spacing w:line="360" w:lineRule="auto"/>
        <w:ind w:firstLine="480" w:firstLineChars="200"/>
        <w:rPr>
          <w:color w:val="000000"/>
          <w:sz w:val="24"/>
          <w:szCs w:val="24"/>
        </w:rPr>
      </w:pPr>
      <w:r>
        <w:rPr>
          <w:rFonts w:hint="eastAsia"/>
          <w:color w:val="000000"/>
          <w:sz w:val="24"/>
          <w:szCs w:val="24"/>
        </w:rPr>
        <w:t>11.1 资信证明文件</w:t>
      </w:r>
    </w:p>
    <w:p>
      <w:pPr>
        <w:spacing w:line="360" w:lineRule="auto"/>
        <w:ind w:firstLine="480" w:firstLineChars="200"/>
        <w:rPr>
          <w:color w:val="000000"/>
          <w:sz w:val="24"/>
          <w:szCs w:val="24"/>
        </w:rPr>
      </w:pPr>
      <w:r>
        <w:rPr>
          <w:rFonts w:hint="eastAsia"/>
          <w:color w:val="000000"/>
          <w:sz w:val="24"/>
          <w:szCs w:val="24"/>
        </w:rPr>
        <w:t>11.2 资格性审查响应对照表</w:t>
      </w:r>
    </w:p>
    <w:p>
      <w:pPr>
        <w:spacing w:line="360" w:lineRule="auto"/>
        <w:ind w:firstLine="480" w:firstLineChars="200"/>
        <w:rPr>
          <w:bCs/>
          <w:color w:val="000000"/>
          <w:sz w:val="24"/>
          <w:szCs w:val="24"/>
        </w:rPr>
      </w:pPr>
      <w:r>
        <w:rPr>
          <w:rFonts w:hint="eastAsia"/>
          <w:color w:val="000000"/>
          <w:sz w:val="24"/>
          <w:szCs w:val="24"/>
        </w:rPr>
        <w:t>11.3 符合性检查响应对照表</w:t>
      </w:r>
    </w:p>
    <w:p>
      <w:pPr>
        <w:spacing w:line="360" w:lineRule="auto"/>
        <w:ind w:firstLine="480" w:firstLineChars="200"/>
        <w:rPr>
          <w:color w:val="000000"/>
          <w:sz w:val="24"/>
          <w:szCs w:val="24"/>
        </w:rPr>
      </w:pPr>
      <w:r>
        <w:rPr>
          <w:rFonts w:hint="eastAsia"/>
          <w:color w:val="000000"/>
          <w:sz w:val="24"/>
          <w:szCs w:val="24"/>
        </w:rPr>
        <w:t>11.4 投标函</w:t>
      </w:r>
    </w:p>
    <w:p>
      <w:pPr>
        <w:spacing w:line="360" w:lineRule="auto"/>
        <w:ind w:firstLine="480" w:firstLineChars="200"/>
        <w:rPr>
          <w:color w:val="000000"/>
          <w:sz w:val="24"/>
          <w:szCs w:val="24"/>
        </w:rPr>
      </w:pPr>
      <w:r>
        <w:rPr>
          <w:rFonts w:hint="eastAsia"/>
          <w:color w:val="000000"/>
          <w:sz w:val="24"/>
          <w:szCs w:val="24"/>
        </w:rPr>
        <w:t>11.5 开标一览表（详见投标文件格式，用于唱标）</w:t>
      </w:r>
    </w:p>
    <w:p>
      <w:pPr>
        <w:pStyle w:val="7"/>
        <w:spacing w:line="360" w:lineRule="auto"/>
        <w:ind w:firstLine="480" w:firstLineChars="200"/>
        <w:rPr>
          <w:color w:val="000000"/>
          <w:sz w:val="24"/>
          <w:szCs w:val="24"/>
        </w:rPr>
      </w:pPr>
      <w:r>
        <w:rPr>
          <w:rFonts w:hint="eastAsia"/>
          <w:color w:val="000000"/>
          <w:sz w:val="24"/>
          <w:szCs w:val="24"/>
        </w:rPr>
        <w:t>11.6报价清单（格式）</w:t>
      </w:r>
    </w:p>
    <w:p>
      <w:pPr>
        <w:spacing w:line="360" w:lineRule="auto"/>
        <w:ind w:firstLine="480" w:firstLineChars="200"/>
        <w:rPr>
          <w:color w:val="000000"/>
          <w:sz w:val="24"/>
          <w:szCs w:val="24"/>
        </w:rPr>
      </w:pPr>
      <w:r>
        <w:rPr>
          <w:rFonts w:hint="eastAsia"/>
          <w:color w:val="000000"/>
          <w:sz w:val="24"/>
          <w:szCs w:val="24"/>
        </w:rPr>
        <w:t>11.7</w:t>
      </w:r>
      <w:r>
        <w:rPr>
          <w:color w:val="000000"/>
          <w:sz w:val="24"/>
          <w:szCs w:val="24"/>
        </w:rPr>
        <w:t xml:space="preserve"> 技术参数响应及偏离表</w:t>
      </w:r>
    </w:p>
    <w:p>
      <w:pPr>
        <w:spacing w:line="360" w:lineRule="auto"/>
        <w:ind w:firstLine="480" w:firstLineChars="200"/>
        <w:rPr>
          <w:color w:val="000000"/>
          <w:sz w:val="24"/>
          <w:szCs w:val="24"/>
        </w:rPr>
      </w:pPr>
      <w:r>
        <w:rPr>
          <w:rFonts w:hint="eastAsia"/>
          <w:color w:val="000000"/>
          <w:sz w:val="24"/>
          <w:szCs w:val="24"/>
        </w:rPr>
        <w:t>11.8商务</w:t>
      </w:r>
      <w:r>
        <w:rPr>
          <w:color w:val="000000"/>
          <w:sz w:val="24"/>
          <w:szCs w:val="24"/>
        </w:rPr>
        <w:t>条款响应及偏离表</w:t>
      </w:r>
    </w:p>
    <w:p>
      <w:pPr>
        <w:spacing w:line="360" w:lineRule="auto"/>
        <w:ind w:firstLine="480" w:firstLineChars="200"/>
        <w:rPr>
          <w:color w:val="000000"/>
          <w:sz w:val="24"/>
          <w:szCs w:val="24"/>
        </w:rPr>
      </w:pPr>
      <w:r>
        <w:rPr>
          <w:rFonts w:hint="eastAsia"/>
          <w:color w:val="000000"/>
          <w:sz w:val="24"/>
          <w:szCs w:val="24"/>
        </w:rPr>
        <w:t>11.9</w:t>
      </w:r>
      <w:r>
        <w:rPr>
          <w:color w:val="000000"/>
          <w:sz w:val="24"/>
          <w:szCs w:val="24"/>
        </w:rPr>
        <w:t>盐城市政府采购事前信用承诺书</w:t>
      </w:r>
    </w:p>
    <w:p>
      <w:pPr>
        <w:spacing w:line="360" w:lineRule="auto"/>
        <w:ind w:firstLine="480" w:firstLineChars="200"/>
        <w:rPr>
          <w:color w:val="000000"/>
          <w:sz w:val="24"/>
          <w:szCs w:val="24"/>
        </w:rPr>
      </w:pPr>
      <w:r>
        <w:rPr>
          <w:rFonts w:hint="eastAsia"/>
          <w:color w:val="000000"/>
          <w:sz w:val="24"/>
          <w:szCs w:val="24"/>
        </w:rPr>
        <w:t>11.10 招标文件中规定要求提供的证明材料和投标人认为需要提供的其他材料</w:t>
      </w:r>
    </w:p>
    <w:p>
      <w:pPr>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sz w:val="24"/>
          <w:szCs w:val="24"/>
        </w:rPr>
        <w:t>投标人应将投标文件按上述投标材料顺序装订成册，并编制投标文件资料目录。</w:t>
      </w:r>
      <w:r>
        <w:rPr>
          <w:color w:val="000000" w:themeColor="text1"/>
          <w:sz w:val="24"/>
          <w:szCs w:val="24"/>
          <w14:textFill>
            <w14:solidFill>
              <w14:schemeClr w14:val="tx1"/>
            </w14:solidFill>
          </w14:textFill>
        </w:rPr>
        <w:t>招标文件要求提供原件</w:t>
      </w:r>
      <w:r>
        <w:rPr>
          <w:rFonts w:hint="eastAsia"/>
          <w:color w:val="000000"/>
          <w:sz w:val="24"/>
          <w:szCs w:val="24"/>
        </w:rPr>
        <w:t>的必须按所投标段</w:t>
      </w:r>
      <w:r>
        <w:rPr>
          <w:rFonts w:hint="eastAsia"/>
          <w:b/>
          <w:bCs/>
          <w:color w:val="000000"/>
          <w:sz w:val="24"/>
          <w:szCs w:val="24"/>
        </w:rPr>
        <w:t>分别单</w:t>
      </w:r>
      <w:r>
        <w:rPr>
          <w:b/>
          <w:bCs/>
          <w:color w:val="000000" w:themeColor="text1"/>
          <w:sz w:val="24"/>
          <w:szCs w:val="24"/>
          <w14:textFill>
            <w14:solidFill>
              <w14:schemeClr w14:val="tx1"/>
            </w14:solidFill>
          </w14:textFill>
        </w:rPr>
        <w:t>独</w:t>
      </w:r>
      <w:r>
        <w:rPr>
          <w:color w:val="000000" w:themeColor="text1"/>
          <w:sz w:val="24"/>
          <w:szCs w:val="24"/>
          <w14:textFill>
            <w14:solidFill>
              <w14:schemeClr w14:val="tx1"/>
            </w14:solidFill>
          </w14:textFill>
        </w:rPr>
        <w:t>封装并与投标文件一起递交，评标结束后原件退回；未要求提</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供原件的提供复印件，原件自带备查</w:t>
      </w:r>
      <w:r>
        <w:rPr>
          <w:rFonts w:hint="eastAsia"/>
          <w:color w:val="000000" w:themeColor="text1"/>
          <w:sz w:val="24"/>
          <w:szCs w:val="24"/>
          <w14:textFill>
            <w14:solidFill>
              <w14:schemeClr w14:val="tx1"/>
            </w14:solidFill>
          </w14:textFill>
        </w:rPr>
        <w:t>。</w:t>
      </w:r>
    </w:p>
    <w:p>
      <w:pPr>
        <w:spacing w:line="360" w:lineRule="auto"/>
        <w:ind w:firstLine="482" w:firstLineChars="200"/>
        <w:rPr>
          <w:color w:val="FF0000"/>
          <w:sz w:val="24"/>
          <w:szCs w:val="24"/>
          <w:highlight w:val="yellow"/>
        </w:rPr>
      </w:pPr>
      <w:bookmarkStart w:id="53" w:name="_Toc105320195"/>
      <w:r>
        <w:rPr>
          <w:rFonts w:hint="eastAsia"/>
          <w:b/>
          <w:color w:val="000000"/>
          <w:sz w:val="24"/>
          <w:szCs w:val="24"/>
          <w:highlight w:val="yellow"/>
        </w:rPr>
        <w:t>标书正本一份，副本四份。</w:t>
      </w:r>
      <w:bookmarkEnd w:id="53"/>
      <w:r>
        <w:rPr>
          <w:rFonts w:hint="eastAsia"/>
          <w:b/>
          <w:color w:val="FF0000"/>
          <w:sz w:val="24"/>
          <w:szCs w:val="24"/>
          <w:highlight w:val="yellow"/>
        </w:rPr>
        <w:t>投标人</w:t>
      </w:r>
      <w:r>
        <w:rPr>
          <w:rFonts w:hint="eastAsia" w:ascii="宋体" w:hAnsi="宋体" w:cs="宋体"/>
          <w:b/>
          <w:color w:val="FF0000"/>
          <w:sz w:val="24"/>
          <w:highlight w:val="yellow"/>
        </w:rPr>
        <w:t>按所投标段分别编制投标文件。</w:t>
      </w:r>
    </w:p>
    <w:p>
      <w:pPr>
        <w:widowControl/>
        <w:shd w:val="clear" w:color="auto" w:fill="FFFFFF"/>
        <w:spacing w:line="360" w:lineRule="auto"/>
        <w:ind w:firstLine="482" w:firstLineChars="200"/>
        <w:rPr>
          <w:b/>
          <w:sz w:val="24"/>
          <w:szCs w:val="24"/>
        </w:rPr>
      </w:pPr>
      <w:r>
        <w:rPr>
          <w:rFonts w:hint="eastAsia"/>
          <w:b/>
          <w:sz w:val="24"/>
          <w:szCs w:val="24"/>
        </w:rPr>
        <w:t>12.证明投标人资格及符合招标文件规定的文件</w:t>
      </w:r>
      <w:bookmarkEnd w:id="47"/>
      <w:bookmarkEnd w:id="48"/>
      <w:bookmarkEnd w:id="49"/>
    </w:p>
    <w:p>
      <w:pPr>
        <w:spacing w:line="360" w:lineRule="auto"/>
        <w:ind w:firstLine="480" w:firstLineChars="200"/>
        <w:rPr>
          <w:color w:val="000000"/>
          <w:sz w:val="24"/>
          <w:szCs w:val="24"/>
        </w:rPr>
      </w:pPr>
      <w:r>
        <w:rPr>
          <w:rFonts w:hint="eastAsia"/>
          <w:color w:val="000000"/>
          <w:sz w:val="24"/>
          <w:szCs w:val="24"/>
        </w:rPr>
        <w:t>12.1</w:t>
      </w:r>
      <w:bookmarkStart w:id="54" w:name="_Hlt26668999"/>
      <w:bookmarkEnd w:id="54"/>
      <w:r>
        <w:rPr>
          <w:rFonts w:hint="eastAsia"/>
          <w:color w:val="000000"/>
          <w:sz w:val="24"/>
          <w:szCs w:val="24"/>
        </w:rPr>
        <w:t>投标人应按要求提交资格证明文件及符合招标文件规定的文件。</w:t>
      </w:r>
    </w:p>
    <w:p>
      <w:pPr>
        <w:spacing w:line="360" w:lineRule="auto"/>
        <w:ind w:firstLine="480" w:firstLineChars="200"/>
        <w:rPr>
          <w:color w:val="000000"/>
          <w:sz w:val="24"/>
          <w:szCs w:val="24"/>
        </w:rPr>
      </w:pPr>
      <w:r>
        <w:rPr>
          <w:rFonts w:hint="eastAsia"/>
          <w:color w:val="000000"/>
          <w:sz w:val="24"/>
          <w:szCs w:val="24"/>
        </w:rPr>
        <w:t>12.2投标人应提交证明其有资格参加投标和中标后有能力独立履行合同的文件。</w:t>
      </w:r>
    </w:p>
    <w:p>
      <w:pPr>
        <w:spacing w:line="360" w:lineRule="auto"/>
        <w:ind w:firstLine="480" w:firstLineChars="200"/>
        <w:rPr>
          <w:color w:val="000000"/>
          <w:sz w:val="24"/>
          <w:szCs w:val="24"/>
        </w:rPr>
      </w:pPr>
      <w:r>
        <w:rPr>
          <w:rFonts w:hint="eastAsia"/>
          <w:color w:val="000000"/>
          <w:sz w:val="24"/>
          <w:szCs w:val="24"/>
        </w:rPr>
        <w:t>12.3投标人除必须具有履行合同所需提供的服务的能力外，还必须具备相应的财务、技术方面的能力。</w:t>
      </w:r>
    </w:p>
    <w:p>
      <w:pPr>
        <w:spacing w:line="360" w:lineRule="auto"/>
        <w:ind w:firstLine="480" w:firstLineChars="200"/>
        <w:rPr>
          <w:color w:val="000000"/>
          <w:sz w:val="24"/>
          <w:szCs w:val="24"/>
        </w:rPr>
      </w:pPr>
      <w:r>
        <w:rPr>
          <w:rFonts w:hint="eastAsia"/>
          <w:color w:val="000000"/>
          <w:sz w:val="24"/>
          <w:szCs w:val="24"/>
        </w:rPr>
        <w:t>12.4投标人应提交根据合同要求提供的证明产品质量合格以及符合招标文件规定的证明文件。</w:t>
      </w:r>
    </w:p>
    <w:p>
      <w:pPr>
        <w:spacing w:line="360" w:lineRule="auto"/>
        <w:ind w:firstLine="480" w:firstLineChars="200"/>
        <w:rPr>
          <w:bCs/>
          <w:color w:val="000000"/>
          <w:sz w:val="24"/>
          <w:szCs w:val="24"/>
        </w:rPr>
      </w:pPr>
      <w:r>
        <w:rPr>
          <w:rFonts w:hint="eastAsia"/>
          <w:color w:val="000000"/>
          <w:sz w:val="24"/>
          <w:szCs w:val="24"/>
        </w:rPr>
        <w:t>12.5证明投标人所提供服务与招标文件的要求相一致的文件可以是手册、图纸、文字资料和数据</w:t>
      </w:r>
      <w:r>
        <w:rPr>
          <w:rFonts w:hint="eastAsia"/>
          <w:bCs/>
          <w:color w:val="000000"/>
          <w:sz w:val="24"/>
          <w:szCs w:val="24"/>
        </w:rPr>
        <w:t>。</w:t>
      </w:r>
    </w:p>
    <w:p>
      <w:pPr>
        <w:pStyle w:val="6"/>
        <w:spacing w:before="0" w:after="0" w:line="360" w:lineRule="auto"/>
        <w:ind w:firstLine="420" w:firstLineChars="150"/>
        <w:rPr>
          <w:b w:val="0"/>
          <w:bCs w:val="0"/>
        </w:rPr>
      </w:pPr>
      <w:r>
        <w:rPr>
          <w:rFonts w:hint="eastAsia"/>
          <w:b w:val="0"/>
          <w:bCs w:val="0"/>
        </w:rPr>
        <w:t>13、供货一览表和投标配置与分项报价</w:t>
      </w:r>
      <w:bookmarkStart w:id="55" w:name="_Hlt26670373"/>
      <w:bookmarkEnd w:id="55"/>
      <w:r>
        <w:rPr>
          <w:rFonts w:hint="eastAsia"/>
          <w:b w:val="0"/>
          <w:bCs w:val="0"/>
        </w:rPr>
        <w:t>表</w:t>
      </w:r>
    </w:p>
    <w:p>
      <w:pPr>
        <w:spacing w:line="360" w:lineRule="auto"/>
        <w:ind w:firstLine="480" w:firstLineChars="200"/>
        <w:rPr>
          <w:rFonts w:ascii="宋体" w:hAnsi="宋体"/>
          <w:bCs/>
          <w:sz w:val="24"/>
        </w:rPr>
      </w:pPr>
      <w:r>
        <w:rPr>
          <w:rFonts w:hint="eastAsia" w:ascii="宋体" w:hAnsi="宋体"/>
          <w:bCs/>
          <w:sz w:val="24"/>
        </w:rPr>
        <w:t>13.1</w:t>
      </w:r>
      <w:r>
        <w:rPr>
          <w:rFonts w:hint="eastAsia" w:ascii="宋体" w:hAnsi="宋体"/>
          <w:sz w:val="24"/>
        </w:rPr>
        <w:t xml:space="preserve"> 投</w:t>
      </w:r>
      <w:bookmarkStart w:id="56" w:name="_Hlt26954840"/>
      <w:bookmarkEnd w:id="56"/>
      <w:r>
        <w:rPr>
          <w:rFonts w:hint="eastAsia" w:ascii="宋体" w:hAnsi="宋体"/>
          <w:sz w:val="24"/>
        </w:rPr>
        <w:t>标人应按照招标文件规定格式填报供货一览表、投标配置与分项报价表</w:t>
      </w:r>
      <w:bookmarkStart w:id="57" w:name="_Hlt26670399"/>
      <w:bookmarkEnd w:id="57"/>
      <w:r>
        <w:rPr>
          <w:rFonts w:hint="eastAsia" w:ascii="宋体" w:hAnsi="宋体"/>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80" w:firstLineChars="200"/>
        <w:rPr>
          <w:rFonts w:ascii="宋体" w:hAnsi="宋体"/>
          <w:sz w:val="24"/>
        </w:rPr>
      </w:pPr>
      <w:r>
        <w:rPr>
          <w:rFonts w:hint="eastAsia" w:ascii="宋体" w:hAnsi="宋体"/>
          <w:bCs/>
          <w:sz w:val="24"/>
        </w:rPr>
        <w:t>13.2</w:t>
      </w:r>
      <w:r>
        <w:rPr>
          <w:rFonts w:hint="eastAsia" w:ascii="宋体" w:hAnsi="宋体"/>
          <w:sz w:val="24"/>
        </w:rPr>
        <w:t xml:space="preserve"> 标的物</w:t>
      </w:r>
    </w:p>
    <w:p>
      <w:pPr>
        <w:spacing w:line="360" w:lineRule="auto"/>
        <w:ind w:firstLine="480" w:firstLineChars="200"/>
        <w:rPr>
          <w:rFonts w:ascii="宋体" w:hAnsi="宋体"/>
          <w:sz w:val="24"/>
        </w:rPr>
      </w:pPr>
      <w:r>
        <w:rPr>
          <w:rFonts w:hint="eastAsia" w:ascii="宋体" w:hAnsi="宋体"/>
          <w:bCs/>
          <w:sz w:val="24"/>
        </w:rPr>
        <w:t>采购人需求的货物供应、安装，调试及有关技术服务等</w:t>
      </w:r>
      <w:r>
        <w:rPr>
          <w:rFonts w:hint="eastAsia" w:ascii="宋体" w:hAnsi="宋体"/>
          <w:sz w:val="24"/>
        </w:rPr>
        <w:t>。</w:t>
      </w:r>
    </w:p>
    <w:p>
      <w:pPr>
        <w:spacing w:line="360" w:lineRule="auto"/>
        <w:ind w:firstLine="480" w:firstLineChars="200"/>
        <w:rPr>
          <w:rFonts w:ascii="宋体" w:hAnsi="宋体"/>
          <w:bCs/>
          <w:sz w:val="24"/>
        </w:rPr>
      </w:pPr>
      <w:r>
        <w:rPr>
          <w:rFonts w:hint="eastAsia" w:ascii="宋体" w:hAnsi="宋体"/>
          <w:sz w:val="24"/>
        </w:rPr>
        <w:t>13.3</w:t>
      </w:r>
      <w:r>
        <w:rPr>
          <w:rFonts w:hint="eastAsia" w:ascii="宋体" w:hAnsi="宋体"/>
          <w:bCs/>
          <w:sz w:val="24"/>
        </w:rPr>
        <w:t>有关费用处理</w:t>
      </w:r>
    </w:p>
    <w:p>
      <w:pPr>
        <w:spacing w:line="360" w:lineRule="auto"/>
        <w:ind w:firstLine="480" w:firstLineChars="200"/>
        <w:rPr>
          <w:color w:val="000000"/>
          <w:sz w:val="24"/>
          <w:szCs w:val="24"/>
        </w:rPr>
      </w:pPr>
      <w:r>
        <w:rPr>
          <w:rFonts w:hint="eastAsia"/>
          <w:color w:val="000000"/>
          <w:sz w:val="24"/>
          <w:szCs w:val="24"/>
        </w:rPr>
        <w:t>本项目采用综合单价计价方法，投标人报综合单价、合价、总价。综合单价是指投标人负责为完成本次投标对应子目货物（含附配件）的采购、包装、运输、安装、调试、培训、验收、质保期内维保、售后服务等所需的一切费用，包括但不限于：货物（含附配件）的价格、包装费、运输费、装卸费、保险费、安装费、调试费、培训费、验收费、技术服务费、检测费、购置税、保险费、质保期内维保费、售后服务费、招标代理服务费、投标费用、管理费、税金、利润、各类风险费、不可预见费及其他一切相关费用等所有费用。中标后综合单价不可调整。</w:t>
      </w:r>
    </w:p>
    <w:p>
      <w:pPr>
        <w:spacing w:line="360" w:lineRule="auto"/>
        <w:ind w:firstLine="480" w:firstLineChars="200"/>
        <w:rPr>
          <w:rFonts w:ascii="宋体" w:hAnsi="宋体"/>
          <w:bCs/>
          <w:sz w:val="24"/>
        </w:rPr>
      </w:pPr>
      <w:r>
        <w:rPr>
          <w:rFonts w:hint="eastAsia" w:ascii="宋体" w:hAnsi="宋体"/>
          <w:sz w:val="24"/>
        </w:rPr>
        <w:t>13.4</w:t>
      </w:r>
      <w:r>
        <w:rPr>
          <w:rFonts w:hint="eastAsia" w:ascii="宋体" w:hAnsi="宋体"/>
          <w:bCs/>
          <w:sz w:val="24"/>
        </w:rPr>
        <w:t>其它费用处理</w:t>
      </w:r>
    </w:p>
    <w:p>
      <w:pPr>
        <w:spacing w:line="360" w:lineRule="auto"/>
        <w:ind w:firstLine="480" w:firstLineChars="200"/>
        <w:rPr>
          <w:rFonts w:ascii="宋体" w:hAnsi="宋体"/>
          <w:bCs/>
          <w:sz w:val="24"/>
        </w:rPr>
      </w:pPr>
      <w:r>
        <w:rPr>
          <w:rFonts w:hint="eastAsia" w:ascii="宋体" w:hAnsi="宋体"/>
          <w:bCs/>
          <w:sz w:val="24"/>
        </w:rPr>
        <w:t>招标文件未列明，而投标人认为必需的费用也需列入报价。</w:t>
      </w:r>
    </w:p>
    <w:p>
      <w:pPr>
        <w:spacing w:line="360" w:lineRule="auto"/>
        <w:ind w:firstLine="480" w:firstLineChars="200"/>
        <w:rPr>
          <w:rFonts w:ascii="宋体" w:hAnsi="宋体"/>
          <w:bCs/>
          <w:sz w:val="24"/>
        </w:rPr>
      </w:pPr>
      <w:r>
        <w:rPr>
          <w:rFonts w:hint="eastAsia" w:ascii="宋体" w:hAnsi="宋体"/>
          <w:sz w:val="24"/>
        </w:rPr>
        <w:t>13.5</w:t>
      </w:r>
      <w:r>
        <w:rPr>
          <w:rFonts w:hint="eastAsia" w:ascii="宋体" w:hAnsi="宋体"/>
          <w:bCs/>
          <w:sz w:val="24"/>
        </w:rPr>
        <w:t>投标货币</w:t>
      </w:r>
    </w:p>
    <w:p>
      <w:pPr>
        <w:spacing w:line="360" w:lineRule="auto"/>
        <w:ind w:firstLine="480" w:firstLineChars="200"/>
        <w:rPr>
          <w:rFonts w:ascii="宋体" w:hAnsi="宋体"/>
          <w:bCs/>
          <w:sz w:val="24"/>
        </w:rPr>
      </w:pPr>
      <w:r>
        <w:rPr>
          <w:rFonts w:hint="eastAsia" w:ascii="宋体" w:hAnsi="宋体"/>
          <w:bCs/>
          <w:sz w:val="24"/>
        </w:rPr>
        <w:t>投标文件中的货物单价和总价无特殊规定的采用人民币报价，以元为单位标注。</w:t>
      </w:r>
      <w:r>
        <w:rPr>
          <w:rFonts w:hint="eastAsia" w:ascii="宋体" w:hAnsi="宋体"/>
          <w:sz w:val="24"/>
        </w:rPr>
        <w:t>招标文件中另有规定的按规定执行。</w:t>
      </w:r>
    </w:p>
    <w:p>
      <w:pPr>
        <w:spacing w:line="360" w:lineRule="auto"/>
        <w:ind w:firstLine="480" w:firstLineChars="200"/>
        <w:rPr>
          <w:rFonts w:ascii="宋体" w:hAnsi="宋体"/>
          <w:sz w:val="24"/>
        </w:rPr>
      </w:pPr>
      <w:r>
        <w:rPr>
          <w:rFonts w:hint="eastAsia" w:ascii="宋体" w:hAnsi="宋体"/>
          <w:sz w:val="24"/>
        </w:rPr>
        <w:t>13.6</w:t>
      </w:r>
      <w:r>
        <w:rPr>
          <w:rFonts w:hint="eastAsia" w:ascii="宋体" w:hAnsi="宋体"/>
          <w:bCs/>
          <w:sz w:val="24"/>
        </w:rPr>
        <w:t xml:space="preserve"> 投标配置与分项报价表上的价格应按下列方式分开填写</w:t>
      </w:r>
      <w:r>
        <w:rPr>
          <w:rFonts w:hint="eastAsia" w:ascii="宋体" w:hAnsi="宋体"/>
          <w:sz w:val="24"/>
        </w:rPr>
        <w:t>：</w:t>
      </w:r>
    </w:p>
    <w:p>
      <w:pPr>
        <w:spacing w:line="360" w:lineRule="auto"/>
        <w:ind w:firstLine="480" w:firstLineChars="200"/>
        <w:rPr>
          <w:rFonts w:ascii="宋体" w:hAnsi="宋体"/>
          <w:bCs/>
          <w:sz w:val="24"/>
        </w:rPr>
      </w:pPr>
      <w:bookmarkStart w:id="58" w:name="_Hlt26668983"/>
      <w:bookmarkEnd w:id="58"/>
      <w:bookmarkStart w:id="59" w:name="_Hlt26670425"/>
      <w:bookmarkEnd w:id="59"/>
      <w:bookmarkStart w:id="60" w:name="_Hlt26954842"/>
      <w:bookmarkEnd w:id="60"/>
      <w:bookmarkStart w:id="61" w:name="_Hlt26954844"/>
      <w:bookmarkEnd w:id="61"/>
      <w:bookmarkStart w:id="62" w:name="_Hlt26670403"/>
      <w:bookmarkEnd w:id="62"/>
      <w:r>
        <w:rPr>
          <w:rFonts w:hint="eastAsia" w:ascii="宋体" w:hAnsi="宋体"/>
          <w:bCs/>
          <w:sz w:val="24"/>
        </w:rPr>
        <w:t xml:space="preserve">13.6.1 </w:t>
      </w:r>
      <w:r>
        <w:rPr>
          <w:rFonts w:hint="eastAsia" w:ascii="宋体" w:hAnsi="宋体"/>
          <w:sz w:val="24"/>
        </w:rPr>
        <w:t>项目总价：包括</w:t>
      </w:r>
      <w:r>
        <w:rPr>
          <w:rFonts w:hint="eastAsia" w:ascii="宋体" w:hAnsi="宋体"/>
          <w:bCs/>
          <w:sz w:val="24"/>
        </w:rPr>
        <w:t>买方需求的货物价格</w:t>
      </w:r>
      <w:r>
        <w:rPr>
          <w:rFonts w:hint="eastAsia" w:ascii="宋体" w:hAnsi="宋体"/>
          <w:sz w:val="24"/>
        </w:rPr>
        <w:t>、</w:t>
      </w:r>
      <w:r>
        <w:rPr>
          <w:rFonts w:hint="eastAsia" w:ascii="宋体" w:hAnsi="宋体"/>
          <w:bCs/>
          <w:sz w:val="24"/>
        </w:rPr>
        <w:t>质量保证费用、培训费用及售后服务费用，项目在指定地点、环境交付、安装、调试、验收所需费用和所有</w:t>
      </w:r>
      <w:r>
        <w:rPr>
          <w:rFonts w:hint="eastAsia" w:ascii="宋体" w:hAnsi="宋体"/>
          <w:sz w:val="24"/>
        </w:rPr>
        <w:t>相关税金费用</w:t>
      </w:r>
      <w:r>
        <w:rPr>
          <w:rFonts w:hint="eastAsia" w:ascii="宋体" w:hAnsi="宋体"/>
          <w:bCs/>
          <w:sz w:val="24"/>
        </w:rPr>
        <w:t>及为完成整个项目所产生的其它所有费用。</w:t>
      </w:r>
    </w:p>
    <w:p>
      <w:pPr>
        <w:spacing w:line="360" w:lineRule="auto"/>
        <w:ind w:firstLine="480" w:firstLineChars="200"/>
        <w:rPr>
          <w:rFonts w:ascii="宋体" w:hAnsi="宋体"/>
          <w:bCs/>
          <w:sz w:val="24"/>
        </w:rPr>
      </w:pPr>
      <w:r>
        <w:rPr>
          <w:rFonts w:hint="eastAsia" w:ascii="宋体" w:hAnsi="宋体"/>
          <w:sz w:val="24"/>
        </w:rPr>
        <w:t>13.6.2</w:t>
      </w:r>
      <w:r>
        <w:rPr>
          <w:rFonts w:hint="eastAsia" w:ascii="宋体" w:hAnsi="宋体"/>
          <w:bCs/>
          <w:sz w:val="24"/>
        </w:rPr>
        <w:t>项目单价按投标配置及分项报价表中要求填报。</w:t>
      </w:r>
      <w:bookmarkEnd w:id="50"/>
      <w:bookmarkEnd w:id="51"/>
      <w:bookmarkEnd w:id="52"/>
    </w:p>
    <w:p>
      <w:pPr>
        <w:widowControl/>
        <w:shd w:val="clear" w:color="auto" w:fill="FFFFFF"/>
        <w:spacing w:line="360" w:lineRule="auto"/>
        <w:ind w:firstLine="482" w:firstLineChars="200"/>
        <w:rPr>
          <w:b/>
          <w:sz w:val="24"/>
          <w:szCs w:val="24"/>
        </w:rPr>
      </w:pPr>
      <w:r>
        <w:rPr>
          <w:rFonts w:hint="eastAsia"/>
          <w:b/>
          <w:sz w:val="24"/>
          <w:szCs w:val="24"/>
        </w:rPr>
        <w:t>14.技术参数响应及偏离表、商务条款响应及偏离表及投标说明</w:t>
      </w:r>
    </w:p>
    <w:p>
      <w:pPr>
        <w:autoSpaceDE w:val="0"/>
        <w:autoSpaceDN w:val="0"/>
        <w:adjustRightInd w:val="0"/>
        <w:spacing w:line="360" w:lineRule="auto"/>
        <w:ind w:firstLine="480" w:firstLineChars="200"/>
        <w:rPr>
          <w:color w:val="000000"/>
          <w:sz w:val="24"/>
          <w:szCs w:val="24"/>
          <w:lang w:val="zh-CN"/>
        </w:rPr>
      </w:pPr>
      <w:r>
        <w:rPr>
          <w:bCs/>
          <w:color w:val="000000"/>
          <w:sz w:val="24"/>
          <w:szCs w:val="24"/>
          <w:lang w:val="zh-CN"/>
        </w:rPr>
        <w:t>1</w:t>
      </w:r>
      <w:r>
        <w:rPr>
          <w:rFonts w:hint="eastAsia"/>
          <w:bCs/>
          <w:color w:val="000000"/>
          <w:sz w:val="24"/>
          <w:szCs w:val="24"/>
          <w:lang w:val="zh-CN"/>
        </w:rPr>
        <w:t>4</w:t>
      </w:r>
      <w:r>
        <w:rPr>
          <w:bCs/>
          <w:color w:val="000000"/>
          <w:sz w:val="24"/>
          <w:szCs w:val="24"/>
          <w:lang w:val="zh-CN"/>
        </w:rPr>
        <w:t>.1</w:t>
      </w:r>
      <w:r>
        <w:rPr>
          <w:color w:val="000000"/>
          <w:sz w:val="24"/>
          <w:szCs w:val="24"/>
          <w:lang w:val="zh-CN"/>
        </w:rPr>
        <w:t xml:space="preserve"> </w:t>
      </w:r>
      <w:r>
        <w:rPr>
          <w:rFonts w:hint="eastAsia"/>
          <w:color w:val="000000"/>
          <w:sz w:val="24"/>
          <w:szCs w:val="24"/>
          <w:lang w:val="zh-CN"/>
        </w:rPr>
        <w:t>对招标文件中的技术与商务条款要求逐项作出响应或偏离，并说明原因；</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14.2 提供参加本项目类似案例简介；</w:t>
      </w:r>
    </w:p>
    <w:p>
      <w:pPr>
        <w:pStyle w:val="2"/>
        <w:ind w:firstLine="480" w:firstLineChars="200"/>
        <w:rPr>
          <w:lang w:val="zh-CN"/>
        </w:rPr>
      </w:pPr>
      <w:r>
        <w:rPr>
          <w:rFonts w:hint="eastAsia"/>
          <w:color w:val="000000"/>
          <w:sz w:val="24"/>
          <w:szCs w:val="24"/>
          <w:lang w:val="zh-CN"/>
        </w:rPr>
        <w:t>14.3 培训计划；</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w:t>
      </w:r>
      <w:r>
        <w:rPr>
          <w:rFonts w:hint="eastAsia"/>
          <w:color w:val="000000"/>
          <w:sz w:val="24"/>
          <w:szCs w:val="24"/>
        </w:rPr>
        <w:t xml:space="preserve">4 </w:t>
      </w:r>
      <w:r>
        <w:rPr>
          <w:rFonts w:hint="eastAsia"/>
          <w:color w:val="000000"/>
          <w:sz w:val="24"/>
          <w:szCs w:val="24"/>
          <w:lang w:val="zh-CN"/>
        </w:rPr>
        <w:t>详细阐述所投本项目的主要组成部分、实现思路及关键技术；</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w:t>
      </w:r>
      <w:r>
        <w:rPr>
          <w:rFonts w:hint="eastAsia"/>
          <w:color w:val="000000"/>
          <w:sz w:val="24"/>
          <w:szCs w:val="24"/>
        </w:rPr>
        <w:t>5</w:t>
      </w:r>
      <w:r>
        <w:rPr>
          <w:rFonts w:hint="eastAsia"/>
          <w:color w:val="000000"/>
          <w:sz w:val="24"/>
          <w:szCs w:val="24"/>
          <w:lang w:val="zh-CN"/>
        </w:rPr>
        <w:t xml:space="preserve"> 投标人认为需要的其他技术文件或说明。</w:t>
      </w:r>
    </w:p>
    <w:p>
      <w:pPr>
        <w:widowControl/>
        <w:shd w:val="clear" w:color="auto" w:fill="FFFFFF"/>
        <w:spacing w:line="360" w:lineRule="auto"/>
        <w:ind w:firstLine="482" w:firstLineChars="200"/>
        <w:rPr>
          <w:b/>
          <w:sz w:val="24"/>
          <w:szCs w:val="24"/>
        </w:rPr>
      </w:pPr>
      <w:r>
        <w:rPr>
          <w:rFonts w:hint="eastAsia"/>
          <w:b/>
          <w:sz w:val="24"/>
          <w:szCs w:val="24"/>
        </w:rPr>
        <w:t>15.服务承诺及售后服务机构、人员的情况介绍</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bCs/>
          <w:color w:val="000000"/>
          <w:sz w:val="24"/>
          <w:szCs w:val="24"/>
        </w:rPr>
        <w:t>15</w:t>
      </w:r>
      <w:r>
        <w:rPr>
          <w:bCs/>
          <w:color w:val="000000"/>
          <w:sz w:val="24"/>
          <w:szCs w:val="24"/>
          <w:lang w:val="zh-CN"/>
        </w:rPr>
        <w:t>.1</w:t>
      </w:r>
      <w:r>
        <w:rPr>
          <w:rFonts w:hint="eastAsia"/>
          <w:color w:val="000000"/>
          <w:sz w:val="24"/>
          <w:szCs w:val="24"/>
        </w:rPr>
        <w:t>投标人的服务承诺应按不低于招标文件中商务要求的标准。</w:t>
      </w:r>
    </w:p>
    <w:p>
      <w:pPr>
        <w:spacing w:line="360" w:lineRule="auto"/>
        <w:ind w:firstLine="480" w:firstLineChars="200"/>
        <w:rPr>
          <w:color w:val="000000"/>
          <w:sz w:val="24"/>
          <w:szCs w:val="24"/>
        </w:rPr>
      </w:pPr>
      <w:r>
        <w:rPr>
          <w:rFonts w:hint="eastAsia"/>
          <w:bCs/>
          <w:color w:val="000000"/>
          <w:sz w:val="24"/>
          <w:szCs w:val="24"/>
        </w:rPr>
        <w:t>15</w:t>
      </w:r>
      <w:r>
        <w:rPr>
          <w:bCs/>
          <w:color w:val="000000"/>
          <w:sz w:val="24"/>
          <w:szCs w:val="24"/>
          <w:lang w:val="zh-CN"/>
        </w:rPr>
        <w:t>.</w:t>
      </w:r>
      <w:r>
        <w:rPr>
          <w:rFonts w:hint="eastAsia"/>
          <w:bCs/>
          <w:color w:val="000000"/>
          <w:sz w:val="24"/>
          <w:szCs w:val="24"/>
          <w:lang w:val="zh-CN"/>
        </w:rPr>
        <w:t>2</w:t>
      </w:r>
      <w:r>
        <w:rPr>
          <w:rFonts w:hint="eastAsia"/>
          <w:color w:val="000000"/>
          <w:sz w:val="24"/>
          <w:szCs w:val="24"/>
        </w:rPr>
        <w:t>提供投标人有关售后服务的管理制度、售后服务机构的分布情况、售后服务人员的数量、素质、技术水平及售后服务的反应能力。</w:t>
      </w:r>
    </w:p>
    <w:p>
      <w:pPr>
        <w:widowControl/>
        <w:shd w:val="clear" w:color="auto" w:fill="FFFFFF"/>
        <w:spacing w:line="360" w:lineRule="auto"/>
        <w:ind w:firstLine="482" w:firstLineChars="200"/>
        <w:rPr>
          <w:b/>
          <w:sz w:val="24"/>
          <w:szCs w:val="24"/>
        </w:rPr>
      </w:pPr>
      <w:bookmarkStart w:id="63" w:name="_Toc14577359"/>
      <w:bookmarkStart w:id="64" w:name="_Toc49090510"/>
      <w:r>
        <w:rPr>
          <w:rFonts w:hint="eastAsia"/>
          <w:b/>
          <w:sz w:val="24"/>
          <w:szCs w:val="24"/>
        </w:rPr>
        <w:t>16.投标函和开标一览表</w:t>
      </w:r>
    </w:p>
    <w:p>
      <w:pPr>
        <w:spacing w:line="360" w:lineRule="auto"/>
        <w:ind w:firstLine="480" w:firstLineChars="200"/>
        <w:rPr>
          <w:color w:val="000000"/>
          <w:sz w:val="24"/>
          <w:szCs w:val="24"/>
        </w:rPr>
      </w:pPr>
      <w:r>
        <w:rPr>
          <w:rFonts w:hint="eastAsia"/>
          <w:bCs/>
          <w:color w:val="000000"/>
          <w:sz w:val="24"/>
          <w:szCs w:val="24"/>
        </w:rPr>
        <w:t>16.1</w:t>
      </w:r>
      <w:r>
        <w:rPr>
          <w:rFonts w:hint="eastAsia"/>
          <w:color w:val="000000"/>
          <w:sz w:val="24"/>
          <w:szCs w:val="24"/>
        </w:rPr>
        <w:t xml:space="preserve"> 投标人应按照招标文件中提供的格式完整、正确填写投标函、开标一览表。</w:t>
      </w:r>
    </w:p>
    <w:p>
      <w:pPr>
        <w:spacing w:line="360" w:lineRule="auto"/>
        <w:ind w:firstLine="480" w:firstLineChars="200"/>
        <w:rPr>
          <w:color w:val="000000"/>
          <w:sz w:val="24"/>
          <w:szCs w:val="24"/>
        </w:rPr>
      </w:pPr>
      <w:r>
        <w:rPr>
          <w:rFonts w:hint="eastAsia"/>
          <w:bCs/>
          <w:color w:val="000000"/>
          <w:sz w:val="24"/>
          <w:szCs w:val="24"/>
        </w:rPr>
        <w:t>16.2</w:t>
      </w:r>
      <w:r>
        <w:rPr>
          <w:rFonts w:hint="eastAsia"/>
          <w:color w:val="000000"/>
          <w:sz w:val="24"/>
          <w:szCs w:val="24"/>
        </w:rPr>
        <w:t xml:space="preserve"> </w:t>
      </w:r>
      <w:r>
        <w:rPr>
          <w:rFonts w:hint="eastAsia"/>
          <w:bCs/>
          <w:color w:val="000000"/>
          <w:sz w:val="24"/>
          <w:szCs w:val="24"/>
        </w:rPr>
        <w:t>开标一览表中的价格应与投标文件中投标配置与分项报价表中的价格（如有）一致，如不一致，</w:t>
      </w:r>
      <w:r>
        <w:rPr>
          <w:rFonts w:hint="eastAsia"/>
          <w:color w:val="000000"/>
          <w:sz w:val="24"/>
          <w:szCs w:val="24"/>
        </w:rPr>
        <w:t>不作为无效投标处理</w:t>
      </w:r>
      <w:r>
        <w:rPr>
          <w:rFonts w:hint="eastAsia"/>
          <w:bCs/>
          <w:color w:val="000000"/>
          <w:sz w:val="24"/>
          <w:szCs w:val="24"/>
        </w:rPr>
        <w:t>，但评标时按开标一览表中价格为准</w:t>
      </w:r>
      <w:r>
        <w:rPr>
          <w:rFonts w:hint="eastAsia"/>
          <w:b/>
          <w:bCs/>
          <w:color w:val="000000"/>
          <w:sz w:val="24"/>
          <w:szCs w:val="24"/>
        </w:rPr>
        <w:t>。</w:t>
      </w:r>
      <w:bookmarkEnd w:id="63"/>
      <w:bookmarkEnd w:id="64"/>
    </w:p>
    <w:p>
      <w:pPr>
        <w:widowControl/>
        <w:shd w:val="clear" w:color="auto" w:fill="FFFFFF"/>
        <w:spacing w:line="360" w:lineRule="auto"/>
        <w:ind w:firstLine="482" w:firstLineChars="200"/>
        <w:rPr>
          <w:b/>
          <w:sz w:val="24"/>
          <w:szCs w:val="24"/>
        </w:rPr>
      </w:pPr>
      <w:bookmarkStart w:id="65" w:name="_Hlt26954734"/>
      <w:bookmarkEnd w:id="65"/>
      <w:bookmarkStart w:id="66" w:name="_Hlt26954850"/>
      <w:bookmarkEnd w:id="66"/>
      <w:bookmarkStart w:id="67" w:name="_Hlt26670489"/>
      <w:bookmarkEnd w:id="67"/>
      <w:bookmarkStart w:id="68" w:name="_Toc14577360"/>
      <w:bookmarkStart w:id="69" w:name="_Toc49090511"/>
      <w:r>
        <w:rPr>
          <w:rFonts w:hint="eastAsia"/>
          <w:b/>
          <w:sz w:val="24"/>
          <w:szCs w:val="24"/>
        </w:rPr>
        <w:t>17.投标有效期</w:t>
      </w:r>
      <w:bookmarkEnd w:id="68"/>
      <w:bookmarkEnd w:id="69"/>
    </w:p>
    <w:p>
      <w:pPr>
        <w:spacing w:line="360" w:lineRule="auto"/>
        <w:ind w:firstLine="480" w:firstLineChars="200"/>
        <w:rPr>
          <w:bCs/>
          <w:color w:val="000000"/>
          <w:sz w:val="24"/>
          <w:szCs w:val="24"/>
        </w:rPr>
      </w:pPr>
      <w:r>
        <w:rPr>
          <w:rFonts w:hint="eastAsia"/>
          <w:color w:val="000000"/>
          <w:sz w:val="24"/>
          <w:szCs w:val="24"/>
        </w:rPr>
        <w:t>17.1</w:t>
      </w:r>
      <w:r>
        <w:rPr>
          <w:rFonts w:hint="eastAsia"/>
          <w:bCs/>
          <w:color w:val="000000"/>
          <w:sz w:val="24"/>
          <w:szCs w:val="24"/>
        </w:rPr>
        <w:t xml:space="preserve"> 投标有效期为开标之日后六十（60）天。投标有效期比规定短的将被视为非响应性投标而予以拒绝。</w:t>
      </w:r>
    </w:p>
    <w:p>
      <w:pPr>
        <w:spacing w:line="360" w:lineRule="auto"/>
        <w:ind w:firstLine="480" w:firstLineChars="200"/>
        <w:rPr>
          <w:bCs/>
          <w:color w:val="000000"/>
          <w:sz w:val="24"/>
          <w:szCs w:val="24"/>
        </w:rPr>
      </w:pPr>
      <w:r>
        <w:rPr>
          <w:rFonts w:hint="eastAsia"/>
          <w:color w:val="000000"/>
          <w:sz w:val="24"/>
          <w:szCs w:val="24"/>
        </w:rPr>
        <w:t>17.2</w:t>
      </w:r>
      <w:r>
        <w:rPr>
          <w:rFonts w:hint="eastAsia"/>
          <w:bCs/>
          <w:color w:val="000000"/>
          <w:sz w:val="24"/>
          <w:szCs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szCs w:val="24"/>
        </w:rPr>
        <w:t>同意延长投标有效期的投标人既不能要求也不允许修改其投标文件，</w:t>
      </w:r>
      <w:r>
        <w:rPr>
          <w:rFonts w:hint="eastAsia"/>
          <w:color w:val="000000"/>
          <w:sz w:val="24"/>
          <w:szCs w:val="24"/>
        </w:rPr>
        <w:t>同时受投标有效期约束的所有权利与义务均延长至新的有效期</w:t>
      </w:r>
      <w:r>
        <w:rPr>
          <w:rFonts w:hint="eastAsia"/>
          <w:bCs/>
          <w:color w:val="000000"/>
          <w:sz w:val="24"/>
          <w:szCs w:val="24"/>
        </w:rPr>
        <w:t>。</w:t>
      </w:r>
    </w:p>
    <w:p>
      <w:pPr>
        <w:widowControl/>
        <w:shd w:val="clear" w:color="auto" w:fill="FFFFFF"/>
        <w:spacing w:line="360" w:lineRule="auto"/>
        <w:ind w:firstLine="482" w:firstLineChars="200"/>
        <w:rPr>
          <w:b/>
          <w:sz w:val="24"/>
          <w:szCs w:val="24"/>
        </w:rPr>
      </w:pPr>
      <w:bookmarkStart w:id="70" w:name="_Hlt26954739"/>
      <w:bookmarkEnd w:id="70"/>
      <w:bookmarkStart w:id="71" w:name="_Hlt26954852"/>
      <w:bookmarkEnd w:id="71"/>
      <w:bookmarkStart w:id="72" w:name="_Toc49090512"/>
      <w:bookmarkStart w:id="73" w:name="_Toc14577361"/>
      <w:r>
        <w:rPr>
          <w:rFonts w:hint="eastAsia"/>
          <w:b/>
          <w:sz w:val="24"/>
          <w:szCs w:val="24"/>
        </w:rPr>
        <w:t>18.投标文件份数和签署</w:t>
      </w:r>
      <w:bookmarkEnd w:id="72"/>
      <w:bookmarkEnd w:id="73"/>
    </w:p>
    <w:p>
      <w:pPr>
        <w:spacing w:line="360" w:lineRule="auto"/>
        <w:ind w:firstLine="480" w:firstLineChars="200"/>
        <w:rPr>
          <w:bCs/>
          <w:color w:val="000000"/>
          <w:sz w:val="24"/>
          <w:szCs w:val="24"/>
        </w:rPr>
      </w:pPr>
      <w:bookmarkStart w:id="74" w:name="_Toc16938540"/>
      <w:bookmarkStart w:id="75" w:name="_Toc513029224"/>
      <w:bookmarkStart w:id="76" w:name="_Toc120614217"/>
      <w:bookmarkStart w:id="77" w:name="_Toc20823296"/>
      <w:r>
        <w:rPr>
          <w:rFonts w:hint="eastAsia"/>
          <w:color w:val="000000"/>
          <w:sz w:val="24"/>
          <w:szCs w:val="24"/>
        </w:rPr>
        <w:t>18.1</w:t>
      </w:r>
      <w:r>
        <w:rPr>
          <w:rFonts w:hint="eastAsia"/>
          <w:b/>
          <w:color w:val="000000"/>
          <w:sz w:val="24"/>
          <w:szCs w:val="24"/>
        </w:rPr>
        <w:t xml:space="preserve"> </w:t>
      </w:r>
      <w:r>
        <w:rPr>
          <w:rFonts w:hint="eastAsia"/>
          <w:bCs/>
          <w:color w:val="000000"/>
          <w:sz w:val="24"/>
          <w:szCs w:val="24"/>
        </w:rPr>
        <w:t>投标人应仔细阅读招标文件的所有内容，按招标文件的要求提供投标文件，并保证所提供的全部资料的真实性，以使其投标对招标文件作出实质性响应，否则，其投标可能被拒绝。</w:t>
      </w:r>
    </w:p>
    <w:p>
      <w:pPr>
        <w:pStyle w:val="55"/>
        <w:rPr>
          <w:rFonts w:ascii="Times New Roman" w:hAnsi="Times New Roman"/>
          <w:bCs/>
          <w:color w:val="000000"/>
          <w:kern w:val="2"/>
          <w:szCs w:val="24"/>
        </w:rPr>
      </w:pPr>
      <w:r>
        <w:rPr>
          <w:rFonts w:hint="eastAsia" w:ascii="Times New Roman" w:hAnsi="Times New Roman"/>
          <w:bCs/>
          <w:color w:val="000000"/>
          <w:kern w:val="2"/>
          <w:szCs w:val="24"/>
        </w:rPr>
        <w:t>18.2投标人应严格按照招标文件要求准备投标文件，投标文件正本一份，副本四份。每份投标文件须清楚地标明“正本”或“副本”字样。一旦正本和副本不符，以正本为准。</w:t>
      </w:r>
    </w:p>
    <w:p>
      <w:pPr>
        <w:spacing w:line="360" w:lineRule="auto"/>
        <w:ind w:firstLine="480" w:firstLineChars="200"/>
        <w:rPr>
          <w:bCs/>
          <w:color w:val="000000"/>
          <w:sz w:val="24"/>
          <w:szCs w:val="24"/>
        </w:rPr>
      </w:pPr>
      <w:r>
        <w:rPr>
          <w:rFonts w:hint="eastAsia"/>
          <w:color w:val="000000"/>
          <w:sz w:val="24"/>
          <w:szCs w:val="24"/>
        </w:rPr>
        <w:t>18.</w:t>
      </w:r>
      <w:r>
        <w:rPr>
          <w:rFonts w:hint="eastAsia" w:cs="宋体"/>
          <w:bCs/>
          <w:color w:val="000000"/>
          <w:sz w:val="24"/>
          <w:szCs w:val="24"/>
        </w:rPr>
        <w:t>3投标文件须经法</w:t>
      </w:r>
      <w:r>
        <w:rPr>
          <w:rFonts w:hint="eastAsia"/>
          <w:color w:val="000000"/>
          <w:sz w:val="24"/>
          <w:szCs w:val="24"/>
        </w:rPr>
        <w:t>定代表人或授权委托人（被授权人）签署和加盖投标人公章。本采购文件所表述（指定）的公章是指法定名称章，不包括合同专用章、业务专用章等印章。</w:t>
      </w:r>
    </w:p>
    <w:p>
      <w:pPr>
        <w:spacing w:line="360" w:lineRule="auto"/>
        <w:ind w:firstLine="480" w:firstLineChars="200"/>
        <w:rPr>
          <w:bCs/>
          <w:color w:val="000000"/>
          <w:sz w:val="24"/>
          <w:szCs w:val="24"/>
        </w:rPr>
      </w:pPr>
      <w:r>
        <w:rPr>
          <w:rFonts w:hint="eastAsia"/>
          <w:color w:val="000000"/>
          <w:sz w:val="24"/>
          <w:szCs w:val="24"/>
        </w:rPr>
        <w:t>18.4</w:t>
      </w:r>
      <w:r>
        <w:rPr>
          <w:rFonts w:hint="eastAsia"/>
          <w:bCs/>
          <w:color w:val="000000"/>
          <w:sz w:val="24"/>
          <w:szCs w:val="24"/>
        </w:rPr>
        <w:t xml:space="preserve"> 除投标人对错处做必要修改外，投标文件不得行间插字、涂改或增删。如有修改错漏处，必须由投标文件签署人签字或盖章。</w:t>
      </w:r>
    </w:p>
    <w:p>
      <w:pPr>
        <w:widowControl/>
        <w:shd w:val="clear" w:color="auto" w:fill="FFFFFF"/>
        <w:spacing w:line="360" w:lineRule="auto"/>
        <w:ind w:firstLine="482" w:firstLineChars="200"/>
        <w:rPr>
          <w:b/>
          <w:sz w:val="24"/>
          <w:szCs w:val="24"/>
        </w:rPr>
      </w:pPr>
      <w:r>
        <w:rPr>
          <w:rFonts w:hint="eastAsia"/>
          <w:b/>
          <w:sz w:val="24"/>
          <w:szCs w:val="24"/>
        </w:rPr>
        <w:t>四、投标文件的递交</w:t>
      </w:r>
      <w:bookmarkEnd w:id="74"/>
      <w:bookmarkEnd w:id="75"/>
      <w:bookmarkEnd w:id="76"/>
      <w:bookmarkEnd w:id="77"/>
    </w:p>
    <w:p>
      <w:pPr>
        <w:widowControl/>
        <w:shd w:val="clear" w:color="auto" w:fill="FFFFFF"/>
        <w:spacing w:line="360" w:lineRule="auto"/>
        <w:ind w:firstLine="482" w:firstLineChars="200"/>
        <w:rPr>
          <w:b/>
          <w:sz w:val="24"/>
          <w:szCs w:val="24"/>
        </w:rPr>
      </w:pPr>
      <w:bookmarkStart w:id="78" w:name="_Toc462564084"/>
      <w:bookmarkStart w:id="79" w:name="_Toc16938541"/>
      <w:bookmarkStart w:id="80" w:name="_Toc513029225"/>
      <w:bookmarkStart w:id="81" w:name="_Toc20823297"/>
      <w:bookmarkStart w:id="82" w:name="_Toc20823298"/>
      <w:bookmarkStart w:id="83" w:name="_Toc513029226"/>
      <w:bookmarkStart w:id="84" w:name="_Toc16938542"/>
      <w:r>
        <w:rPr>
          <w:rFonts w:hint="eastAsia"/>
          <w:b/>
          <w:sz w:val="24"/>
          <w:szCs w:val="24"/>
        </w:rPr>
        <w:t>19.</w:t>
      </w:r>
      <w:bookmarkEnd w:id="78"/>
      <w:bookmarkEnd w:id="79"/>
      <w:bookmarkEnd w:id="80"/>
      <w:bookmarkEnd w:id="81"/>
      <w:r>
        <w:rPr>
          <w:rFonts w:hint="eastAsia"/>
          <w:b/>
          <w:sz w:val="24"/>
          <w:szCs w:val="24"/>
        </w:rPr>
        <w:t>投标文件的递交</w:t>
      </w:r>
    </w:p>
    <w:p>
      <w:pPr>
        <w:spacing w:line="360" w:lineRule="auto"/>
        <w:ind w:firstLine="480" w:firstLineChars="200"/>
        <w:rPr>
          <w:bCs/>
          <w:color w:val="000000"/>
          <w:sz w:val="24"/>
          <w:szCs w:val="24"/>
        </w:rPr>
      </w:pPr>
      <w:r>
        <w:rPr>
          <w:rFonts w:hint="eastAsia"/>
          <w:color w:val="000000"/>
          <w:sz w:val="24"/>
          <w:szCs w:val="24"/>
        </w:rPr>
        <w:t>19.1</w:t>
      </w:r>
      <w:r>
        <w:rPr>
          <w:rFonts w:hint="eastAsia"/>
          <w:bCs/>
          <w:color w:val="000000"/>
          <w:sz w:val="24"/>
          <w:szCs w:val="24"/>
        </w:rPr>
        <w:t>投标人应将投标文件正本和所有副本密封，不论投标人中标与否，投标文件均不退回。</w:t>
      </w:r>
    </w:p>
    <w:p>
      <w:pPr>
        <w:spacing w:line="360" w:lineRule="auto"/>
        <w:ind w:firstLine="480" w:firstLineChars="200"/>
        <w:rPr>
          <w:bCs/>
          <w:color w:val="000000"/>
          <w:sz w:val="24"/>
          <w:szCs w:val="24"/>
        </w:rPr>
      </w:pPr>
      <w:r>
        <w:rPr>
          <w:rFonts w:hint="eastAsia"/>
          <w:color w:val="000000"/>
          <w:sz w:val="24"/>
          <w:szCs w:val="24"/>
        </w:rPr>
        <w:t>19.2</w:t>
      </w:r>
      <w:r>
        <w:rPr>
          <w:rFonts w:hint="eastAsia"/>
          <w:bCs/>
          <w:color w:val="000000"/>
          <w:sz w:val="24"/>
          <w:szCs w:val="24"/>
        </w:rPr>
        <w:t>密封的投标文件应：</w:t>
      </w:r>
    </w:p>
    <w:p>
      <w:pPr>
        <w:spacing w:line="360" w:lineRule="auto"/>
        <w:ind w:firstLine="480" w:firstLineChars="200"/>
        <w:rPr>
          <w:bCs/>
          <w:color w:val="000000"/>
          <w:sz w:val="24"/>
          <w:szCs w:val="24"/>
        </w:rPr>
      </w:pPr>
      <w:r>
        <w:rPr>
          <w:rFonts w:hint="eastAsia"/>
          <w:bCs/>
          <w:color w:val="000000"/>
          <w:sz w:val="24"/>
          <w:szCs w:val="24"/>
        </w:rPr>
        <w:t>19.2.1注明投标人名称，如因标注不清而产生的后果由投标人自负。按招标公告中注明的地址送达；</w:t>
      </w:r>
    </w:p>
    <w:p>
      <w:pPr>
        <w:spacing w:line="360" w:lineRule="auto"/>
        <w:ind w:firstLine="480" w:firstLineChars="200"/>
        <w:rPr>
          <w:bCs/>
          <w:color w:val="000000"/>
          <w:sz w:val="24"/>
          <w:szCs w:val="24"/>
        </w:rPr>
      </w:pPr>
      <w:r>
        <w:rPr>
          <w:rFonts w:hint="eastAsia"/>
          <w:bCs/>
          <w:color w:val="000000"/>
          <w:sz w:val="24"/>
          <w:szCs w:val="24"/>
        </w:rPr>
        <w:t>19.2.2注明投标项目名称、标书编号及分包号。</w:t>
      </w:r>
    </w:p>
    <w:p>
      <w:pPr>
        <w:spacing w:line="360" w:lineRule="auto"/>
        <w:ind w:firstLine="480" w:firstLineChars="200"/>
        <w:rPr>
          <w:bCs/>
          <w:color w:val="000000"/>
          <w:sz w:val="24"/>
          <w:szCs w:val="24"/>
        </w:rPr>
      </w:pPr>
      <w:r>
        <w:rPr>
          <w:rFonts w:hint="eastAsia"/>
          <w:color w:val="000000"/>
          <w:sz w:val="24"/>
          <w:szCs w:val="24"/>
        </w:rPr>
        <w:t>19.2.3</w:t>
      </w:r>
      <w:r>
        <w:rPr>
          <w:rFonts w:hint="eastAsia"/>
          <w:bCs/>
          <w:color w:val="000000"/>
          <w:sz w:val="24"/>
          <w:szCs w:val="24"/>
        </w:rPr>
        <w:t>未按要求密封和加写标记，</w:t>
      </w:r>
      <w:r>
        <w:rPr>
          <w:rFonts w:hint="eastAsia"/>
          <w:color w:val="000000"/>
          <w:sz w:val="24"/>
          <w:szCs w:val="24"/>
        </w:rPr>
        <w:t>招标人或招标代理机构</w:t>
      </w:r>
      <w:r>
        <w:rPr>
          <w:rFonts w:hint="eastAsia"/>
          <w:bCs/>
          <w:color w:val="000000"/>
          <w:sz w:val="24"/>
          <w:szCs w:val="24"/>
        </w:rPr>
        <w:t>对误投或过早启封概不负责。对由此造成提前开封的投标文件，</w:t>
      </w:r>
      <w:r>
        <w:rPr>
          <w:rFonts w:hint="eastAsia"/>
          <w:color w:val="000000"/>
          <w:sz w:val="24"/>
          <w:szCs w:val="24"/>
        </w:rPr>
        <w:t>招标人或招标代理机构</w:t>
      </w:r>
      <w:r>
        <w:rPr>
          <w:rFonts w:hint="eastAsia"/>
          <w:bCs/>
          <w:color w:val="000000"/>
          <w:sz w:val="24"/>
          <w:szCs w:val="24"/>
        </w:rPr>
        <w:t>将予以拒绝，作无效投标处理。</w:t>
      </w:r>
    </w:p>
    <w:p>
      <w:pPr>
        <w:widowControl/>
        <w:shd w:val="clear" w:color="auto" w:fill="FFFFFF"/>
        <w:spacing w:line="360" w:lineRule="auto"/>
        <w:ind w:firstLine="482" w:firstLineChars="200"/>
        <w:rPr>
          <w:b/>
          <w:sz w:val="24"/>
          <w:szCs w:val="24"/>
        </w:rPr>
      </w:pPr>
      <w:r>
        <w:rPr>
          <w:rFonts w:hint="eastAsia"/>
          <w:b/>
          <w:sz w:val="24"/>
          <w:szCs w:val="24"/>
        </w:rPr>
        <w:t>20.投标截止日期</w:t>
      </w:r>
      <w:bookmarkEnd w:id="82"/>
      <w:bookmarkEnd w:id="83"/>
      <w:bookmarkEnd w:id="84"/>
    </w:p>
    <w:p>
      <w:pPr>
        <w:spacing w:line="360" w:lineRule="auto"/>
        <w:ind w:firstLine="480" w:firstLineChars="200"/>
        <w:rPr>
          <w:bCs/>
          <w:color w:val="000000"/>
          <w:sz w:val="24"/>
          <w:szCs w:val="24"/>
        </w:rPr>
      </w:pPr>
      <w:bookmarkStart w:id="85" w:name="_Toc16938543"/>
      <w:bookmarkStart w:id="86" w:name="_Toc20823299"/>
      <w:bookmarkStart w:id="87" w:name="_Toc513029227"/>
      <w:r>
        <w:rPr>
          <w:rFonts w:hint="eastAsia"/>
          <w:color w:val="000000"/>
          <w:sz w:val="24"/>
          <w:szCs w:val="24"/>
        </w:rPr>
        <w:t>20.1</w:t>
      </w:r>
      <w:r>
        <w:rPr>
          <w:rFonts w:hint="eastAsia"/>
          <w:bCs/>
          <w:color w:val="000000"/>
          <w:sz w:val="24"/>
          <w:szCs w:val="24"/>
        </w:rPr>
        <w:t xml:space="preserve"> 采购人收到投标文件的时间不得迟于招标公告中规定的截止时间。</w:t>
      </w:r>
    </w:p>
    <w:p>
      <w:pPr>
        <w:spacing w:line="360" w:lineRule="auto"/>
        <w:ind w:firstLine="480" w:firstLineChars="200"/>
        <w:rPr>
          <w:bCs/>
          <w:color w:val="000000"/>
          <w:sz w:val="24"/>
          <w:szCs w:val="24"/>
        </w:rPr>
      </w:pPr>
      <w:r>
        <w:rPr>
          <w:rFonts w:hint="eastAsia"/>
          <w:color w:val="000000"/>
          <w:sz w:val="24"/>
          <w:szCs w:val="24"/>
        </w:rPr>
        <w:t>20.2</w:t>
      </w:r>
      <w:r>
        <w:rPr>
          <w:rFonts w:hint="eastAsia"/>
          <w:bCs/>
          <w:color w:val="000000"/>
          <w:sz w:val="24"/>
          <w:szCs w:val="24"/>
        </w:rPr>
        <w:t xml:space="preserve"> 采购人有权通过修改招标文件酌情延长投标截止日期，在此情况下，投标人的所有权利和义务以及投标人受制的截止日期均应以延长后新的截止日期为准。</w:t>
      </w:r>
    </w:p>
    <w:p>
      <w:pPr>
        <w:widowControl/>
        <w:shd w:val="clear" w:color="auto" w:fill="FFFFFF"/>
        <w:spacing w:line="360" w:lineRule="auto"/>
        <w:ind w:firstLine="482" w:firstLineChars="200"/>
        <w:rPr>
          <w:b/>
          <w:sz w:val="24"/>
          <w:szCs w:val="24"/>
        </w:rPr>
      </w:pPr>
      <w:r>
        <w:rPr>
          <w:rFonts w:hint="eastAsia"/>
          <w:b/>
          <w:sz w:val="24"/>
          <w:szCs w:val="24"/>
        </w:rPr>
        <w:t>21.迟交的投标文件</w:t>
      </w:r>
      <w:bookmarkEnd w:id="85"/>
      <w:bookmarkEnd w:id="86"/>
      <w:bookmarkEnd w:id="87"/>
    </w:p>
    <w:p>
      <w:pPr>
        <w:spacing w:line="360" w:lineRule="auto"/>
        <w:ind w:firstLine="480" w:firstLineChars="200"/>
        <w:rPr>
          <w:bCs/>
          <w:color w:val="000000"/>
          <w:sz w:val="24"/>
          <w:szCs w:val="24"/>
        </w:rPr>
      </w:pPr>
      <w:r>
        <w:rPr>
          <w:rFonts w:hint="eastAsia"/>
          <w:color w:val="000000"/>
          <w:sz w:val="24"/>
          <w:szCs w:val="24"/>
        </w:rPr>
        <w:t>21.1</w:t>
      </w:r>
      <w:r>
        <w:rPr>
          <w:rFonts w:hint="eastAsia"/>
          <w:bCs/>
          <w:color w:val="000000"/>
          <w:sz w:val="24"/>
          <w:szCs w:val="24"/>
        </w:rPr>
        <w:t xml:space="preserve"> 采购人拒绝接收在其规定的投标截止时间后递交的任何投标文件。</w:t>
      </w:r>
    </w:p>
    <w:p>
      <w:pPr>
        <w:widowControl/>
        <w:shd w:val="clear" w:color="auto" w:fill="FFFFFF"/>
        <w:spacing w:line="360" w:lineRule="auto"/>
        <w:ind w:firstLine="482" w:firstLineChars="200"/>
        <w:rPr>
          <w:b/>
          <w:sz w:val="24"/>
          <w:szCs w:val="24"/>
        </w:rPr>
      </w:pPr>
      <w:bookmarkStart w:id="88" w:name="_Toc20823300"/>
      <w:bookmarkStart w:id="89" w:name="_Toc16938544"/>
      <w:bookmarkStart w:id="90" w:name="_Toc513029228"/>
      <w:r>
        <w:rPr>
          <w:rFonts w:hint="eastAsia"/>
          <w:b/>
          <w:sz w:val="24"/>
          <w:szCs w:val="24"/>
        </w:rPr>
        <w:t>22.投标文件的修改和撤回</w:t>
      </w:r>
      <w:bookmarkEnd w:id="88"/>
      <w:bookmarkEnd w:id="89"/>
      <w:bookmarkEnd w:id="90"/>
    </w:p>
    <w:p>
      <w:pPr>
        <w:spacing w:line="360" w:lineRule="auto"/>
        <w:ind w:firstLine="480" w:firstLineChars="200"/>
        <w:rPr>
          <w:color w:val="000000"/>
          <w:sz w:val="24"/>
          <w:szCs w:val="24"/>
        </w:rPr>
      </w:pPr>
      <w:bookmarkStart w:id="91" w:name="_Toc120614218"/>
      <w:bookmarkStart w:id="92" w:name="_Toc16938545"/>
      <w:bookmarkStart w:id="93" w:name="_Toc20823301"/>
      <w:bookmarkStart w:id="94" w:name="_Toc513029229"/>
      <w:r>
        <w:rPr>
          <w:rFonts w:hint="eastAsia"/>
          <w:color w:val="000000"/>
          <w:sz w:val="24"/>
          <w:szCs w:val="24"/>
        </w:rPr>
        <w:t>22.1</w:t>
      </w:r>
      <w:r>
        <w:rPr>
          <w:rFonts w:hint="eastAsia"/>
          <w:bCs/>
          <w:color w:val="000000"/>
          <w:sz w:val="24"/>
          <w:szCs w:val="24"/>
        </w:rPr>
        <w:t xml:space="preserve"> 投标人在发送投标文件后，可以修改其投标文件，但这种修改，必须在规定的投标截止时间前，须书面</w:t>
      </w:r>
      <w:r>
        <w:rPr>
          <w:rFonts w:hint="eastAsia"/>
          <w:color w:val="000000"/>
          <w:sz w:val="24"/>
          <w:szCs w:val="24"/>
        </w:rPr>
        <w:t>通知采购人，修改其投标文件重新发送。</w:t>
      </w:r>
    </w:p>
    <w:p>
      <w:pPr>
        <w:spacing w:line="360" w:lineRule="auto"/>
        <w:ind w:firstLine="480" w:firstLineChars="200"/>
        <w:rPr>
          <w:color w:val="000000"/>
          <w:sz w:val="24"/>
          <w:szCs w:val="24"/>
        </w:rPr>
      </w:pPr>
      <w:r>
        <w:rPr>
          <w:rFonts w:hint="eastAsia"/>
          <w:color w:val="000000"/>
          <w:sz w:val="24"/>
          <w:szCs w:val="24"/>
        </w:rPr>
        <w:t>22.2</w:t>
      </w:r>
      <w:r>
        <w:rPr>
          <w:rFonts w:hint="eastAsia"/>
          <w:bCs/>
          <w:color w:val="000000"/>
          <w:sz w:val="24"/>
          <w:szCs w:val="24"/>
        </w:rPr>
        <w:t xml:space="preserve"> 投标人的修改或撤回文件应按规定进行编制、密封、标记和发送，并应在封套上加注“修改”或“撤回”字样。</w:t>
      </w:r>
      <w:r>
        <w:rPr>
          <w:rFonts w:hint="eastAsia"/>
          <w:color w:val="000000"/>
          <w:sz w:val="24"/>
          <w:szCs w:val="24"/>
        </w:rPr>
        <w:t>上述补充或修改若涉及投标报价，必须注明“最后唯一报价”字样，否则将视为有选择的报价。修改文件必须在投标截止时间前送达招标人或招标代理机构。</w:t>
      </w:r>
    </w:p>
    <w:p>
      <w:pPr>
        <w:spacing w:line="360" w:lineRule="auto"/>
        <w:ind w:firstLine="480" w:firstLineChars="200"/>
        <w:rPr>
          <w:color w:val="000000"/>
          <w:sz w:val="24"/>
          <w:szCs w:val="24"/>
        </w:rPr>
      </w:pPr>
      <w:r>
        <w:rPr>
          <w:rFonts w:hint="eastAsia"/>
          <w:color w:val="000000"/>
          <w:sz w:val="24"/>
          <w:szCs w:val="24"/>
        </w:rPr>
        <w:t>22.3</w:t>
      </w:r>
      <w:r>
        <w:rPr>
          <w:rFonts w:hint="eastAsia"/>
          <w:bCs/>
          <w:color w:val="000000"/>
          <w:sz w:val="24"/>
          <w:szCs w:val="24"/>
        </w:rPr>
        <w:t xml:space="preserve"> 在投标截止时间之后，投标人不得对其投标文件作任何修改。</w:t>
      </w:r>
    </w:p>
    <w:p>
      <w:pPr>
        <w:widowControl/>
        <w:shd w:val="clear" w:color="auto" w:fill="FFFFFF"/>
        <w:spacing w:line="360" w:lineRule="auto"/>
        <w:ind w:firstLine="482" w:firstLineChars="200"/>
        <w:rPr>
          <w:b/>
          <w:sz w:val="24"/>
          <w:szCs w:val="24"/>
        </w:rPr>
      </w:pPr>
      <w:r>
        <w:rPr>
          <w:rFonts w:hint="eastAsia"/>
          <w:b/>
          <w:sz w:val="24"/>
          <w:szCs w:val="24"/>
        </w:rPr>
        <w:t>五、开标与评标</w:t>
      </w:r>
      <w:bookmarkEnd w:id="91"/>
      <w:bookmarkEnd w:id="92"/>
      <w:bookmarkEnd w:id="93"/>
      <w:bookmarkEnd w:id="94"/>
    </w:p>
    <w:p>
      <w:pPr>
        <w:widowControl/>
        <w:shd w:val="clear" w:color="auto" w:fill="FFFFFF"/>
        <w:spacing w:line="360" w:lineRule="auto"/>
        <w:ind w:firstLine="482" w:firstLineChars="200"/>
        <w:rPr>
          <w:b/>
          <w:sz w:val="24"/>
          <w:szCs w:val="24"/>
        </w:rPr>
      </w:pPr>
      <w:bookmarkStart w:id="95" w:name="_Toc20823302"/>
      <w:bookmarkStart w:id="96" w:name="_Toc16938546"/>
      <w:bookmarkStart w:id="97" w:name="_Toc513029230"/>
      <w:r>
        <w:rPr>
          <w:rFonts w:hint="eastAsia"/>
          <w:b/>
          <w:sz w:val="24"/>
          <w:szCs w:val="24"/>
        </w:rPr>
        <w:t>23.开标</w:t>
      </w:r>
      <w:bookmarkEnd w:id="95"/>
      <w:bookmarkEnd w:id="96"/>
      <w:bookmarkEnd w:id="97"/>
    </w:p>
    <w:p>
      <w:pPr>
        <w:spacing w:line="360" w:lineRule="auto"/>
        <w:ind w:firstLine="480" w:firstLineChars="200"/>
        <w:rPr>
          <w:color w:val="000000"/>
          <w:sz w:val="24"/>
          <w:szCs w:val="24"/>
        </w:rPr>
      </w:pPr>
      <w:bookmarkStart w:id="98" w:name="_Toc16938547"/>
      <w:bookmarkStart w:id="99" w:name="_Toc513029231"/>
      <w:bookmarkStart w:id="100" w:name="_Toc20823303"/>
      <w:r>
        <w:rPr>
          <w:rFonts w:hint="eastAsia"/>
          <w:color w:val="000000"/>
          <w:sz w:val="24"/>
          <w:szCs w:val="24"/>
        </w:rPr>
        <w:t>23.1</w:t>
      </w:r>
      <w:r>
        <w:rPr>
          <w:rFonts w:hint="eastAsia"/>
          <w:bCs/>
          <w:color w:val="000000"/>
          <w:sz w:val="24"/>
          <w:szCs w:val="24"/>
        </w:rPr>
        <w:t xml:space="preserve"> </w:t>
      </w:r>
      <w:r>
        <w:rPr>
          <w:rFonts w:hint="eastAsia"/>
          <w:color w:val="000000"/>
          <w:sz w:val="24"/>
          <w:szCs w:val="24"/>
        </w:rPr>
        <w:t>招标人或招标代理机构</w:t>
      </w:r>
      <w:r>
        <w:rPr>
          <w:rFonts w:hint="eastAsia"/>
          <w:bCs/>
          <w:color w:val="000000"/>
          <w:sz w:val="24"/>
          <w:szCs w:val="24"/>
        </w:rPr>
        <w:t>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360" w:lineRule="auto"/>
        <w:ind w:firstLine="480" w:firstLineChars="200"/>
        <w:rPr>
          <w:color w:val="000000"/>
          <w:sz w:val="24"/>
          <w:szCs w:val="24"/>
        </w:rPr>
      </w:pPr>
      <w:r>
        <w:rPr>
          <w:rFonts w:hint="eastAsia"/>
          <w:bCs/>
          <w:color w:val="000000"/>
          <w:sz w:val="24"/>
          <w:szCs w:val="24"/>
        </w:rPr>
        <w:t>23.2</w:t>
      </w:r>
      <w:r>
        <w:rPr>
          <w:rFonts w:hint="eastAsia"/>
          <w:color w:val="000000"/>
          <w:sz w:val="24"/>
          <w:szCs w:val="24"/>
        </w:rPr>
        <w:t>开标仪式由招标人或招标代理机构组织，招标人代表、公证员（必要时）、监管代表、投标人代表等参加。</w:t>
      </w:r>
    </w:p>
    <w:p>
      <w:pPr>
        <w:spacing w:line="360" w:lineRule="auto"/>
        <w:ind w:firstLine="480" w:firstLineChars="200"/>
        <w:rPr>
          <w:bCs/>
          <w:color w:val="000000"/>
          <w:sz w:val="24"/>
          <w:szCs w:val="24"/>
        </w:rPr>
      </w:pPr>
      <w:r>
        <w:rPr>
          <w:rFonts w:hint="eastAsia"/>
          <w:color w:val="000000"/>
          <w:sz w:val="24"/>
          <w:szCs w:val="24"/>
        </w:rPr>
        <w:t>23.3</w:t>
      </w:r>
      <w:r>
        <w:rPr>
          <w:rFonts w:hint="eastAsia"/>
          <w:b/>
          <w:color w:val="000000"/>
          <w:sz w:val="24"/>
          <w:szCs w:val="24"/>
        </w:rPr>
        <w:t xml:space="preserve"> </w:t>
      </w:r>
      <w:r>
        <w:rPr>
          <w:rFonts w:hint="eastAsia"/>
          <w:bCs/>
          <w:color w:val="000000"/>
          <w:sz w:val="24"/>
          <w:szCs w:val="24"/>
        </w:rPr>
        <w:t>按照规定同意撤回的投标将不予开封。</w:t>
      </w:r>
    </w:p>
    <w:p>
      <w:pPr>
        <w:spacing w:line="360" w:lineRule="auto"/>
        <w:ind w:firstLine="480" w:firstLineChars="200"/>
        <w:rPr>
          <w:color w:val="000000"/>
          <w:sz w:val="24"/>
          <w:szCs w:val="24"/>
        </w:rPr>
      </w:pPr>
      <w:r>
        <w:rPr>
          <w:rFonts w:hint="eastAsia"/>
          <w:color w:val="000000"/>
          <w:sz w:val="24"/>
          <w:szCs w:val="24"/>
        </w:rPr>
        <w:t>23.4 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p>
    <w:p>
      <w:pPr>
        <w:spacing w:line="360" w:lineRule="auto"/>
        <w:ind w:firstLine="480" w:firstLineChars="200"/>
        <w:rPr>
          <w:color w:val="000000"/>
          <w:sz w:val="24"/>
          <w:szCs w:val="24"/>
        </w:rPr>
      </w:pPr>
      <w:r>
        <w:rPr>
          <w:rFonts w:hint="eastAsia"/>
          <w:color w:val="000000"/>
          <w:sz w:val="24"/>
          <w:szCs w:val="24"/>
        </w:rPr>
        <w:t>23.5 招标人或招标代理机构将指定专人负责开标记录并存档备查。</w:t>
      </w:r>
    </w:p>
    <w:p>
      <w:pPr>
        <w:spacing w:line="360" w:lineRule="auto"/>
        <w:ind w:firstLine="482" w:firstLineChars="200"/>
        <w:rPr>
          <w:b/>
          <w:bCs/>
          <w:sz w:val="24"/>
          <w:szCs w:val="24"/>
        </w:rPr>
      </w:pPr>
      <w:r>
        <w:rPr>
          <w:rFonts w:hint="eastAsia"/>
          <w:b/>
          <w:bCs/>
          <w:sz w:val="24"/>
          <w:szCs w:val="24"/>
        </w:rPr>
        <w:t>23.6 投标人在报价时不允许采用选择性报价，否则将被视为无效投标。</w:t>
      </w:r>
    </w:p>
    <w:p>
      <w:pPr>
        <w:widowControl/>
        <w:shd w:val="clear" w:color="auto" w:fill="FFFFFF"/>
        <w:spacing w:line="360" w:lineRule="auto"/>
        <w:ind w:firstLine="482" w:firstLineChars="200"/>
        <w:rPr>
          <w:b/>
          <w:sz w:val="24"/>
          <w:szCs w:val="24"/>
        </w:rPr>
      </w:pPr>
      <w:r>
        <w:rPr>
          <w:rFonts w:hint="eastAsia"/>
          <w:b/>
          <w:sz w:val="24"/>
          <w:szCs w:val="24"/>
        </w:rPr>
        <w:t>24.资格审查</w:t>
      </w:r>
    </w:p>
    <w:p>
      <w:pPr>
        <w:spacing w:line="360" w:lineRule="auto"/>
        <w:ind w:firstLine="480" w:firstLineChars="200"/>
        <w:rPr>
          <w:bCs/>
          <w:color w:val="000000"/>
          <w:sz w:val="24"/>
          <w:szCs w:val="24"/>
        </w:rPr>
      </w:pPr>
      <w:r>
        <w:rPr>
          <w:rFonts w:hint="eastAsia"/>
          <w:color w:val="000000"/>
          <w:sz w:val="24"/>
          <w:szCs w:val="24"/>
        </w:rPr>
        <w:t>24.1</w:t>
      </w:r>
      <w:r>
        <w:rPr>
          <w:rFonts w:hint="eastAsia"/>
          <w:bCs/>
          <w:color w:val="000000"/>
          <w:sz w:val="24"/>
          <w:szCs w:val="24"/>
        </w:rPr>
        <w:t>依据法律法规和招标文件的约定，</w:t>
      </w:r>
      <w:r>
        <w:rPr>
          <w:bCs/>
          <w:color w:val="000000"/>
          <w:sz w:val="24"/>
          <w:szCs w:val="24"/>
        </w:rPr>
        <w:t>开标结束后，</w:t>
      </w:r>
      <w:r>
        <w:rPr>
          <w:rFonts w:hint="eastAsia"/>
          <w:bCs/>
          <w:color w:val="000000"/>
          <w:sz w:val="24"/>
          <w:szCs w:val="24"/>
        </w:rPr>
        <w:t>由采购人对投标文件中的资格证明文件进行审查。资格审查的结论，采购人以书面形式向评委会进行反馈。未通过资格审查的投标人，由采购人告知未通过资格审查的原因。</w:t>
      </w:r>
    </w:p>
    <w:p>
      <w:pPr>
        <w:spacing w:line="360" w:lineRule="auto"/>
        <w:ind w:firstLine="480" w:firstLineChars="200"/>
        <w:rPr>
          <w:bCs/>
          <w:color w:val="000000"/>
          <w:sz w:val="24"/>
          <w:szCs w:val="24"/>
        </w:rPr>
      </w:pPr>
      <w:r>
        <w:rPr>
          <w:rFonts w:hint="eastAsia"/>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80" w:firstLineChars="200"/>
        <w:textAlignment w:val="baseline"/>
        <w:rPr>
          <w:color w:val="000000"/>
          <w:sz w:val="24"/>
          <w:szCs w:val="24"/>
        </w:rPr>
      </w:pPr>
      <w:r>
        <w:rPr>
          <w:color w:val="000000"/>
          <w:sz w:val="24"/>
          <w:szCs w:val="24"/>
        </w:rPr>
        <w:t>合格投标人不足3家的，不得评标。</w:t>
      </w:r>
    </w:p>
    <w:p>
      <w:pPr>
        <w:widowControl/>
        <w:shd w:val="clear" w:color="auto" w:fill="FFFFFF"/>
        <w:spacing w:line="360" w:lineRule="auto"/>
        <w:ind w:firstLine="482" w:firstLineChars="200"/>
        <w:rPr>
          <w:b/>
          <w:sz w:val="24"/>
          <w:szCs w:val="24"/>
        </w:rPr>
      </w:pPr>
      <w:r>
        <w:rPr>
          <w:rFonts w:hint="eastAsia"/>
          <w:b/>
          <w:sz w:val="24"/>
          <w:szCs w:val="24"/>
        </w:rPr>
        <w:t>25、评标委员会</w:t>
      </w:r>
    </w:p>
    <w:p>
      <w:pPr>
        <w:spacing w:line="360" w:lineRule="auto"/>
        <w:ind w:firstLine="480" w:firstLineChars="200"/>
        <w:rPr>
          <w:b/>
          <w:color w:val="000000"/>
          <w:sz w:val="24"/>
          <w:szCs w:val="24"/>
        </w:rPr>
      </w:pPr>
      <w:r>
        <w:rPr>
          <w:rFonts w:hint="eastAsia"/>
          <w:color w:val="000000"/>
          <w:sz w:val="24"/>
          <w:szCs w:val="24"/>
        </w:rPr>
        <w:t>25.1</w:t>
      </w:r>
      <w:r>
        <w:rPr>
          <w:rFonts w:hint="eastAsia"/>
          <w:b/>
          <w:color w:val="000000"/>
          <w:sz w:val="24"/>
          <w:szCs w:val="24"/>
        </w:rPr>
        <w:t xml:space="preserve"> </w:t>
      </w:r>
      <w:r>
        <w:rPr>
          <w:rFonts w:hint="eastAsia"/>
          <w:color w:val="000000"/>
          <w:sz w:val="24"/>
          <w:szCs w:val="24"/>
        </w:rPr>
        <w:t>资格审查通过后，采购人将组织评标委员会（以下简称评委会）进行评标。</w:t>
      </w:r>
    </w:p>
    <w:p>
      <w:pPr>
        <w:spacing w:line="360" w:lineRule="auto"/>
        <w:ind w:firstLine="480" w:firstLineChars="200"/>
        <w:rPr>
          <w:color w:val="000000"/>
          <w:sz w:val="24"/>
          <w:szCs w:val="24"/>
        </w:rPr>
      </w:pPr>
      <w:r>
        <w:rPr>
          <w:rFonts w:hint="eastAsia"/>
          <w:color w:val="000000"/>
          <w:sz w:val="24"/>
          <w:szCs w:val="24"/>
        </w:rPr>
        <w:t>25.2 评委会由采购人代表和评审专家组成，且人员构成符合政府采购有关规定。</w:t>
      </w:r>
    </w:p>
    <w:p>
      <w:pPr>
        <w:spacing w:line="360" w:lineRule="auto"/>
        <w:ind w:firstLine="480" w:firstLineChars="200"/>
        <w:rPr>
          <w:color w:val="000000"/>
          <w:sz w:val="24"/>
          <w:szCs w:val="24"/>
        </w:rPr>
      </w:pPr>
      <w:r>
        <w:rPr>
          <w:rFonts w:hint="eastAsia"/>
          <w:color w:val="000000"/>
          <w:sz w:val="24"/>
          <w:szCs w:val="24"/>
        </w:rPr>
        <w:t>25.3评委会独立工作，负责评审所有投标文件并确定中标候选人。</w:t>
      </w:r>
    </w:p>
    <w:p>
      <w:pPr>
        <w:widowControl/>
        <w:shd w:val="clear" w:color="auto" w:fill="FFFFFF"/>
        <w:spacing w:line="360" w:lineRule="auto"/>
        <w:ind w:firstLine="482" w:firstLineChars="200"/>
        <w:rPr>
          <w:b/>
          <w:sz w:val="24"/>
          <w:szCs w:val="24"/>
        </w:rPr>
      </w:pPr>
      <w:r>
        <w:rPr>
          <w:rFonts w:hint="eastAsia"/>
          <w:b/>
          <w:sz w:val="24"/>
          <w:szCs w:val="24"/>
        </w:rPr>
        <w:t>26.评标过程的保密与公正</w:t>
      </w:r>
      <w:bookmarkEnd w:id="98"/>
      <w:bookmarkEnd w:id="99"/>
      <w:bookmarkEnd w:id="100"/>
    </w:p>
    <w:p>
      <w:pPr>
        <w:spacing w:line="360" w:lineRule="auto"/>
        <w:ind w:firstLine="480" w:firstLineChars="200"/>
        <w:rPr>
          <w:bCs/>
          <w:color w:val="000000"/>
          <w:sz w:val="24"/>
          <w:szCs w:val="24"/>
        </w:rPr>
      </w:pPr>
      <w:r>
        <w:rPr>
          <w:rFonts w:hint="eastAsia"/>
          <w:color w:val="000000"/>
          <w:sz w:val="24"/>
          <w:szCs w:val="24"/>
        </w:rPr>
        <w:t>26.1</w:t>
      </w:r>
      <w:r>
        <w:rPr>
          <w:rFonts w:hint="eastAsia"/>
          <w:bCs/>
          <w:color w:val="000000"/>
          <w:sz w:val="24"/>
          <w:szCs w:val="24"/>
        </w:rPr>
        <w:t>公开开标后，直至签订合同之日止，凡是与审查、澄清、评价和比较投标的有关资料以及授标建议等，采购人、评委、代理机构均不得向投标人或与评标无关的其他人员透露。</w:t>
      </w:r>
    </w:p>
    <w:p>
      <w:pPr>
        <w:spacing w:line="360" w:lineRule="auto"/>
        <w:ind w:firstLine="480" w:firstLineChars="200"/>
        <w:rPr>
          <w:color w:val="000000"/>
          <w:sz w:val="24"/>
          <w:szCs w:val="24"/>
        </w:rPr>
      </w:pPr>
      <w:r>
        <w:rPr>
          <w:rFonts w:hint="eastAsia"/>
          <w:color w:val="000000"/>
          <w:sz w:val="24"/>
          <w:szCs w:val="24"/>
        </w:rPr>
        <w:t>26.2在评标过程中，投标人不得以任何行为影响评标过程，否则其投标文件将被作为无效投标文件。</w:t>
      </w:r>
    </w:p>
    <w:p>
      <w:pPr>
        <w:spacing w:line="360" w:lineRule="auto"/>
        <w:ind w:firstLine="480" w:firstLineChars="200"/>
        <w:rPr>
          <w:color w:val="000000"/>
          <w:sz w:val="24"/>
          <w:szCs w:val="24"/>
        </w:rPr>
      </w:pPr>
      <w:r>
        <w:rPr>
          <w:rFonts w:hint="eastAsia"/>
          <w:color w:val="000000"/>
          <w:sz w:val="24"/>
          <w:szCs w:val="24"/>
        </w:rPr>
        <w:t>26.3在评标期间，采购人将设专门人员与投标人联系。</w:t>
      </w:r>
    </w:p>
    <w:p>
      <w:pPr>
        <w:spacing w:line="360" w:lineRule="auto"/>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360" w:lineRule="auto"/>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采用综合评分法的项目，未中标的投标人如需了解自己的评审得分及排序情况，可向采购人或采购代理机构提出申请。</w:t>
      </w:r>
    </w:p>
    <w:p>
      <w:pPr>
        <w:widowControl/>
        <w:shd w:val="clear" w:color="auto" w:fill="FFFFFF"/>
        <w:spacing w:line="360" w:lineRule="auto"/>
        <w:ind w:firstLine="482" w:firstLineChars="200"/>
        <w:rPr>
          <w:b/>
          <w:sz w:val="24"/>
          <w:szCs w:val="24"/>
        </w:rPr>
      </w:pPr>
      <w:bookmarkStart w:id="101" w:name="_Toc513029232"/>
      <w:bookmarkStart w:id="102" w:name="_Toc20823304"/>
      <w:bookmarkStart w:id="103" w:name="_Toc16938548"/>
      <w:r>
        <w:rPr>
          <w:rFonts w:hint="eastAsia"/>
          <w:b/>
          <w:sz w:val="24"/>
          <w:szCs w:val="24"/>
        </w:rPr>
        <w:t>27.投标的澄清</w:t>
      </w:r>
      <w:bookmarkEnd w:id="101"/>
      <w:bookmarkEnd w:id="102"/>
      <w:bookmarkEnd w:id="103"/>
    </w:p>
    <w:p>
      <w:pPr>
        <w:spacing w:line="360" w:lineRule="auto"/>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360" w:lineRule="auto"/>
        <w:ind w:firstLine="480" w:firstLineChars="200"/>
        <w:rPr>
          <w:color w:val="000000"/>
          <w:sz w:val="24"/>
          <w:szCs w:val="24"/>
        </w:rPr>
      </w:pPr>
      <w:r>
        <w:rPr>
          <w:rFonts w:hint="eastAsia"/>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360" w:lineRule="auto"/>
        <w:ind w:firstLine="480" w:firstLineChars="200"/>
        <w:rPr>
          <w:color w:val="000000"/>
          <w:sz w:val="24"/>
          <w:szCs w:val="24"/>
        </w:rPr>
      </w:pPr>
      <w:r>
        <w:rPr>
          <w:rFonts w:hint="eastAsia"/>
          <w:color w:val="000000"/>
          <w:sz w:val="24"/>
          <w:szCs w:val="24"/>
        </w:rPr>
        <w:t>27.3 接到评委会澄清要求的投标人如未按规定做出澄清，其风险由投标人自行承担。</w:t>
      </w:r>
    </w:p>
    <w:p>
      <w:pPr>
        <w:widowControl/>
        <w:shd w:val="clear" w:color="auto" w:fill="FFFFFF"/>
        <w:spacing w:line="360" w:lineRule="auto"/>
        <w:ind w:firstLine="482" w:firstLineChars="200"/>
        <w:rPr>
          <w:b/>
          <w:sz w:val="24"/>
          <w:szCs w:val="24"/>
        </w:rPr>
      </w:pPr>
      <w:bookmarkStart w:id="104" w:name="_Toc16938549"/>
      <w:bookmarkStart w:id="105" w:name="_Toc513029233"/>
      <w:bookmarkStart w:id="106" w:name="_Toc20823305"/>
      <w:r>
        <w:rPr>
          <w:rFonts w:hint="eastAsia"/>
          <w:b/>
          <w:sz w:val="24"/>
          <w:szCs w:val="24"/>
        </w:rPr>
        <w:t>28.对投标文件的评审</w:t>
      </w:r>
      <w:bookmarkEnd w:id="104"/>
      <w:bookmarkEnd w:id="105"/>
      <w:bookmarkEnd w:id="106"/>
    </w:p>
    <w:p>
      <w:pPr>
        <w:spacing w:line="360" w:lineRule="auto"/>
        <w:ind w:firstLine="480" w:firstLineChars="200"/>
        <w:rPr>
          <w:bCs/>
          <w:color w:val="000000"/>
          <w:sz w:val="24"/>
          <w:szCs w:val="24"/>
        </w:rPr>
      </w:pPr>
      <w:r>
        <w:rPr>
          <w:rFonts w:hint="eastAsia"/>
          <w:color w:val="000000"/>
          <w:sz w:val="24"/>
          <w:szCs w:val="24"/>
        </w:rPr>
        <w:t>28.1</w:t>
      </w:r>
      <w:r>
        <w:rPr>
          <w:rFonts w:hint="eastAsia"/>
          <w:bCs/>
          <w:color w:val="000000"/>
          <w:sz w:val="24"/>
          <w:szCs w:val="24"/>
        </w:rPr>
        <w:t>符合性检查：依据招标文件的规定，从投标文件的有效性、完整性和对招标文件的响应程度进行审查，以确定是否对招标文件的实质性要求作出响应。</w:t>
      </w:r>
    </w:p>
    <w:p>
      <w:pPr>
        <w:spacing w:line="360" w:lineRule="auto"/>
        <w:ind w:firstLine="480" w:firstLineChars="200"/>
        <w:rPr>
          <w:color w:val="000000"/>
          <w:sz w:val="24"/>
          <w:szCs w:val="24"/>
        </w:rPr>
      </w:pPr>
      <w:r>
        <w:rPr>
          <w:rFonts w:hint="eastAsia"/>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80" w:firstLineChars="200"/>
        <w:rPr>
          <w:bCs/>
          <w:color w:val="000000"/>
          <w:sz w:val="24"/>
          <w:szCs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szCs w:val="24"/>
        </w:rPr>
        <w:t>评委决定投标文件的响应性只根据投标文件本身的内容，而不寻求外部的证据。</w:t>
      </w:r>
    </w:p>
    <w:p>
      <w:pPr>
        <w:spacing w:line="360" w:lineRule="auto"/>
        <w:ind w:firstLine="480" w:firstLineChars="200"/>
        <w:rPr>
          <w:bCs/>
          <w:color w:val="000000"/>
          <w:sz w:val="24"/>
          <w:szCs w:val="24"/>
        </w:rPr>
      </w:pPr>
      <w:r>
        <w:rPr>
          <w:rFonts w:hint="eastAsia"/>
          <w:color w:val="000000"/>
          <w:sz w:val="24"/>
          <w:szCs w:val="24"/>
        </w:rPr>
        <w:t>28.3</w:t>
      </w:r>
      <w:r>
        <w:rPr>
          <w:rFonts w:hint="eastAsia"/>
          <w:bCs/>
          <w:color w:val="000000"/>
          <w:sz w:val="24"/>
          <w:szCs w:val="24"/>
        </w:rPr>
        <w:t>如果投标文件实质上没有响应招标文件的要求，评委会将按无效投标处理，投标人不得通过修改或撤销不合要求的偏离或保留而使其投标成为实质性响应的投标。</w:t>
      </w:r>
    </w:p>
    <w:p>
      <w:pPr>
        <w:spacing w:line="360" w:lineRule="auto"/>
        <w:ind w:firstLine="480" w:firstLineChars="200"/>
        <w:rPr>
          <w:bCs/>
          <w:color w:val="000000"/>
          <w:sz w:val="24"/>
          <w:szCs w:val="24"/>
        </w:rPr>
      </w:pPr>
      <w:r>
        <w:rPr>
          <w:rFonts w:hint="eastAsia"/>
          <w:bCs/>
          <w:color w:val="000000"/>
          <w:sz w:val="24"/>
          <w:szCs w:val="24"/>
        </w:rPr>
        <w:t>28.4评委会将对确定为实质性响应的投标进行进一步审核，看其是否有计算上或累加上的算术错误，修正错误的原则如下：</w:t>
      </w:r>
    </w:p>
    <w:p>
      <w:pPr>
        <w:spacing w:line="360" w:lineRule="auto"/>
        <w:ind w:firstLine="480" w:firstLineChars="200"/>
        <w:rPr>
          <w:bCs/>
          <w:color w:val="000000"/>
          <w:sz w:val="24"/>
          <w:szCs w:val="24"/>
        </w:rPr>
      </w:pPr>
      <w:r>
        <w:rPr>
          <w:rFonts w:hint="eastAsia"/>
          <w:bCs/>
          <w:color w:val="000000"/>
          <w:sz w:val="24"/>
          <w:szCs w:val="24"/>
        </w:rPr>
        <w:t>（1）投标文件中开标一览表内容与投标文件中相应内容不一致的，以开标一览表为准。</w:t>
      </w:r>
    </w:p>
    <w:p>
      <w:pPr>
        <w:spacing w:line="360" w:lineRule="auto"/>
        <w:ind w:firstLine="480" w:firstLineChars="200"/>
        <w:rPr>
          <w:bCs/>
          <w:color w:val="000000"/>
          <w:sz w:val="24"/>
          <w:szCs w:val="24"/>
        </w:rPr>
      </w:pPr>
      <w:r>
        <w:rPr>
          <w:rFonts w:hint="eastAsia"/>
          <w:bCs/>
          <w:color w:val="000000"/>
          <w:sz w:val="24"/>
          <w:szCs w:val="24"/>
        </w:rPr>
        <w:t>（2）大写金额和小写金额不一致的，以大写金额为准。</w:t>
      </w:r>
    </w:p>
    <w:p>
      <w:pPr>
        <w:spacing w:line="360" w:lineRule="auto"/>
        <w:ind w:firstLine="480" w:firstLineChars="200"/>
        <w:rPr>
          <w:bCs/>
          <w:color w:val="000000"/>
          <w:sz w:val="24"/>
          <w:szCs w:val="24"/>
        </w:rPr>
      </w:pPr>
      <w:r>
        <w:rPr>
          <w:rFonts w:hint="eastAsia"/>
          <w:bCs/>
          <w:color w:val="000000"/>
          <w:sz w:val="24"/>
          <w:szCs w:val="24"/>
        </w:rPr>
        <w:t>（3）单价金额小数点或者百分比有明显错位的，以开标一览表的总价为准，并修改单价。</w:t>
      </w:r>
    </w:p>
    <w:p>
      <w:pPr>
        <w:spacing w:line="360" w:lineRule="auto"/>
        <w:ind w:firstLine="480" w:firstLineChars="200"/>
        <w:rPr>
          <w:bCs/>
          <w:color w:val="000000"/>
          <w:sz w:val="24"/>
          <w:szCs w:val="24"/>
        </w:rPr>
      </w:pPr>
      <w:r>
        <w:rPr>
          <w:rFonts w:hint="eastAsia"/>
          <w:bCs/>
          <w:color w:val="000000"/>
          <w:sz w:val="24"/>
          <w:szCs w:val="24"/>
        </w:rPr>
        <w:t>（4）总价金额与按单价汇总金额不一致的，以单价金额计算结果为准。</w:t>
      </w:r>
    </w:p>
    <w:p>
      <w:pPr>
        <w:spacing w:line="360" w:lineRule="auto"/>
        <w:ind w:firstLine="480" w:firstLineChars="200"/>
        <w:rPr>
          <w:bCs/>
          <w:color w:val="000000"/>
          <w:sz w:val="24"/>
          <w:szCs w:val="24"/>
        </w:rPr>
      </w:pPr>
      <w:r>
        <w:rPr>
          <w:rFonts w:hint="eastAsia"/>
          <w:bCs/>
          <w:color w:val="000000"/>
          <w:sz w:val="24"/>
          <w:szCs w:val="24"/>
        </w:rPr>
        <w:t>同时出现两种以上错误的，按照前款规定的顺序修正。</w:t>
      </w:r>
    </w:p>
    <w:p>
      <w:pPr>
        <w:spacing w:line="360" w:lineRule="auto"/>
        <w:ind w:firstLine="480" w:firstLineChars="200"/>
        <w:rPr>
          <w:bCs/>
          <w:color w:val="000000"/>
          <w:sz w:val="24"/>
          <w:szCs w:val="24"/>
        </w:rPr>
      </w:pPr>
      <w:r>
        <w:rPr>
          <w:rFonts w:hint="eastAsia"/>
          <w:color w:val="000000"/>
          <w:sz w:val="24"/>
          <w:szCs w:val="24"/>
        </w:rPr>
        <w:t>28.5</w:t>
      </w:r>
      <w:r>
        <w:rPr>
          <w:rFonts w:hint="eastAsia"/>
          <w:bCs/>
          <w:color w:val="000000"/>
          <w:sz w:val="24"/>
          <w:szCs w:val="24"/>
        </w:rPr>
        <w:t>评委会将按上述修正错误的方法调整投标文件中的投标报价，调整后的价格应对投标人具有约束力。如果投标人不接受修正后的价格，则其投标将被拒绝。</w:t>
      </w:r>
    </w:p>
    <w:p>
      <w:pPr>
        <w:spacing w:line="360" w:lineRule="auto"/>
        <w:ind w:firstLine="480" w:firstLineChars="200"/>
        <w:rPr>
          <w:bCs/>
          <w:color w:val="000000"/>
          <w:sz w:val="24"/>
          <w:szCs w:val="24"/>
        </w:rPr>
      </w:pPr>
      <w:r>
        <w:rPr>
          <w:rFonts w:hint="eastAsia"/>
          <w:bCs/>
          <w:color w:val="000000"/>
          <w:sz w:val="24"/>
          <w:szCs w:val="24"/>
        </w:rPr>
        <w:t>28.6评委会将允许修正投标文件中不构成重大偏离的、微小的、非正规的、不一致的或不规则的地方，但这些修改不能影响任何投标人相应的名次排列。</w:t>
      </w:r>
    </w:p>
    <w:p>
      <w:pPr>
        <w:spacing w:line="360" w:lineRule="auto"/>
        <w:ind w:firstLine="480" w:firstLineChars="200"/>
        <w:rPr>
          <w:color w:val="000000"/>
          <w:sz w:val="24"/>
          <w:szCs w:val="24"/>
        </w:rPr>
      </w:pPr>
      <w:r>
        <w:rPr>
          <w:rFonts w:hint="eastAsia"/>
          <w:color w:val="000000"/>
          <w:sz w:val="24"/>
          <w:szCs w:val="24"/>
        </w:rPr>
        <w:t>28.7</w:t>
      </w:r>
      <w:r>
        <w:rPr>
          <w:color w:val="000000"/>
          <w:sz w:val="24"/>
          <w:szCs w:val="24"/>
        </w:rPr>
        <w:t xml:space="preserve"> </w:t>
      </w:r>
      <w:r>
        <w:rPr>
          <w:b/>
          <w:color w:val="000000"/>
          <w:sz w:val="24"/>
          <w:szCs w:val="24"/>
        </w:rPr>
        <w:t>使用综合评分法的采购项目，</w:t>
      </w:r>
      <w:r>
        <w:rPr>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shd w:val="clear" w:color="auto" w:fill="FFFFFF"/>
        <w:spacing w:line="360" w:lineRule="auto"/>
        <w:ind w:firstLine="482" w:firstLineChars="200"/>
        <w:rPr>
          <w:b/>
          <w:sz w:val="24"/>
          <w:szCs w:val="24"/>
        </w:rPr>
      </w:pPr>
      <w:bookmarkStart w:id="107" w:name="_Toc16938550"/>
      <w:bookmarkStart w:id="108" w:name="_Toc513029234"/>
      <w:bookmarkStart w:id="109" w:name="_Toc20823306"/>
      <w:r>
        <w:rPr>
          <w:rFonts w:hint="eastAsia"/>
          <w:b/>
          <w:sz w:val="24"/>
          <w:szCs w:val="24"/>
        </w:rPr>
        <w:t>29.</w:t>
      </w:r>
      <w:bookmarkEnd w:id="107"/>
      <w:bookmarkEnd w:id="108"/>
      <w:bookmarkEnd w:id="109"/>
      <w:r>
        <w:rPr>
          <w:rFonts w:hint="eastAsia"/>
          <w:b/>
          <w:sz w:val="24"/>
          <w:szCs w:val="24"/>
        </w:rPr>
        <w:t>无效投标条款和废标条款</w:t>
      </w:r>
    </w:p>
    <w:p>
      <w:pPr>
        <w:spacing w:line="360" w:lineRule="auto"/>
        <w:ind w:firstLine="480" w:firstLineChars="200"/>
        <w:rPr>
          <w:bCs/>
          <w:color w:val="000000"/>
          <w:sz w:val="24"/>
          <w:szCs w:val="24"/>
        </w:rPr>
      </w:pPr>
      <w:bookmarkStart w:id="110" w:name="_Toc16938551"/>
      <w:bookmarkStart w:id="111" w:name="_Toc513029235"/>
      <w:bookmarkStart w:id="112" w:name="_Toc20823307"/>
      <w:r>
        <w:rPr>
          <w:rFonts w:hint="eastAsia"/>
          <w:bCs/>
          <w:color w:val="000000"/>
          <w:sz w:val="24"/>
          <w:szCs w:val="24"/>
        </w:rPr>
        <w:t>29.1无效投标条款</w:t>
      </w:r>
    </w:p>
    <w:p>
      <w:pPr>
        <w:spacing w:line="360" w:lineRule="auto"/>
        <w:ind w:firstLine="480" w:firstLineChars="200"/>
        <w:rPr>
          <w:bCs/>
          <w:color w:val="000000"/>
          <w:sz w:val="24"/>
          <w:szCs w:val="24"/>
        </w:rPr>
      </w:pPr>
      <w:r>
        <w:rPr>
          <w:rFonts w:hint="eastAsia"/>
          <w:bCs/>
          <w:color w:val="000000"/>
          <w:sz w:val="24"/>
          <w:szCs w:val="24"/>
        </w:rPr>
        <w:t>29.1.1未按照招标文件规定要求签署、盖章的；</w:t>
      </w:r>
    </w:p>
    <w:p>
      <w:pPr>
        <w:spacing w:line="360" w:lineRule="auto"/>
        <w:ind w:firstLine="480" w:firstLineChars="200"/>
        <w:rPr>
          <w:bCs/>
          <w:color w:val="000000"/>
          <w:sz w:val="24"/>
          <w:szCs w:val="24"/>
        </w:rPr>
      </w:pPr>
      <w:r>
        <w:rPr>
          <w:rFonts w:hint="eastAsia"/>
          <w:bCs/>
          <w:color w:val="000000"/>
          <w:sz w:val="24"/>
          <w:szCs w:val="24"/>
        </w:rPr>
        <w:t>29.1.2投标人在报价时采用选择性报价；</w:t>
      </w:r>
    </w:p>
    <w:p>
      <w:pPr>
        <w:spacing w:line="360" w:lineRule="auto"/>
        <w:ind w:firstLine="480" w:firstLineChars="200"/>
        <w:rPr>
          <w:bCs/>
          <w:color w:val="000000"/>
          <w:sz w:val="24"/>
          <w:szCs w:val="24"/>
        </w:rPr>
      </w:pPr>
      <w:r>
        <w:rPr>
          <w:rFonts w:hint="eastAsia"/>
          <w:bCs/>
          <w:color w:val="000000"/>
          <w:sz w:val="24"/>
          <w:szCs w:val="24"/>
        </w:rPr>
        <w:t>29.1.3投标人不具备招标文件中规定资格要求的；</w:t>
      </w:r>
    </w:p>
    <w:p>
      <w:pPr>
        <w:spacing w:line="360" w:lineRule="auto"/>
        <w:ind w:firstLine="480" w:firstLineChars="200"/>
        <w:rPr>
          <w:bCs/>
          <w:color w:val="000000"/>
          <w:sz w:val="24"/>
          <w:szCs w:val="24"/>
        </w:rPr>
      </w:pPr>
      <w:r>
        <w:rPr>
          <w:rFonts w:hint="eastAsia"/>
          <w:bCs/>
          <w:color w:val="000000"/>
          <w:sz w:val="24"/>
          <w:szCs w:val="24"/>
        </w:rPr>
        <w:t>29.1.4投标人的报价超过了采购预算或最高限价的；</w:t>
      </w:r>
    </w:p>
    <w:p>
      <w:pPr>
        <w:spacing w:line="360" w:lineRule="auto"/>
        <w:ind w:firstLine="480" w:firstLineChars="200"/>
        <w:rPr>
          <w:bCs/>
          <w:i/>
          <w:color w:val="000000"/>
          <w:sz w:val="24"/>
          <w:szCs w:val="24"/>
          <w:u w:val="single"/>
        </w:rPr>
      </w:pPr>
      <w:r>
        <w:rPr>
          <w:rFonts w:hint="eastAsia"/>
          <w:bCs/>
          <w:color w:val="000000"/>
          <w:sz w:val="24"/>
          <w:szCs w:val="24"/>
        </w:rPr>
        <w:t>29.1.5未通过符合性检查的；</w:t>
      </w:r>
    </w:p>
    <w:p>
      <w:pPr>
        <w:spacing w:line="360" w:lineRule="auto"/>
        <w:ind w:firstLine="480" w:firstLineChars="200"/>
        <w:rPr>
          <w:bCs/>
          <w:color w:val="000000"/>
          <w:sz w:val="24"/>
          <w:szCs w:val="24"/>
        </w:rPr>
      </w:pPr>
      <w:r>
        <w:rPr>
          <w:rFonts w:hint="eastAsia"/>
          <w:bCs/>
          <w:color w:val="000000"/>
          <w:sz w:val="24"/>
          <w:szCs w:val="24"/>
        </w:rPr>
        <w:t>29.1.6不符合招标文件中规定的其他实质性要求和条件的；</w:t>
      </w:r>
    </w:p>
    <w:p>
      <w:pPr>
        <w:spacing w:line="360" w:lineRule="auto"/>
        <w:ind w:firstLine="480" w:firstLineChars="200"/>
        <w:rPr>
          <w:bCs/>
          <w:color w:val="000000"/>
          <w:sz w:val="24"/>
          <w:szCs w:val="24"/>
        </w:rPr>
      </w:pPr>
      <w:r>
        <w:rPr>
          <w:rFonts w:hint="eastAsia"/>
          <w:bCs/>
          <w:color w:val="000000"/>
          <w:sz w:val="24"/>
          <w:szCs w:val="24"/>
        </w:rPr>
        <w:t>29.1.7投标人串通投标；</w:t>
      </w:r>
    </w:p>
    <w:p>
      <w:pPr>
        <w:spacing w:line="360" w:lineRule="auto"/>
        <w:ind w:firstLine="480" w:firstLineChars="200"/>
        <w:rPr>
          <w:bCs/>
          <w:color w:val="000000"/>
          <w:sz w:val="24"/>
          <w:szCs w:val="24"/>
        </w:rPr>
      </w:pPr>
      <w:r>
        <w:rPr>
          <w:rFonts w:hint="eastAsia"/>
          <w:bCs/>
          <w:color w:val="000000"/>
          <w:sz w:val="24"/>
          <w:szCs w:val="24"/>
        </w:rPr>
        <w:t>29.1.8  投标文件含有采购人不能接受的附加条件的。</w:t>
      </w:r>
    </w:p>
    <w:p>
      <w:pPr>
        <w:spacing w:line="360" w:lineRule="auto"/>
        <w:ind w:firstLine="480" w:firstLineChars="200"/>
        <w:rPr>
          <w:bCs/>
          <w:color w:val="000000"/>
          <w:sz w:val="24"/>
          <w:szCs w:val="24"/>
        </w:rPr>
      </w:pPr>
      <w:r>
        <w:rPr>
          <w:rFonts w:hint="eastAsia"/>
          <w:bCs/>
          <w:color w:val="000000"/>
          <w:sz w:val="24"/>
          <w:szCs w:val="24"/>
        </w:rPr>
        <w:t>29.1.9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spacing w:line="360" w:lineRule="auto"/>
        <w:ind w:firstLine="480" w:firstLineChars="200"/>
        <w:rPr>
          <w:bCs/>
          <w:color w:val="000000"/>
          <w:sz w:val="24"/>
          <w:szCs w:val="24"/>
        </w:rPr>
      </w:pPr>
      <w:r>
        <w:rPr>
          <w:rFonts w:hint="eastAsia"/>
          <w:bCs/>
          <w:color w:val="000000"/>
          <w:sz w:val="24"/>
          <w:szCs w:val="24"/>
        </w:rPr>
        <w:t>29.1.10其他法律、法规及本招标文件规定的属无效投标的情形。</w:t>
      </w:r>
    </w:p>
    <w:p>
      <w:pPr>
        <w:spacing w:line="360" w:lineRule="auto"/>
        <w:ind w:firstLine="480" w:firstLineChars="200"/>
        <w:rPr>
          <w:bCs/>
          <w:color w:val="000000"/>
          <w:sz w:val="24"/>
          <w:szCs w:val="24"/>
        </w:rPr>
      </w:pPr>
      <w:r>
        <w:rPr>
          <w:rFonts w:hint="eastAsia"/>
          <w:bCs/>
          <w:color w:val="000000"/>
          <w:sz w:val="24"/>
          <w:szCs w:val="24"/>
        </w:rPr>
        <w:t>29.2废标条款：</w:t>
      </w:r>
    </w:p>
    <w:p>
      <w:pPr>
        <w:spacing w:line="360" w:lineRule="auto"/>
        <w:ind w:firstLine="480" w:firstLineChars="200"/>
        <w:rPr>
          <w:bCs/>
          <w:color w:val="000000"/>
          <w:sz w:val="24"/>
          <w:szCs w:val="24"/>
        </w:rPr>
      </w:pPr>
      <w:r>
        <w:rPr>
          <w:rFonts w:hint="eastAsia"/>
          <w:bCs/>
          <w:color w:val="000000"/>
          <w:sz w:val="24"/>
          <w:szCs w:val="24"/>
        </w:rPr>
        <w:t>29.2.1符合专业条件的供应商或者对招标文件作实质响应的供应商不足三家的；</w:t>
      </w:r>
    </w:p>
    <w:p>
      <w:pPr>
        <w:spacing w:line="360" w:lineRule="auto"/>
        <w:ind w:firstLine="480" w:firstLineChars="200"/>
        <w:rPr>
          <w:bCs/>
          <w:color w:val="000000"/>
          <w:sz w:val="24"/>
          <w:szCs w:val="24"/>
        </w:rPr>
      </w:pPr>
      <w:r>
        <w:rPr>
          <w:rFonts w:hint="eastAsia"/>
          <w:bCs/>
          <w:color w:val="000000"/>
          <w:sz w:val="24"/>
          <w:szCs w:val="24"/>
        </w:rPr>
        <w:t>29.2.2出现影响采购公正的违法、违规行为的；</w:t>
      </w:r>
    </w:p>
    <w:p>
      <w:pPr>
        <w:spacing w:line="360" w:lineRule="auto"/>
        <w:ind w:firstLine="480" w:firstLineChars="200"/>
        <w:rPr>
          <w:bCs/>
          <w:color w:val="000000"/>
          <w:sz w:val="24"/>
          <w:szCs w:val="24"/>
        </w:rPr>
      </w:pPr>
      <w:r>
        <w:rPr>
          <w:rFonts w:hint="eastAsia"/>
          <w:bCs/>
          <w:color w:val="000000"/>
          <w:sz w:val="24"/>
          <w:szCs w:val="24"/>
        </w:rPr>
        <w:t>29.2.3因重大变故，采购任务取消的；</w:t>
      </w:r>
    </w:p>
    <w:p>
      <w:pPr>
        <w:spacing w:line="360" w:lineRule="auto"/>
        <w:ind w:firstLine="480" w:firstLineChars="200"/>
        <w:rPr>
          <w:bCs/>
          <w:color w:val="000000"/>
          <w:sz w:val="24"/>
          <w:szCs w:val="24"/>
        </w:rPr>
      </w:pPr>
      <w:r>
        <w:rPr>
          <w:rFonts w:hint="eastAsia"/>
          <w:bCs/>
          <w:color w:val="000000"/>
          <w:sz w:val="24"/>
          <w:szCs w:val="24"/>
        </w:rPr>
        <w:t>29.2.4评标委员会认定招标文件存在歧义、 重大缺陷导致评审工作无法进行。</w:t>
      </w:r>
    </w:p>
    <w:p>
      <w:pPr>
        <w:spacing w:line="360" w:lineRule="auto"/>
        <w:ind w:firstLine="480" w:firstLineChars="200"/>
        <w:rPr>
          <w:bCs/>
          <w:color w:val="000000"/>
          <w:sz w:val="24"/>
          <w:szCs w:val="24"/>
        </w:rPr>
      </w:pPr>
      <w:r>
        <w:rPr>
          <w:rFonts w:hint="eastAsia"/>
          <w:bCs/>
          <w:color w:val="000000"/>
          <w:sz w:val="24"/>
          <w:szCs w:val="24"/>
        </w:rPr>
        <w:t>29.3 投标截止时间结束后参加投标的供应商不足三家的处理：</w:t>
      </w:r>
    </w:p>
    <w:p>
      <w:pPr>
        <w:spacing w:line="360" w:lineRule="auto"/>
        <w:ind w:firstLine="480" w:firstLineChars="200"/>
        <w:rPr>
          <w:bCs/>
          <w:color w:val="000000"/>
          <w:sz w:val="24"/>
          <w:szCs w:val="24"/>
        </w:rPr>
      </w:pPr>
      <w:r>
        <w:rPr>
          <w:rFonts w:hint="eastAsia"/>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widowControl/>
        <w:shd w:val="clear" w:color="auto" w:fill="FFFFFF"/>
        <w:spacing w:line="360" w:lineRule="auto"/>
        <w:ind w:firstLine="482" w:firstLineChars="200"/>
        <w:rPr>
          <w:b/>
          <w:sz w:val="24"/>
          <w:szCs w:val="24"/>
        </w:rPr>
      </w:pPr>
      <w:bookmarkStart w:id="113" w:name="_Toc120614219"/>
      <w:r>
        <w:rPr>
          <w:rFonts w:hint="eastAsia"/>
          <w:b/>
          <w:sz w:val="24"/>
          <w:szCs w:val="24"/>
        </w:rPr>
        <w:t>六、</w:t>
      </w:r>
      <w:bookmarkEnd w:id="110"/>
      <w:bookmarkEnd w:id="111"/>
      <w:bookmarkEnd w:id="112"/>
      <w:r>
        <w:rPr>
          <w:rFonts w:hint="eastAsia"/>
          <w:b/>
          <w:sz w:val="24"/>
          <w:szCs w:val="24"/>
        </w:rPr>
        <w:t>定标</w:t>
      </w:r>
      <w:bookmarkEnd w:id="113"/>
    </w:p>
    <w:p>
      <w:pPr>
        <w:widowControl/>
        <w:shd w:val="clear" w:color="auto" w:fill="FFFFFF"/>
        <w:spacing w:line="360" w:lineRule="auto"/>
        <w:ind w:firstLine="482" w:firstLineChars="200"/>
        <w:rPr>
          <w:b/>
          <w:sz w:val="24"/>
          <w:szCs w:val="24"/>
        </w:rPr>
      </w:pPr>
      <w:bookmarkStart w:id="114" w:name="_Toc513029238"/>
      <w:bookmarkStart w:id="115" w:name="_Toc16938554"/>
      <w:bookmarkStart w:id="116" w:name="_Toc20823310"/>
      <w:r>
        <w:rPr>
          <w:rFonts w:hint="eastAsia"/>
          <w:b/>
          <w:sz w:val="24"/>
          <w:szCs w:val="24"/>
        </w:rPr>
        <w:t>30.</w:t>
      </w:r>
      <w:bookmarkEnd w:id="114"/>
      <w:r>
        <w:rPr>
          <w:rFonts w:hint="eastAsia"/>
          <w:b/>
          <w:sz w:val="24"/>
          <w:szCs w:val="24"/>
        </w:rPr>
        <w:t>确定</w:t>
      </w:r>
      <w:bookmarkEnd w:id="115"/>
      <w:bookmarkEnd w:id="116"/>
      <w:r>
        <w:rPr>
          <w:rFonts w:hint="eastAsia"/>
          <w:b/>
          <w:sz w:val="24"/>
          <w:szCs w:val="24"/>
        </w:rPr>
        <w:t>中标单位</w:t>
      </w:r>
    </w:p>
    <w:p>
      <w:pPr>
        <w:spacing w:line="360" w:lineRule="auto"/>
        <w:ind w:firstLine="480" w:firstLineChars="200"/>
        <w:rPr>
          <w:bCs/>
          <w:color w:val="000000"/>
          <w:spacing w:val="-4"/>
          <w:sz w:val="24"/>
          <w:szCs w:val="24"/>
        </w:rPr>
      </w:pPr>
      <w:r>
        <w:rPr>
          <w:rFonts w:hint="eastAsia"/>
          <w:bCs/>
          <w:color w:val="000000"/>
          <w:sz w:val="24"/>
          <w:szCs w:val="24"/>
        </w:rPr>
        <w:t>30.1</w:t>
      </w:r>
      <w:r>
        <w:rPr>
          <w:rFonts w:hint="eastAsia"/>
          <w:bCs/>
          <w:color w:val="000000"/>
          <w:spacing w:val="-4"/>
          <w:sz w:val="24"/>
          <w:szCs w:val="24"/>
        </w:rPr>
        <w:t>评委会根据本招标文件规定评标方法与评标标准向采购人推荐出中标候选人。</w:t>
      </w:r>
    </w:p>
    <w:p>
      <w:pPr>
        <w:spacing w:line="360" w:lineRule="auto"/>
        <w:ind w:firstLine="480" w:firstLineChars="200"/>
        <w:rPr>
          <w:bCs/>
          <w:color w:val="000000"/>
          <w:sz w:val="24"/>
          <w:szCs w:val="24"/>
        </w:rPr>
      </w:pPr>
      <w:r>
        <w:rPr>
          <w:rFonts w:hint="eastAsia"/>
          <w:bCs/>
          <w:color w:val="000000"/>
          <w:sz w:val="24"/>
          <w:szCs w:val="24"/>
        </w:rPr>
        <w:t>30.2 采购人应根据评委会推荐的中标候选人确定中标人。</w:t>
      </w:r>
    </w:p>
    <w:p>
      <w:pPr>
        <w:spacing w:line="360" w:lineRule="auto"/>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采购人将在“江苏政府采购网”、“盐城市政府采购网”、“盐城幼儿师范高等专科学校网站”发布中标公告，公告期限为1个工作日。</w:t>
      </w:r>
    </w:p>
    <w:p>
      <w:pPr>
        <w:snapToGrid w:val="0"/>
        <w:spacing w:line="360" w:lineRule="auto"/>
        <w:ind w:firstLine="480" w:firstLineChars="200"/>
        <w:rPr>
          <w:color w:val="000000"/>
          <w:sz w:val="24"/>
          <w:szCs w:val="24"/>
        </w:rPr>
      </w:pPr>
      <w:r>
        <w:rPr>
          <w:rFonts w:hint="eastAsia"/>
          <w:color w:val="000000"/>
          <w:sz w:val="24"/>
          <w:szCs w:val="24"/>
        </w:rPr>
        <w:t>30.4若有充分证据证明，中标人出现下列情况之一的，一经查实，将被取消中标资格：</w:t>
      </w:r>
    </w:p>
    <w:p>
      <w:pPr>
        <w:snapToGrid w:val="0"/>
        <w:spacing w:line="360" w:lineRule="auto"/>
        <w:ind w:firstLine="480" w:firstLineChars="200"/>
        <w:rPr>
          <w:color w:val="000000"/>
          <w:sz w:val="24"/>
          <w:szCs w:val="24"/>
        </w:rPr>
      </w:pPr>
      <w:r>
        <w:rPr>
          <w:rFonts w:hint="eastAsia"/>
          <w:color w:val="000000"/>
          <w:sz w:val="24"/>
          <w:szCs w:val="24"/>
        </w:rPr>
        <w:t>30.4.1提供虚假材料谋取中标的；</w:t>
      </w:r>
    </w:p>
    <w:p>
      <w:pPr>
        <w:snapToGrid w:val="0"/>
        <w:spacing w:line="360" w:lineRule="auto"/>
        <w:ind w:firstLine="480" w:firstLineChars="200"/>
        <w:rPr>
          <w:color w:val="000000"/>
          <w:sz w:val="24"/>
          <w:szCs w:val="24"/>
        </w:rPr>
      </w:pPr>
      <w:r>
        <w:rPr>
          <w:rFonts w:hint="eastAsia"/>
          <w:color w:val="000000"/>
          <w:sz w:val="24"/>
          <w:szCs w:val="24"/>
        </w:rPr>
        <w:t>30.4.2向采购人、代理机构行贿或者提供其他不正当利益的；</w:t>
      </w:r>
    </w:p>
    <w:p>
      <w:pPr>
        <w:snapToGrid w:val="0"/>
        <w:spacing w:line="360" w:lineRule="auto"/>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360" w:lineRule="auto"/>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360" w:lineRule="auto"/>
        <w:ind w:firstLine="480" w:firstLineChars="200"/>
        <w:rPr>
          <w:color w:val="000000"/>
          <w:sz w:val="24"/>
          <w:szCs w:val="24"/>
        </w:rPr>
      </w:pPr>
      <w:r>
        <w:rPr>
          <w:rFonts w:hint="eastAsia"/>
          <w:color w:val="000000"/>
          <w:sz w:val="24"/>
          <w:szCs w:val="24"/>
        </w:rPr>
        <w:t>30.4.5与采购人或者其他供应商恶意串通的；</w:t>
      </w:r>
    </w:p>
    <w:p>
      <w:pPr>
        <w:snapToGrid w:val="0"/>
        <w:spacing w:line="360" w:lineRule="auto"/>
        <w:ind w:firstLine="480" w:firstLineChars="200"/>
        <w:rPr>
          <w:color w:val="000000"/>
          <w:sz w:val="24"/>
          <w:szCs w:val="24"/>
        </w:rPr>
      </w:pPr>
      <w:r>
        <w:rPr>
          <w:rFonts w:hint="eastAsia"/>
          <w:color w:val="000000"/>
          <w:sz w:val="24"/>
          <w:szCs w:val="24"/>
        </w:rPr>
        <w:t>30.4.6采取不正当手段诋毁、排挤其他供应商的；</w:t>
      </w:r>
    </w:p>
    <w:p>
      <w:pPr>
        <w:snapToGrid w:val="0"/>
        <w:spacing w:line="360" w:lineRule="auto"/>
        <w:ind w:firstLine="480" w:firstLineChars="200"/>
        <w:rPr>
          <w:color w:val="000000"/>
          <w:sz w:val="24"/>
          <w:szCs w:val="24"/>
        </w:rPr>
      </w:pPr>
      <w:r>
        <w:rPr>
          <w:rFonts w:hint="eastAsia"/>
          <w:color w:val="000000"/>
          <w:sz w:val="24"/>
          <w:szCs w:val="24"/>
        </w:rPr>
        <w:t>30.4.7不符合法律、法规的规定的。</w:t>
      </w:r>
      <w:bookmarkStart w:id="117" w:name="_Toc200451960"/>
    </w:p>
    <w:p>
      <w:pPr>
        <w:snapToGrid w:val="0"/>
        <w:spacing w:line="360" w:lineRule="auto"/>
        <w:ind w:firstLine="480" w:firstLineChars="200"/>
        <w:rPr>
          <w:color w:val="000000"/>
          <w:sz w:val="24"/>
          <w:szCs w:val="24"/>
        </w:rPr>
      </w:pPr>
      <w:r>
        <w:rPr>
          <w:rFonts w:hint="eastAsia"/>
          <w:color w:val="000000"/>
          <w:sz w:val="24"/>
          <w:szCs w:val="24"/>
        </w:rPr>
        <w:t xml:space="preserve">30.5. </w:t>
      </w:r>
      <w:r>
        <w:rPr>
          <w:color w:val="000000"/>
          <w:sz w:val="24"/>
          <w:szCs w:val="24"/>
        </w:rPr>
        <w:t>有下列情形之一的，</w:t>
      </w:r>
      <w:r>
        <w:rPr>
          <w:rFonts w:hint="eastAsia"/>
          <w:color w:val="000000"/>
          <w:sz w:val="24"/>
          <w:szCs w:val="24"/>
        </w:rPr>
        <w:t>视为投标人</w:t>
      </w:r>
      <w:r>
        <w:rPr>
          <w:color w:val="000000"/>
          <w:sz w:val="24"/>
          <w:szCs w:val="24"/>
        </w:rPr>
        <w:t>串通</w:t>
      </w:r>
      <w:r>
        <w:rPr>
          <w:rFonts w:hint="eastAsia"/>
          <w:color w:val="000000"/>
          <w:sz w:val="24"/>
          <w:szCs w:val="24"/>
        </w:rPr>
        <w:t>投标，投标无效：</w:t>
      </w:r>
    </w:p>
    <w:p>
      <w:pPr>
        <w:snapToGrid w:val="0"/>
        <w:spacing w:line="360" w:lineRule="auto"/>
        <w:ind w:firstLine="480" w:firstLineChars="200"/>
        <w:rPr>
          <w:color w:val="000000"/>
          <w:sz w:val="24"/>
          <w:szCs w:val="24"/>
        </w:rPr>
      </w:pPr>
      <w:r>
        <w:rPr>
          <w:rFonts w:hint="eastAsia"/>
          <w:color w:val="000000"/>
          <w:sz w:val="24"/>
          <w:szCs w:val="24"/>
        </w:rPr>
        <w:t>30.5.1不同投标人的投标文件由同一单位或者个人编制。</w:t>
      </w:r>
    </w:p>
    <w:p>
      <w:pPr>
        <w:snapToGrid w:val="0"/>
        <w:spacing w:line="360" w:lineRule="auto"/>
        <w:ind w:firstLine="480" w:firstLineChars="200"/>
        <w:rPr>
          <w:color w:val="000000"/>
          <w:sz w:val="24"/>
          <w:szCs w:val="24"/>
        </w:rPr>
      </w:pPr>
      <w:r>
        <w:rPr>
          <w:rFonts w:hint="eastAsia"/>
          <w:color w:val="000000"/>
          <w:sz w:val="24"/>
          <w:szCs w:val="24"/>
        </w:rPr>
        <w:t>30.5.2不同投标人委托同一单位或者个人办理投标事宜。</w:t>
      </w:r>
    </w:p>
    <w:p>
      <w:pPr>
        <w:snapToGrid w:val="0"/>
        <w:spacing w:line="360" w:lineRule="auto"/>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snapToGrid w:val="0"/>
        <w:spacing w:line="360" w:lineRule="auto"/>
        <w:ind w:firstLine="480" w:firstLineChars="200"/>
        <w:rPr>
          <w:color w:val="000000"/>
          <w:sz w:val="24"/>
          <w:szCs w:val="24"/>
        </w:rPr>
      </w:pPr>
      <w:r>
        <w:rPr>
          <w:rFonts w:hint="eastAsia"/>
          <w:color w:val="000000"/>
          <w:sz w:val="24"/>
          <w:szCs w:val="24"/>
        </w:rPr>
        <w:t>30.5.4不同投标人的投标文件异常一致或者投标报价呈规律性差异。</w:t>
      </w:r>
    </w:p>
    <w:p>
      <w:pPr>
        <w:snapToGrid w:val="0"/>
        <w:spacing w:line="360" w:lineRule="auto"/>
        <w:ind w:firstLine="480" w:firstLineChars="200"/>
        <w:rPr>
          <w:color w:val="000000"/>
          <w:sz w:val="24"/>
          <w:szCs w:val="24"/>
        </w:rPr>
      </w:pPr>
      <w:r>
        <w:rPr>
          <w:rFonts w:hint="eastAsia"/>
          <w:color w:val="000000"/>
          <w:sz w:val="24"/>
          <w:szCs w:val="24"/>
        </w:rPr>
        <w:t>30.5.5不同投标人的投标文件相互混装。</w:t>
      </w:r>
    </w:p>
    <w:p>
      <w:pPr>
        <w:widowControl/>
        <w:shd w:val="clear" w:color="auto" w:fill="FFFFFF"/>
        <w:spacing w:line="360" w:lineRule="auto"/>
        <w:ind w:firstLine="482" w:firstLineChars="200"/>
        <w:rPr>
          <w:b/>
          <w:sz w:val="24"/>
          <w:szCs w:val="24"/>
        </w:rPr>
      </w:pPr>
      <w:r>
        <w:rPr>
          <w:rFonts w:hint="eastAsia"/>
          <w:b/>
          <w:sz w:val="24"/>
          <w:szCs w:val="24"/>
        </w:rPr>
        <w:t>31.质疑处理</w:t>
      </w:r>
      <w:bookmarkEnd w:id="117"/>
    </w:p>
    <w:p>
      <w:pPr>
        <w:snapToGrid w:val="0"/>
        <w:spacing w:line="360" w:lineRule="auto"/>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代理机构或采购人提出质疑。上述应知其权益受到损害之日，是指：</w:t>
      </w:r>
    </w:p>
    <w:p>
      <w:pPr>
        <w:snapToGrid w:val="0"/>
        <w:spacing w:line="360" w:lineRule="auto"/>
        <w:ind w:firstLine="480" w:firstLineChars="200"/>
        <w:rPr>
          <w:color w:val="000000"/>
          <w:kern w:val="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p>
    <w:p>
      <w:pPr>
        <w:snapToGrid w:val="0"/>
        <w:spacing w:line="360" w:lineRule="auto"/>
        <w:ind w:firstLine="480" w:firstLineChars="200"/>
        <w:rPr>
          <w:color w:val="000000"/>
          <w:kern w:val="0"/>
          <w:sz w:val="24"/>
          <w:szCs w:val="24"/>
        </w:rPr>
      </w:pPr>
      <w:r>
        <w:rPr>
          <w:rFonts w:hint="eastAsia"/>
          <w:color w:val="000000"/>
          <w:sz w:val="24"/>
          <w:szCs w:val="24"/>
        </w:rPr>
        <w:t>31.1.2</w:t>
      </w:r>
      <w:r>
        <w:rPr>
          <w:color w:val="000000"/>
          <w:kern w:val="0"/>
          <w:sz w:val="24"/>
          <w:szCs w:val="24"/>
        </w:rPr>
        <w:t>对采购过程提出质疑的，为各采购程序环节结束之日；</w:t>
      </w:r>
    </w:p>
    <w:p>
      <w:pPr>
        <w:snapToGrid w:val="0"/>
        <w:spacing w:line="360" w:lineRule="auto"/>
        <w:ind w:firstLine="480" w:firstLineChars="200"/>
        <w:rPr>
          <w:color w:val="000000"/>
          <w:sz w:val="24"/>
          <w:szCs w:val="24"/>
        </w:rPr>
      </w:pPr>
      <w:r>
        <w:rPr>
          <w:rFonts w:hint="eastAsia"/>
          <w:color w:val="000000"/>
          <w:sz w:val="24"/>
          <w:szCs w:val="24"/>
        </w:rPr>
        <w:t>31.1.3</w:t>
      </w:r>
      <w:r>
        <w:rPr>
          <w:color w:val="000000"/>
          <w:kern w:val="0"/>
          <w:sz w:val="24"/>
          <w:szCs w:val="24"/>
        </w:rPr>
        <w:t>对中标结果提出质疑的，为中标结果公告期限届满之日。</w:t>
      </w:r>
    </w:p>
    <w:p>
      <w:pPr>
        <w:snapToGrid w:val="0"/>
        <w:spacing w:line="360" w:lineRule="auto"/>
        <w:ind w:firstLine="480" w:firstLineChars="200"/>
        <w:rPr>
          <w:color w:val="000000"/>
          <w:kern w:val="0"/>
          <w:sz w:val="24"/>
          <w:szCs w:val="24"/>
        </w:rPr>
      </w:pPr>
      <w:r>
        <w:rPr>
          <w:rFonts w:hint="eastAsia"/>
          <w:color w:val="000000"/>
          <w:sz w:val="24"/>
          <w:szCs w:val="24"/>
        </w:rPr>
        <w:t>31.2</w:t>
      </w:r>
      <w:r>
        <w:rPr>
          <w:rFonts w:hint="eastAsia"/>
          <w:color w:val="000000"/>
          <w:kern w:val="0"/>
          <w:sz w:val="24"/>
          <w:szCs w:val="24"/>
        </w:rPr>
        <w:t>质疑必须按《政府采购法》、《政府采购法实施条例》及《江苏省政府采购供应商监督管理暂行办法》的相关规定提交，未按上述要求提交的质疑函（含传真、电子邮件等）采购人有权不予受理。</w:t>
      </w:r>
    </w:p>
    <w:p>
      <w:pPr>
        <w:snapToGrid w:val="0"/>
        <w:spacing w:line="360" w:lineRule="auto"/>
        <w:ind w:firstLine="480" w:firstLineChars="200"/>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360" w:lineRule="auto"/>
        <w:ind w:firstLine="480" w:firstLineChars="200"/>
        <w:rPr>
          <w:color w:val="000000"/>
          <w:sz w:val="24"/>
          <w:szCs w:val="24"/>
        </w:rPr>
      </w:pPr>
      <w:r>
        <w:rPr>
          <w:rFonts w:hint="eastAsia"/>
          <w:color w:val="000000"/>
          <w:sz w:val="24"/>
          <w:szCs w:val="24"/>
        </w:rPr>
        <w:t>31.4质疑函应当包括下列内容：</w:t>
      </w:r>
    </w:p>
    <w:p>
      <w:pPr>
        <w:snapToGrid w:val="0"/>
        <w:spacing w:line="360" w:lineRule="auto"/>
        <w:ind w:firstLine="480" w:firstLineChars="200"/>
        <w:rPr>
          <w:color w:val="000000"/>
          <w:sz w:val="24"/>
          <w:szCs w:val="24"/>
        </w:rPr>
      </w:pPr>
      <w:r>
        <w:rPr>
          <w:rFonts w:hint="eastAsia"/>
          <w:color w:val="000000"/>
          <w:sz w:val="24"/>
          <w:szCs w:val="24"/>
        </w:rPr>
        <w:t>31.4.1质疑投标人的名称、地址、邮编、联系人、联系电话；</w:t>
      </w:r>
    </w:p>
    <w:p>
      <w:pPr>
        <w:snapToGrid w:val="0"/>
        <w:spacing w:line="360" w:lineRule="auto"/>
        <w:ind w:firstLine="480" w:firstLineChars="200"/>
        <w:rPr>
          <w:color w:val="000000"/>
          <w:sz w:val="24"/>
          <w:szCs w:val="24"/>
        </w:rPr>
      </w:pPr>
      <w:r>
        <w:rPr>
          <w:rFonts w:hint="eastAsia"/>
          <w:color w:val="000000"/>
          <w:sz w:val="24"/>
          <w:szCs w:val="24"/>
        </w:rPr>
        <w:t>31.4.2具体的质疑事项及明确的请求；</w:t>
      </w:r>
    </w:p>
    <w:p>
      <w:pPr>
        <w:snapToGrid w:val="0"/>
        <w:spacing w:line="360" w:lineRule="auto"/>
        <w:ind w:firstLine="480" w:firstLineChars="200"/>
        <w:rPr>
          <w:color w:val="000000"/>
          <w:sz w:val="24"/>
          <w:szCs w:val="24"/>
        </w:rPr>
      </w:pPr>
      <w:r>
        <w:rPr>
          <w:rFonts w:hint="eastAsia"/>
          <w:color w:val="000000"/>
          <w:sz w:val="24"/>
          <w:szCs w:val="24"/>
        </w:rPr>
        <w:t>31.4.3认为自己合法权益受到损害或可能受到损害的相关证据材料；</w:t>
      </w:r>
    </w:p>
    <w:p>
      <w:pPr>
        <w:snapToGrid w:val="0"/>
        <w:spacing w:line="360" w:lineRule="auto"/>
        <w:ind w:firstLine="480" w:firstLineChars="200"/>
        <w:rPr>
          <w:color w:val="000000"/>
          <w:sz w:val="24"/>
          <w:szCs w:val="24"/>
        </w:rPr>
      </w:pPr>
      <w:r>
        <w:rPr>
          <w:rFonts w:hint="eastAsia"/>
          <w:color w:val="000000"/>
          <w:sz w:val="24"/>
          <w:szCs w:val="24"/>
        </w:rPr>
        <w:t>31.4.4提起质疑的日期；</w:t>
      </w:r>
    </w:p>
    <w:p>
      <w:pPr>
        <w:snapToGrid w:val="0"/>
        <w:spacing w:line="360" w:lineRule="auto"/>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snapToGrid w:val="0"/>
        <w:spacing w:line="360" w:lineRule="auto"/>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360" w:lineRule="auto"/>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360" w:lineRule="auto"/>
        <w:ind w:firstLine="480" w:firstLineChars="200"/>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360" w:lineRule="auto"/>
        <w:ind w:firstLine="480" w:firstLineChars="200"/>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widowControl/>
        <w:shd w:val="clear" w:color="auto" w:fill="FFFFFF"/>
        <w:spacing w:line="360" w:lineRule="auto"/>
        <w:ind w:firstLine="482" w:firstLineChars="200"/>
        <w:rPr>
          <w:b/>
          <w:sz w:val="24"/>
          <w:szCs w:val="24"/>
        </w:rPr>
      </w:pPr>
      <w:r>
        <w:rPr>
          <w:rFonts w:hint="eastAsia"/>
          <w:b/>
          <w:sz w:val="24"/>
          <w:szCs w:val="24"/>
        </w:rPr>
        <w:t>32.中标通知书</w:t>
      </w:r>
    </w:p>
    <w:p>
      <w:pPr>
        <w:snapToGrid w:val="0"/>
        <w:spacing w:line="360" w:lineRule="auto"/>
        <w:ind w:firstLine="480" w:firstLineChars="200"/>
        <w:rPr>
          <w:color w:val="000000"/>
          <w:sz w:val="24"/>
          <w:szCs w:val="24"/>
        </w:rPr>
      </w:pPr>
      <w:r>
        <w:rPr>
          <w:rFonts w:hint="eastAsia"/>
          <w:color w:val="000000"/>
          <w:sz w:val="24"/>
          <w:szCs w:val="24"/>
        </w:rPr>
        <w:t>32.l</w:t>
      </w:r>
      <w:r>
        <w:rPr>
          <w:rFonts w:hint="eastAsia"/>
          <w:b/>
          <w:color w:val="000000"/>
          <w:sz w:val="24"/>
          <w:szCs w:val="24"/>
        </w:rPr>
        <w:t xml:space="preserve"> </w:t>
      </w:r>
      <w:r>
        <w:rPr>
          <w:rFonts w:hint="eastAsia"/>
          <w:color w:val="000000"/>
          <w:sz w:val="24"/>
          <w:szCs w:val="24"/>
        </w:rPr>
        <w:t>中标结果确定后，采购人将向中标人发出中标通知书。</w:t>
      </w:r>
    </w:p>
    <w:p>
      <w:pPr>
        <w:snapToGrid w:val="0"/>
        <w:spacing w:line="360" w:lineRule="auto"/>
        <w:ind w:firstLine="480" w:firstLineChars="200"/>
        <w:rPr>
          <w:color w:val="000000"/>
          <w:sz w:val="24"/>
          <w:szCs w:val="24"/>
        </w:rPr>
      </w:pPr>
      <w:r>
        <w:rPr>
          <w:rFonts w:hint="eastAsia"/>
          <w:color w:val="000000"/>
          <w:sz w:val="24"/>
          <w:szCs w:val="24"/>
        </w:rPr>
        <w:t>32.2中标通知书将是合同的一个组成部分。对采购人和中标人均具有法律效力。中标通知书发出后，采购人改变中标结果的，或者中标人放弃中标项目的，应当依法承担法律责任。</w:t>
      </w:r>
    </w:p>
    <w:p>
      <w:pPr>
        <w:widowControl/>
        <w:shd w:val="clear" w:color="auto" w:fill="FFFFFF"/>
        <w:spacing w:line="360" w:lineRule="auto"/>
        <w:ind w:firstLine="482" w:firstLineChars="200"/>
        <w:rPr>
          <w:b/>
          <w:sz w:val="24"/>
          <w:szCs w:val="24"/>
        </w:rPr>
      </w:pPr>
      <w:bookmarkStart w:id="118" w:name="_Toc120614220"/>
      <w:bookmarkStart w:id="119" w:name="_Toc513029236"/>
      <w:bookmarkStart w:id="120" w:name="_Toc16938552"/>
      <w:bookmarkStart w:id="121" w:name="_Toc20823308"/>
      <w:r>
        <w:rPr>
          <w:rFonts w:hint="eastAsia"/>
          <w:b/>
          <w:sz w:val="24"/>
          <w:szCs w:val="24"/>
        </w:rPr>
        <w:t>七、合同</w:t>
      </w:r>
      <w:bookmarkEnd w:id="118"/>
      <w:r>
        <w:rPr>
          <w:rFonts w:hint="eastAsia"/>
          <w:b/>
          <w:sz w:val="24"/>
          <w:szCs w:val="24"/>
        </w:rPr>
        <w:t>签订相关事项</w:t>
      </w:r>
      <w:bookmarkEnd w:id="119"/>
      <w:bookmarkEnd w:id="120"/>
      <w:bookmarkEnd w:id="121"/>
    </w:p>
    <w:p>
      <w:pPr>
        <w:widowControl/>
        <w:shd w:val="clear" w:color="auto" w:fill="FFFFFF"/>
        <w:spacing w:line="360" w:lineRule="auto"/>
        <w:ind w:firstLine="482" w:firstLineChars="200"/>
        <w:rPr>
          <w:b/>
          <w:sz w:val="24"/>
          <w:szCs w:val="24"/>
        </w:rPr>
      </w:pPr>
      <w:bookmarkStart w:id="122" w:name="_Toc16938553"/>
      <w:bookmarkStart w:id="123" w:name="_Toc513029237"/>
      <w:bookmarkStart w:id="124" w:name="_Toc20823309"/>
      <w:r>
        <w:rPr>
          <w:rFonts w:hint="eastAsia"/>
          <w:b/>
          <w:sz w:val="24"/>
          <w:szCs w:val="24"/>
        </w:rPr>
        <w:t>33.签订合同</w:t>
      </w:r>
    </w:p>
    <w:p>
      <w:pPr>
        <w:snapToGrid w:val="0"/>
        <w:spacing w:line="360" w:lineRule="auto"/>
        <w:ind w:firstLine="480" w:firstLineChars="200"/>
        <w:rPr>
          <w:color w:val="000000"/>
          <w:sz w:val="24"/>
          <w:szCs w:val="24"/>
        </w:rPr>
      </w:pPr>
      <w:r>
        <w:rPr>
          <w:rFonts w:hint="eastAsia"/>
          <w:bCs/>
          <w:color w:val="000000"/>
          <w:sz w:val="24"/>
          <w:szCs w:val="24"/>
        </w:rPr>
        <w:t>33</w:t>
      </w:r>
      <w:r>
        <w:rPr>
          <w:rFonts w:hint="eastAsia"/>
          <w:color w:val="000000"/>
          <w:sz w:val="24"/>
          <w:szCs w:val="24"/>
        </w:rPr>
        <w:t>.l中标人应按中标通知书规定的时间、地点,按照招标文件确定的事项与采购人签订政府采购合同，且不得迟于中标通知书发出之日起三十日，由此给采购人造成损失的，中标人还应承担赔偿责任。</w:t>
      </w:r>
    </w:p>
    <w:p>
      <w:pPr>
        <w:snapToGrid w:val="0"/>
        <w:spacing w:line="360" w:lineRule="auto"/>
        <w:ind w:firstLine="480" w:firstLineChars="200"/>
        <w:rPr>
          <w:color w:val="000000"/>
          <w:sz w:val="24"/>
          <w:szCs w:val="24"/>
        </w:rPr>
      </w:pPr>
      <w:r>
        <w:rPr>
          <w:rFonts w:hint="eastAsia"/>
          <w:color w:val="000000"/>
          <w:sz w:val="24"/>
          <w:szCs w:val="24"/>
        </w:rPr>
        <w:t>33.2</w:t>
      </w:r>
      <w:r>
        <w:rPr>
          <w:rFonts w:hint="eastAsia"/>
          <w:b/>
          <w:color w:val="000000"/>
          <w:sz w:val="24"/>
          <w:szCs w:val="24"/>
        </w:rPr>
        <w:t xml:space="preserve"> </w:t>
      </w:r>
      <w:r>
        <w:rPr>
          <w:rFonts w:hint="eastAsia"/>
          <w:color w:val="000000"/>
          <w:sz w:val="24"/>
          <w:szCs w:val="24"/>
        </w:rPr>
        <w:t>招标文件、中标人的投标文件及招标过程中有关澄清、承诺文件均应作为合同附件。</w:t>
      </w:r>
    </w:p>
    <w:p>
      <w:pPr>
        <w:snapToGrid w:val="0"/>
        <w:spacing w:line="360" w:lineRule="auto"/>
        <w:ind w:firstLine="480" w:firstLineChars="200"/>
        <w:rPr>
          <w:color w:val="000000"/>
          <w:sz w:val="24"/>
          <w:szCs w:val="24"/>
        </w:rPr>
      </w:pPr>
      <w:r>
        <w:rPr>
          <w:rFonts w:hint="eastAsia"/>
          <w:color w:val="000000"/>
          <w:sz w:val="24"/>
          <w:szCs w:val="24"/>
        </w:rPr>
        <w:t>33.3 签订合同后，中标人不得将相关服务进行转包。未经采购人同意，中标人也不得采用分包的形式履行合同，否则采购人有权终止合同，中标人的履约保证金将不予退还。转包或分包造成采购人损失的，中标人应承担相应赔偿责任。</w:t>
      </w:r>
    </w:p>
    <w:p>
      <w:pPr>
        <w:snapToGrid w:val="0"/>
        <w:spacing w:line="360" w:lineRule="auto"/>
        <w:ind w:firstLine="482" w:firstLineChars="200"/>
        <w:rPr>
          <w:color w:val="000000"/>
          <w:sz w:val="24"/>
          <w:szCs w:val="24"/>
        </w:rPr>
      </w:pPr>
      <w:r>
        <w:rPr>
          <w:rFonts w:hint="eastAsia"/>
          <w:b/>
          <w:bCs/>
          <w:color w:val="000000"/>
          <w:sz w:val="24"/>
          <w:szCs w:val="24"/>
        </w:rPr>
        <w:t>33.4中标或者成交后无正当理由拒不与采购人签订政府采购合同的，将被列入不良行为记录名单，在一至三年内禁止参加政府采购活动。</w:t>
      </w:r>
    </w:p>
    <w:p>
      <w:pPr>
        <w:widowControl/>
        <w:shd w:val="clear" w:color="auto" w:fill="FFFFFF"/>
        <w:spacing w:line="360" w:lineRule="auto"/>
        <w:ind w:firstLine="482" w:firstLineChars="200"/>
        <w:rPr>
          <w:b/>
          <w:sz w:val="24"/>
          <w:szCs w:val="24"/>
        </w:rPr>
      </w:pPr>
      <w:r>
        <w:rPr>
          <w:rFonts w:hint="eastAsia"/>
          <w:b/>
          <w:sz w:val="24"/>
          <w:szCs w:val="24"/>
        </w:rPr>
        <w:t>34.服务的追加、减少和添购。</w:t>
      </w:r>
    </w:p>
    <w:p>
      <w:pPr>
        <w:spacing w:line="360" w:lineRule="auto"/>
        <w:ind w:firstLine="480" w:firstLineChars="200"/>
        <w:rPr>
          <w:rFonts w:ascii="宋体" w:hAnsi="宋体"/>
          <w:sz w:val="24"/>
          <w:szCs w:val="24"/>
        </w:rPr>
      </w:pPr>
      <w:r>
        <w:rPr>
          <w:rFonts w:hint="eastAsia"/>
          <w:color w:val="000000"/>
          <w:sz w:val="24"/>
          <w:szCs w:val="24"/>
        </w:rPr>
        <w:t>34.1政府采购合同履行中，采购人需追加与合同标的相同的服务的，在不改变合同其他条款的前提下，可以与中标人协商签订补充合同，</w:t>
      </w:r>
      <w:r>
        <w:rPr>
          <w:rFonts w:hint="eastAsia" w:ascii="宋体" w:hAnsi="宋体"/>
          <w:sz w:val="24"/>
          <w:szCs w:val="24"/>
        </w:rPr>
        <w:t>但所有补充合同的采购金额不超过原合同金额10%。</w:t>
      </w:r>
    </w:p>
    <w:p>
      <w:pPr>
        <w:spacing w:line="360" w:lineRule="auto"/>
        <w:ind w:firstLine="480" w:firstLineChars="200"/>
        <w:rPr>
          <w:color w:val="000000"/>
          <w:sz w:val="24"/>
          <w:szCs w:val="24"/>
        </w:rPr>
      </w:pPr>
      <w:r>
        <w:rPr>
          <w:rFonts w:hint="eastAsia"/>
          <w:color w:val="000000"/>
          <w:sz w:val="24"/>
          <w:szCs w:val="24"/>
        </w:rPr>
        <w:t>34.2采购结束后，采购人若由于各种客观原因，必须对采购项目所牵涉的服务进行适当的减少时，在双方协商一致的前提下，可以按照招标采购时的价格水平做相应的调减，并据此签订补充合同。</w:t>
      </w:r>
    </w:p>
    <w:p>
      <w:pPr>
        <w:spacing w:line="360" w:lineRule="auto"/>
        <w:ind w:firstLine="480" w:firstLineChars="200"/>
        <w:rPr>
          <w:b/>
          <w:color w:val="000000"/>
          <w:sz w:val="24"/>
          <w:szCs w:val="24"/>
        </w:rPr>
      </w:pPr>
      <w:r>
        <w:rPr>
          <w:rFonts w:hint="eastAsia"/>
          <w:color w:val="000000"/>
          <w:sz w:val="24"/>
          <w:szCs w:val="24"/>
        </w:rPr>
        <w:t>3</w:t>
      </w:r>
      <w:r>
        <w:rPr>
          <w:color w:val="000000"/>
          <w:sz w:val="24"/>
          <w:szCs w:val="24"/>
        </w:rPr>
        <w:t>4.3</w:t>
      </w:r>
      <w:r>
        <w:rPr>
          <w:rFonts w:hint="eastAsia"/>
          <w:color w:val="000000"/>
          <w:sz w:val="24"/>
          <w:szCs w:val="24"/>
        </w:rPr>
        <w:t>具体人员增减情况，采购人有权进行调整。</w:t>
      </w:r>
      <w:bookmarkEnd w:id="122"/>
      <w:bookmarkEnd w:id="123"/>
      <w:bookmarkEnd w:id="124"/>
    </w:p>
    <w:p>
      <w:pPr>
        <w:widowControl/>
        <w:shd w:val="clear" w:color="auto" w:fill="FFFFFF"/>
        <w:spacing w:line="360" w:lineRule="auto"/>
        <w:ind w:firstLine="482" w:firstLineChars="200"/>
        <w:rPr>
          <w:b/>
          <w:sz w:val="24"/>
          <w:szCs w:val="24"/>
        </w:rPr>
      </w:pPr>
      <w:r>
        <w:rPr>
          <w:rFonts w:hint="eastAsia"/>
          <w:b/>
          <w:sz w:val="24"/>
          <w:szCs w:val="24"/>
        </w:rPr>
        <w:t>35.履约保证金</w:t>
      </w:r>
    </w:p>
    <w:p>
      <w:pPr>
        <w:tabs>
          <w:tab w:val="left" w:pos="900"/>
        </w:tabs>
        <w:spacing w:line="360" w:lineRule="auto"/>
        <w:ind w:firstLine="480" w:firstLineChars="200"/>
        <w:rPr>
          <w:rFonts w:eastAsia="黑体"/>
          <w:bCs/>
          <w:color w:val="000000"/>
          <w:sz w:val="44"/>
        </w:rPr>
      </w:pPr>
      <w:r>
        <w:rPr>
          <w:rFonts w:hint="eastAsia"/>
          <w:color w:val="000000"/>
          <w:sz w:val="24"/>
          <w:szCs w:val="24"/>
        </w:rPr>
        <w:t>在签订合同前，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27"/>
        <w:spacing w:line="360" w:lineRule="auto"/>
      </w:pPr>
      <w:r>
        <w:rPr>
          <w:rFonts w:eastAsia="黑体"/>
          <w:bCs/>
          <w:sz w:val="44"/>
        </w:rPr>
        <w:br w:type="page"/>
      </w:r>
    </w:p>
    <w:p>
      <w:pPr>
        <w:jc w:val="center"/>
        <w:outlineLvl w:val="0"/>
        <w:rPr>
          <w:rFonts w:eastAsia="黑体"/>
          <w:color w:val="000000" w:themeColor="text1"/>
          <w:sz w:val="40"/>
          <w:szCs w:val="40"/>
          <w14:textFill>
            <w14:solidFill>
              <w14:schemeClr w14:val="tx1"/>
            </w14:solidFill>
          </w14:textFill>
        </w:rPr>
      </w:pPr>
      <w:bookmarkStart w:id="125" w:name="_Toc108021874"/>
      <w:r>
        <w:rPr>
          <w:rFonts w:eastAsia="黑体"/>
          <w:color w:val="000000" w:themeColor="text1"/>
          <w:sz w:val="40"/>
          <w:szCs w:val="40"/>
          <w14:textFill>
            <w14:solidFill>
              <w14:schemeClr w14:val="tx1"/>
            </w14:solidFill>
          </w14:textFill>
        </w:rPr>
        <w:t>第三章  合同条款及格式</w:t>
      </w:r>
      <w:bookmarkEnd w:id="125"/>
    </w:p>
    <w:p>
      <w:pPr>
        <w:spacing w:line="360" w:lineRule="auto"/>
        <w:ind w:firstLine="480" w:firstLineChars="200"/>
        <w:rPr>
          <w:color w:val="000000" w:themeColor="text1"/>
          <w:sz w:val="24"/>
          <w:szCs w:val="24"/>
          <w14:textFill>
            <w14:solidFill>
              <w14:schemeClr w14:val="tx1"/>
            </w14:solidFill>
          </w14:textFill>
        </w:rPr>
      </w:pPr>
    </w:p>
    <w:p>
      <w:pPr>
        <w:spacing w:line="500" w:lineRule="exact"/>
        <w:ind w:firstLine="480" w:firstLineChars="200"/>
        <w:rPr>
          <w:rFonts w:ascii="宋体"/>
          <w:bCs/>
          <w:sz w:val="24"/>
          <w:szCs w:val="24"/>
        </w:rPr>
      </w:pPr>
      <w:bookmarkStart w:id="126" w:name="_Toc20823315"/>
      <w:bookmarkStart w:id="127" w:name="_Toc513029243"/>
      <w:bookmarkStart w:id="128" w:name="_Toc16938559"/>
      <w:r>
        <w:rPr>
          <w:rFonts w:hint="eastAsia" w:ascii="宋体" w:hAnsi="宋体"/>
          <w:bCs/>
          <w:sz w:val="24"/>
          <w:szCs w:val="24"/>
        </w:rPr>
        <w:t>以下为中标后签定本项目合同的通用条款，中标人不得提出实质性的修改，关于专用条款将由采购人与中标人结合本项目具体情况协商后签订。</w:t>
      </w:r>
    </w:p>
    <w:p>
      <w:pPr>
        <w:snapToGrid w:val="0"/>
        <w:spacing w:before="156" w:beforeLines="50" w:after="156" w:afterLines="50" w:line="500" w:lineRule="exact"/>
        <w:jc w:val="center"/>
        <w:outlineLvl w:val="0"/>
        <w:rPr>
          <w:rFonts w:ascii="宋体"/>
          <w:b/>
          <w:bCs/>
          <w:sz w:val="24"/>
          <w:szCs w:val="24"/>
        </w:rPr>
      </w:pPr>
      <w:r>
        <w:rPr>
          <w:rFonts w:hint="eastAsia" w:ascii="宋体" w:hAnsi="宋体"/>
          <w:b/>
          <w:sz w:val="24"/>
          <w:szCs w:val="24"/>
        </w:rPr>
        <w:t>政府采购合同（合同编号）</w:t>
      </w:r>
    </w:p>
    <w:p>
      <w:pPr>
        <w:pStyle w:val="14"/>
        <w:snapToGrid w:val="0"/>
        <w:spacing w:before="120" w:after="120" w:line="360" w:lineRule="auto"/>
        <w:rPr>
          <w:rFonts w:hAnsi="宋体"/>
          <w:sz w:val="24"/>
          <w:szCs w:val="24"/>
          <w:u w:val="single"/>
        </w:rPr>
      </w:pPr>
      <w:r>
        <w:rPr>
          <w:rFonts w:hint="eastAsia" w:hAnsi="宋体"/>
          <w:sz w:val="24"/>
          <w:szCs w:val="24"/>
        </w:rPr>
        <w:t>项目名称：</w:t>
      </w:r>
      <w:r>
        <w:rPr>
          <w:rFonts w:hint="eastAsia" w:hAnsi="宋体"/>
          <w:sz w:val="24"/>
          <w:szCs w:val="24"/>
          <w:u w:val="single"/>
        </w:rPr>
        <w:t>盐城幼儿师范高等专科学校艺术训练中心教学设备采购项目</w:t>
      </w:r>
    </w:p>
    <w:p>
      <w:pPr>
        <w:pStyle w:val="14"/>
        <w:snapToGrid w:val="0"/>
        <w:spacing w:before="120" w:after="120" w:line="360" w:lineRule="auto"/>
        <w:rPr>
          <w:rFonts w:hAnsi="宋体"/>
          <w:sz w:val="24"/>
          <w:szCs w:val="24"/>
          <w:u w:val="single"/>
        </w:rPr>
      </w:pPr>
      <w:r>
        <w:rPr>
          <w:rFonts w:hint="eastAsia" w:hAnsi="宋体"/>
          <w:sz w:val="24"/>
          <w:szCs w:val="24"/>
        </w:rPr>
        <w:t>项目编号：</w:t>
      </w:r>
      <w:r>
        <w:rPr>
          <w:rFonts w:hint="eastAsia" w:hAnsi="宋体"/>
          <w:sz w:val="24"/>
          <w:szCs w:val="24"/>
          <w:u w:val="single"/>
        </w:rPr>
        <w:t>YCYZ2022HW005</w:t>
      </w:r>
    </w:p>
    <w:p>
      <w:pPr>
        <w:pStyle w:val="14"/>
        <w:snapToGrid w:val="0"/>
        <w:spacing w:before="120" w:after="120" w:line="360" w:lineRule="auto"/>
        <w:rPr>
          <w:rFonts w:hAnsi="宋体"/>
          <w:sz w:val="24"/>
          <w:szCs w:val="24"/>
        </w:rPr>
      </w:pPr>
      <w:r>
        <w:rPr>
          <w:rFonts w:hint="eastAsia" w:hAnsi="宋体"/>
          <w:sz w:val="24"/>
          <w:szCs w:val="24"/>
        </w:rPr>
        <w:t>甲方：（买方）</w:t>
      </w:r>
      <w:r>
        <w:rPr>
          <w:rFonts w:hint="eastAsia" w:hAnsi="宋体"/>
          <w:sz w:val="24"/>
          <w:szCs w:val="24"/>
          <w:u w:val="single"/>
        </w:rPr>
        <w:t>盐城幼儿师范高等专科学校</w:t>
      </w:r>
    </w:p>
    <w:p>
      <w:pPr>
        <w:pStyle w:val="14"/>
        <w:snapToGrid w:val="0"/>
        <w:spacing w:before="120" w:after="120" w:line="360" w:lineRule="auto"/>
        <w:rPr>
          <w:rFonts w:hAnsi="宋体"/>
          <w:sz w:val="24"/>
          <w:szCs w:val="24"/>
        </w:rPr>
      </w:pPr>
      <w:r>
        <w:rPr>
          <w:rFonts w:hint="eastAsia" w:hAnsi="宋体"/>
          <w:sz w:val="24"/>
          <w:szCs w:val="24"/>
        </w:rPr>
        <w:t>乙方：（卖方）</w:t>
      </w:r>
      <w:r>
        <w:rPr>
          <w:rFonts w:hint="eastAsia" w:hAnsi="宋体"/>
          <w:sz w:val="24"/>
          <w:szCs w:val="24"/>
          <w:u w:val="single"/>
        </w:rPr>
        <w:t xml:space="preserve">          </w:t>
      </w:r>
      <w:r>
        <w:rPr>
          <w:rFonts w:hint="eastAsia" w:hAnsi="宋体"/>
          <w:sz w:val="24"/>
          <w:szCs w:val="24"/>
        </w:rPr>
        <w:t xml:space="preserve"> </w:t>
      </w:r>
    </w:p>
    <w:p>
      <w:pPr>
        <w:pStyle w:val="14"/>
        <w:snapToGrid w:val="0"/>
        <w:spacing w:before="120" w:after="120" w:line="360" w:lineRule="auto"/>
        <w:ind w:firstLine="480" w:firstLineChars="200"/>
        <w:rPr>
          <w:rFonts w:hAnsi="宋体"/>
          <w:b/>
          <w:sz w:val="24"/>
          <w:szCs w:val="24"/>
        </w:rPr>
      </w:pPr>
      <w:r>
        <w:rPr>
          <w:rFonts w:hint="eastAsia" w:hAnsi="宋体"/>
          <w:sz w:val="24"/>
          <w:szCs w:val="24"/>
        </w:rPr>
        <w:t>甲、乙双方根据</w:t>
      </w:r>
      <w:r>
        <w:rPr>
          <w:rFonts w:hint="eastAsia" w:hAnsi="宋体"/>
          <w:sz w:val="24"/>
          <w:szCs w:val="24"/>
          <w:u w:val="single"/>
        </w:rPr>
        <w:t>盐城幼儿师范高等专科学校艺术训练中心教学设备采购项目</w:t>
      </w:r>
      <w:r>
        <w:rPr>
          <w:rFonts w:hint="eastAsia" w:hAnsi="宋体"/>
          <w:sz w:val="24"/>
          <w:szCs w:val="24"/>
        </w:rPr>
        <w:t>公开招标的结果，签署本合同。</w:t>
      </w:r>
      <w:bookmarkEnd w:id="126"/>
      <w:bookmarkEnd w:id="127"/>
      <w:bookmarkEnd w:id="128"/>
    </w:p>
    <w:p>
      <w:pPr>
        <w:pStyle w:val="14"/>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一、货物内容</w:t>
      </w:r>
    </w:p>
    <w:p>
      <w:pPr>
        <w:pStyle w:val="14"/>
        <w:snapToGrid w:val="0"/>
        <w:spacing w:line="360" w:lineRule="auto"/>
        <w:ind w:firstLine="480" w:firstLineChars="200"/>
        <w:rPr>
          <w:rFonts w:hAnsi="宋体"/>
          <w:sz w:val="24"/>
          <w:szCs w:val="24"/>
        </w:rPr>
      </w:pPr>
      <w:r>
        <w:rPr>
          <w:rFonts w:hAnsi="宋体"/>
          <w:color w:val="000000" w:themeColor="text1"/>
          <w:sz w:val="24"/>
          <w:szCs w:val="24"/>
          <w14:textFill>
            <w14:solidFill>
              <w14:schemeClr w14:val="tx1"/>
            </w14:solidFill>
          </w14:textFill>
        </w:rPr>
        <w:t xml:space="preserve">1.1 </w:t>
      </w:r>
      <w:r>
        <w:rPr>
          <w:rFonts w:hint="eastAsia" w:hAnsi="宋体"/>
          <w:color w:val="000000" w:themeColor="text1"/>
          <w:sz w:val="24"/>
          <w:szCs w:val="24"/>
          <w14:textFill>
            <w14:solidFill>
              <w14:schemeClr w14:val="tx1"/>
            </w14:solidFill>
          </w14:textFill>
        </w:rPr>
        <w:t>货物名称：</w:t>
      </w:r>
      <w:r>
        <w:rPr>
          <w:rFonts w:hint="eastAsia" w:hAnsi="宋体"/>
          <w:sz w:val="24"/>
          <w:szCs w:val="24"/>
        </w:rPr>
        <w:t>盐城幼儿师范高等专科学校艺术训练中心教学设备采购项目</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1.2 </w:t>
      </w:r>
      <w:r>
        <w:rPr>
          <w:rFonts w:hint="eastAsia" w:hAnsi="宋体"/>
          <w:color w:val="000000" w:themeColor="text1"/>
          <w:sz w:val="24"/>
          <w:szCs w:val="24"/>
          <w14:textFill>
            <w14:solidFill>
              <w14:schemeClr w14:val="tx1"/>
            </w14:solidFill>
          </w14:textFill>
        </w:rPr>
        <w:t>型号规格：详见清单</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 </w:t>
      </w:r>
      <w:r>
        <w:rPr>
          <w:rFonts w:hint="eastAsia" w:hAnsi="宋体"/>
          <w:color w:val="000000" w:themeColor="text1"/>
          <w:sz w:val="24"/>
          <w:szCs w:val="24"/>
          <w14:textFill>
            <w14:solidFill>
              <w14:schemeClr w14:val="tx1"/>
            </w14:solidFill>
          </w14:textFill>
        </w:rPr>
        <w:t>数量（单位）：详见清单</w:t>
      </w:r>
    </w:p>
    <w:p>
      <w:pPr>
        <w:pStyle w:val="14"/>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二、合同金额</w:t>
      </w:r>
    </w:p>
    <w:p>
      <w:pPr>
        <w:pStyle w:val="14"/>
        <w:snapToGrid w:val="0"/>
        <w:spacing w:line="360" w:lineRule="auto"/>
        <w:ind w:firstLine="544" w:firstLineChars="227"/>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2.1 </w:t>
      </w:r>
      <w:r>
        <w:rPr>
          <w:rFonts w:hint="eastAsia" w:hAnsi="宋体"/>
          <w:color w:val="000000" w:themeColor="text1"/>
          <w:sz w:val="24"/>
          <w:szCs w:val="24"/>
          <w14:textFill>
            <w14:solidFill>
              <w14:schemeClr w14:val="tx1"/>
            </w14:solidFill>
          </w14:textFill>
        </w:rPr>
        <w:t>本合同金额为：人民币（大写）</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元整</w:t>
      </w:r>
      <w:r>
        <w:rPr>
          <w:rFonts w:hint="eastAsia" w:ascii="新宋体" w:hAnsi="新宋体" w:eastAsia="新宋体"/>
          <w:sz w:val="24"/>
        </w:rPr>
        <w:t>（￥</w:t>
      </w:r>
      <w:r>
        <w:rPr>
          <w:rFonts w:hint="eastAsia" w:ascii="新宋体" w:hAnsi="新宋体" w:eastAsia="新宋体"/>
          <w:sz w:val="24"/>
          <w:u w:val="single"/>
        </w:rPr>
        <w:t xml:space="preserve">         </w:t>
      </w:r>
      <w:r>
        <w:rPr>
          <w:rFonts w:hint="eastAsia" w:ascii="新宋体" w:hAnsi="新宋体" w:eastAsia="新宋体"/>
          <w:sz w:val="24"/>
        </w:rPr>
        <w:t>元）</w:t>
      </w:r>
      <w:r>
        <w:rPr>
          <w:rFonts w:hint="eastAsia" w:hAnsi="宋体"/>
          <w:color w:val="000000" w:themeColor="text1"/>
          <w:sz w:val="24"/>
          <w:szCs w:val="24"/>
          <w14:textFill>
            <w14:solidFill>
              <w14:schemeClr w14:val="tx1"/>
            </w14:solidFill>
          </w14:textFill>
        </w:rPr>
        <w:t>。</w:t>
      </w:r>
    </w:p>
    <w:p>
      <w:pPr>
        <w:pStyle w:val="14"/>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三、技术资料</w:t>
      </w:r>
    </w:p>
    <w:p>
      <w:pPr>
        <w:pStyle w:val="14"/>
        <w:snapToGrid w:val="0"/>
        <w:spacing w:line="360" w:lineRule="auto"/>
        <w:ind w:firstLine="544" w:firstLineChars="227"/>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3.1</w:t>
      </w:r>
      <w:r>
        <w:rPr>
          <w:rFonts w:hint="eastAsia" w:hAnsi="宋体"/>
          <w:color w:val="000000" w:themeColor="text1"/>
          <w:sz w:val="24"/>
          <w:szCs w:val="24"/>
          <w14:textFill>
            <w14:solidFill>
              <w14:schemeClr w14:val="tx1"/>
            </w14:solidFill>
          </w14:textFill>
        </w:rPr>
        <w:t>乙方应按招标文件规定的时间向甲方提供使用货物的有关技术资料。</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3.2 </w:t>
      </w:r>
      <w:r>
        <w:rPr>
          <w:rFonts w:hint="eastAsia" w:hAnsi="宋体"/>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snapToGrid w:val="0"/>
        <w:spacing w:before="156" w:beforeLines="50" w:line="360" w:lineRule="auto"/>
        <w:ind w:left="412" w:hanging="412" w:hangingChars="171"/>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四、知识产权</w:t>
      </w:r>
    </w:p>
    <w:p>
      <w:pPr>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4.1</w:t>
      </w:r>
      <w:r>
        <w:rPr>
          <w:rFonts w:hint="eastAsia" w:ascii="宋体" w:hAnsi="宋体"/>
          <w:color w:val="000000" w:themeColor="text1"/>
          <w:sz w:val="24"/>
          <w:szCs w:val="24"/>
          <w14:textFill>
            <w14:solidFill>
              <w14:schemeClr w14:val="tx1"/>
            </w14:solidFill>
          </w14:textFill>
        </w:rPr>
        <w:t>乙方应保证甲方在使用、接受本合同货物或其任何一部分时不受第三方提出侵犯其专利权、版权、商标权和工业设计权等知识产权的起诉。一旦出现侵权，由乙方负全部责任，因此造成甲方损失的，由乙方承担赔偿责任。</w:t>
      </w:r>
    </w:p>
    <w:p>
      <w:pPr>
        <w:pStyle w:val="14"/>
        <w:snapToGrid w:val="0"/>
        <w:spacing w:before="156" w:beforeLines="50" w:line="360" w:lineRule="auto"/>
        <w:rPr>
          <w:rFonts w:hAnsi="宋体"/>
          <w:color w:val="000000" w:themeColor="text1"/>
          <w:sz w:val="24"/>
          <w:szCs w:val="24"/>
          <w:u w:val="single"/>
          <w14:textFill>
            <w14:solidFill>
              <w14:schemeClr w14:val="tx1"/>
            </w14:solidFill>
          </w14:textFill>
        </w:rPr>
      </w:pPr>
      <w:r>
        <w:rPr>
          <w:rFonts w:hint="eastAsia" w:hAnsi="宋体"/>
          <w:b/>
          <w:color w:val="000000" w:themeColor="text1"/>
          <w:sz w:val="24"/>
          <w:szCs w:val="24"/>
          <w14:textFill>
            <w14:solidFill>
              <w14:schemeClr w14:val="tx1"/>
            </w14:solidFill>
          </w14:textFill>
        </w:rPr>
        <w:t>五、产权担保</w:t>
      </w:r>
    </w:p>
    <w:p>
      <w:pPr>
        <w:pStyle w:val="14"/>
        <w:snapToGrid w:val="0"/>
        <w:spacing w:line="360" w:lineRule="auto"/>
        <w:ind w:firstLine="480" w:firstLineChars="2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 xml:space="preserve">5.1 </w:t>
      </w:r>
      <w:r>
        <w:rPr>
          <w:rFonts w:hint="eastAsia" w:hAnsi="宋体"/>
          <w:color w:val="000000" w:themeColor="text1"/>
          <w:sz w:val="24"/>
          <w:szCs w:val="24"/>
          <w14:textFill>
            <w14:solidFill>
              <w14:schemeClr w14:val="tx1"/>
            </w14:solidFill>
          </w14:textFill>
        </w:rPr>
        <w:t>乙方保证所交付的货物的所有权完全属于乙方且无任何抵押、查封等产权瑕疵，因第三人向甲方主张相关权利的，由乙方承担所有责任，因此造成甲方损失的，由乙方负责赔偿。</w:t>
      </w:r>
    </w:p>
    <w:p>
      <w:pPr>
        <w:pStyle w:val="14"/>
        <w:snapToGrid w:val="0"/>
        <w:spacing w:before="156" w:beforeLines="50" w:line="360" w:lineRule="auto"/>
        <w:ind w:left="410" w:hanging="410" w:hangingChars="17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六、履约保证金</w:t>
      </w:r>
    </w:p>
    <w:p>
      <w:pPr>
        <w:pStyle w:val="14"/>
        <w:snapToGrid w:val="0"/>
        <w:spacing w:line="360" w:lineRule="auto"/>
        <w:ind w:firstLine="480" w:firstLineChars="200"/>
        <w:rPr>
          <w:rFonts w:hAnsi="宋体"/>
          <w:sz w:val="24"/>
          <w:szCs w:val="24"/>
          <w:u w:val="single"/>
        </w:rPr>
      </w:pPr>
      <w:r>
        <w:rPr>
          <w:rFonts w:hAnsi="宋体"/>
          <w:color w:val="000000" w:themeColor="text1"/>
          <w:sz w:val="24"/>
          <w:szCs w:val="24"/>
          <w14:textFill>
            <w14:solidFill>
              <w14:schemeClr w14:val="tx1"/>
            </w14:solidFill>
          </w14:textFill>
        </w:rPr>
        <w:t>6.1</w:t>
      </w:r>
      <w:r>
        <w:rPr>
          <w:rFonts w:hint="eastAsia" w:hAnsi="宋体"/>
          <w:color w:val="000000" w:themeColor="text1"/>
          <w:sz w:val="24"/>
          <w:szCs w:val="24"/>
          <w14:textFill>
            <w14:solidFill>
              <w14:schemeClr w14:val="tx1"/>
            </w14:solidFill>
          </w14:textFill>
        </w:rPr>
        <w:t>乙方交纳人民币（大写）</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元整</w:t>
      </w:r>
      <w:r>
        <w:rPr>
          <w:rFonts w:hint="eastAsia" w:ascii="新宋体" w:hAnsi="新宋体" w:eastAsia="新宋体"/>
          <w:sz w:val="24"/>
        </w:rPr>
        <w:t>（￥</w:t>
      </w:r>
      <w:r>
        <w:rPr>
          <w:rFonts w:hint="eastAsia" w:ascii="新宋体" w:hAnsi="新宋体" w:eastAsia="新宋体"/>
          <w:sz w:val="24"/>
          <w:u w:val="single"/>
        </w:rPr>
        <w:t xml:space="preserve">    </w:t>
      </w:r>
      <w:r>
        <w:rPr>
          <w:rFonts w:hint="eastAsia" w:ascii="新宋体" w:hAnsi="新宋体" w:eastAsia="新宋体"/>
          <w:sz w:val="24"/>
        </w:rPr>
        <w:t>元）</w:t>
      </w:r>
      <w:r>
        <w:rPr>
          <w:rFonts w:hint="eastAsia" w:hAnsi="宋体"/>
          <w:color w:val="000000" w:themeColor="text1"/>
          <w:sz w:val="24"/>
          <w:szCs w:val="24"/>
          <w14:textFill>
            <w14:solidFill>
              <w14:schemeClr w14:val="tx1"/>
            </w14:solidFill>
          </w14:textFill>
        </w:rPr>
        <w:t>作为本合同的履约保证金（</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合同金额的10%）</w:t>
      </w:r>
      <w:r>
        <w:rPr>
          <w:rFonts w:hint="eastAsia" w:hAnsi="宋体"/>
          <w:color w:val="000000" w:themeColor="text1"/>
          <w:sz w:val="24"/>
          <w:szCs w:val="24"/>
          <w:u w:val="single"/>
          <w14:textFill>
            <w14:solidFill>
              <w14:schemeClr w14:val="tx1"/>
            </w14:solidFill>
          </w14:textFill>
        </w:rPr>
        <w:t>。</w:t>
      </w:r>
      <w:r>
        <w:rPr>
          <w:rFonts w:hint="eastAsia" w:hAnsi="宋体"/>
          <w:sz w:val="24"/>
          <w:szCs w:val="24"/>
          <w:u w:val="single"/>
        </w:rPr>
        <w:t>一标段的履约保证金在第一次免费</w:t>
      </w:r>
      <w:r>
        <w:rPr>
          <w:rFonts w:hint="eastAsia" w:hAnsi="宋体"/>
          <w:sz w:val="24"/>
          <w:szCs w:val="24"/>
          <w:u w:val="single"/>
          <w:lang w:val="zh-CN"/>
        </w:rPr>
        <w:t>调律后</w:t>
      </w:r>
      <w:r>
        <w:rPr>
          <w:rFonts w:hint="eastAsia" w:hAnsi="宋体"/>
          <w:sz w:val="24"/>
          <w:szCs w:val="24"/>
          <w:u w:val="single"/>
        </w:rPr>
        <w:t>无息退还，其他标段履约保证金在完成合同规定服务事项，合同履约结束后一次性无息退还。</w:t>
      </w:r>
    </w:p>
    <w:p>
      <w:pPr>
        <w:snapToGrid w:val="0"/>
        <w:spacing w:before="156" w:beforeLines="50" w:line="360" w:lineRule="auto"/>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七、转包或分包</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w:t>
      </w:r>
      <w:r>
        <w:rPr>
          <w:rFonts w:hint="eastAsia" w:ascii="宋体" w:hAnsi="宋体"/>
          <w:color w:val="000000" w:themeColor="text1"/>
          <w:sz w:val="24"/>
          <w:szCs w:val="24"/>
          <w14:textFill>
            <w14:solidFill>
              <w14:schemeClr w14:val="tx1"/>
            </w14:solidFill>
          </w14:textFill>
        </w:rPr>
        <w:t>本合同范围的货物，应由乙方直接供应，不得转让他人供应；</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7.2 </w:t>
      </w:r>
      <w:r>
        <w:rPr>
          <w:rFonts w:hint="eastAsia" w:ascii="宋体" w:hAnsi="宋体"/>
          <w:color w:val="000000" w:themeColor="text1"/>
          <w:sz w:val="24"/>
          <w:szCs w:val="24"/>
          <w14:textFill>
            <w14:solidFill>
              <w14:schemeClr w14:val="tx1"/>
            </w14:solidFill>
          </w14:textFill>
        </w:rPr>
        <w:t>除非得到甲方的书面同意，乙方不得将合同约定标的部分分包给他人供应。</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7.3</w:t>
      </w:r>
      <w:r>
        <w:rPr>
          <w:rFonts w:hint="eastAsia" w:ascii="宋体" w:hAnsi="宋体"/>
          <w:color w:val="000000" w:themeColor="text1"/>
          <w:sz w:val="24"/>
          <w:szCs w:val="24"/>
          <w14:textFill>
            <w14:solidFill>
              <w14:schemeClr w14:val="tx1"/>
            </w14:solidFill>
          </w14:textFill>
        </w:rPr>
        <w:t>如有转让和未经甲方书面同意的分包行为，甲方有权给予终止合同。</w:t>
      </w:r>
    </w:p>
    <w:p>
      <w:pPr>
        <w:pStyle w:val="14"/>
        <w:snapToGrid w:val="0"/>
        <w:spacing w:before="156" w:beforeLines="50" w:line="360" w:lineRule="auto"/>
        <w:rPr>
          <w:rFonts w:hAnsi="宋体"/>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八、质保期</w:t>
      </w:r>
    </w:p>
    <w:p>
      <w:pPr>
        <w:pStyle w:val="14"/>
        <w:spacing w:line="360" w:lineRule="auto"/>
        <w:ind w:firstLine="480" w:firstLineChars="200"/>
        <w:rPr>
          <w:rFonts w:hAnsi="宋体" w:cs="Times New Roman"/>
          <w:sz w:val="24"/>
          <w:szCs w:val="24"/>
        </w:rPr>
      </w:pPr>
      <w:r>
        <w:rPr>
          <w:rFonts w:hAnsi="宋体"/>
          <w:color w:val="000000" w:themeColor="text1"/>
          <w:sz w:val="24"/>
          <w:szCs w:val="24"/>
          <w14:textFill>
            <w14:solidFill>
              <w14:schemeClr w14:val="tx1"/>
            </w14:solidFill>
          </w14:textFill>
        </w:rPr>
        <w:t xml:space="preserve">8.1 </w:t>
      </w:r>
      <w:r>
        <w:rPr>
          <w:rFonts w:hint="eastAsia" w:hAnsi="宋体"/>
          <w:color w:val="000000" w:themeColor="text1"/>
          <w:sz w:val="24"/>
          <w:szCs w:val="24"/>
          <w14:textFill>
            <w14:solidFill>
              <w14:schemeClr w14:val="tx1"/>
            </w14:solidFill>
          </w14:textFill>
        </w:rPr>
        <w:t>质保期</w:t>
      </w:r>
      <w:r>
        <w:rPr>
          <w:rFonts w:hint="eastAsia" w:hAnsi="宋体"/>
          <w:color w:val="000000" w:themeColor="text1"/>
          <w:sz w:val="24"/>
          <w:szCs w:val="24"/>
          <w:u w:val="single"/>
          <w14:textFill>
            <w14:solidFill>
              <w14:schemeClr w14:val="tx1"/>
            </w14:solidFill>
          </w14:textFill>
        </w:rPr>
        <w:t xml:space="preserve">  </w:t>
      </w:r>
      <w:r>
        <w:rPr>
          <w:rFonts w:hint="eastAsia" w:hAnsi="宋体"/>
          <w:sz w:val="24"/>
          <w:szCs w:val="24"/>
          <w:u w:val="single"/>
        </w:rPr>
        <w:t xml:space="preserve">   </w:t>
      </w:r>
      <w:r>
        <w:rPr>
          <w:rFonts w:hint="eastAsia" w:hAnsi="宋体"/>
          <w:sz w:val="24"/>
          <w:szCs w:val="24"/>
        </w:rPr>
        <w:t>年（钢琴</w:t>
      </w:r>
      <w:r>
        <w:rPr>
          <w:rFonts w:hint="eastAsia" w:ascii="Times New Roman" w:hAnsi="Times New Roman"/>
          <w:bCs/>
          <w:sz w:val="24"/>
          <w:szCs w:val="24"/>
          <w:lang w:val="zh-CN"/>
        </w:rPr>
        <w:t>含2次/年免费调律保养。</w:t>
      </w:r>
      <w:r>
        <w:rPr>
          <w:rFonts w:hint="eastAsia" w:hAnsi="宋体"/>
          <w:sz w:val="24"/>
          <w:szCs w:val="24"/>
        </w:rPr>
        <w:t>自交货验收合格之日起计，</w:t>
      </w:r>
      <w:r>
        <w:rPr>
          <w:rFonts w:hint="eastAsia" w:hAnsi="宋体" w:cs="Times New Roman"/>
          <w:sz w:val="24"/>
          <w:szCs w:val="24"/>
        </w:rPr>
        <w:t>质保期不少于一年，质保期具体按投标人承诺）。</w:t>
      </w:r>
    </w:p>
    <w:p>
      <w:pPr>
        <w:pStyle w:val="14"/>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九、交货期、交货方式及交货地点</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9.1 交货期：合同签订后30个工作日内送至盐城幼儿师范高等专科学校指定地点，并安装、调试到位。</w:t>
      </w:r>
    </w:p>
    <w:p>
      <w:pPr>
        <w:pStyle w:val="14"/>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 xml:space="preserve">9.2 </w:t>
      </w:r>
      <w:r>
        <w:rPr>
          <w:rFonts w:hint="eastAsia" w:hAnsi="宋体"/>
          <w:bCs/>
          <w:color w:val="000000" w:themeColor="text1"/>
          <w:sz w:val="24"/>
          <w:szCs w:val="24"/>
          <w14:textFill>
            <w14:solidFill>
              <w14:schemeClr w14:val="tx1"/>
            </w14:solidFill>
          </w14:textFill>
        </w:rPr>
        <w:t>交货方式：</w:t>
      </w:r>
      <w:r>
        <w:rPr>
          <w:rFonts w:hint="eastAsia" w:hAnsi="宋体"/>
          <w:color w:val="000000" w:themeColor="text1"/>
          <w:sz w:val="24"/>
          <w:szCs w:val="24"/>
          <w:u w:val="single"/>
          <w14:textFill>
            <w14:solidFill>
              <w14:schemeClr w14:val="tx1"/>
            </w14:solidFill>
          </w14:textFill>
        </w:rPr>
        <w:t>按照甲方要求和采用保证设备性能的包装要求。设备交货应保证及时性和部件的完整性，全部设备及附件必须在约定时间之前运到现场；若因乙方运输造成任何桥梁、道路等损害而引起纠纷和索赔，须由乙方自行解决。乙方负责通行证件的办理，并承担相关费用。乙方应尽最大努力采取措施降低合同设备在运输和安装过程中的风险。</w:t>
      </w:r>
    </w:p>
    <w:p>
      <w:pPr>
        <w:pStyle w:val="14"/>
        <w:snapToGrid w:val="0"/>
        <w:spacing w:line="360" w:lineRule="auto"/>
        <w:ind w:firstLine="480" w:firstLineChars="200"/>
        <w:rPr>
          <w:rFonts w:hAnsi="宋体"/>
          <w:b/>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 xml:space="preserve">9.3 </w:t>
      </w:r>
      <w:r>
        <w:rPr>
          <w:rFonts w:hint="eastAsia" w:hAnsi="宋体"/>
          <w:bCs/>
          <w:color w:val="000000" w:themeColor="text1"/>
          <w:sz w:val="24"/>
          <w:szCs w:val="24"/>
          <w14:textFill>
            <w14:solidFill>
              <w14:schemeClr w14:val="tx1"/>
            </w14:solidFill>
          </w14:textFill>
        </w:rPr>
        <w:t>交货地点：</w:t>
      </w:r>
      <w:r>
        <w:rPr>
          <w:rFonts w:hint="eastAsia" w:hAnsi="宋体"/>
          <w:bCs/>
          <w:color w:val="000000" w:themeColor="text1"/>
          <w:sz w:val="24"/>
          <w:szCs w:val="24"/>
          <w:u w:val="single"/>
          <w14:textFill>
            <w14:solidFill>
              <w14:schemeClr w14:val="tx1"/>
            </w14:solidFill>
          </w14:textFill>
        </w:rPr>
        <w:t>送货到甲方指定地点并安装调试</w:t>
      </w:r>
      <w:r>
        <w:rPr>
          <w:rFonts w:hint="eastAsia" w:hAnsi="宋体"/>
          <w:bCs/>
          <w:color w:val="000000" w:themeColor="text1"/>
          <w:sz w:val="24"/>
          <w:szCs w:val="24"/>
          <w14:textFill>
            <w14:solidFill>
              <w14:schemeClr w14:val="tx1"/>
            </w14:solidFill>
          </w14:textFill>
        </w:rPr>
        <w:t>。</w:t>
      </w:r>
    </w:p>
    <w:p>
      <w:pPr>
        <w:pStyle w:val="14"/>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十、货款支付</w:t>
      </w:r>
    </w:p>
    <w:p>
      <w:pPr>
        <w:pStyle w:val="14"/>
        <w:snapToGrid w:val="0"/>
        <w:spacing w:line="360" w:lineRule="auto"/>
        <w:ind w:firstLine="480" w:firstLineChars="200"/>
        <w:rPr>
          <w:rFonts w:hAnsi="宋体"/>
          <w:sz w:val="24"/>
          <w:szCs w:val="24"/>
          <w:u w:val="single"/>
        </w:rPr>
      </w:pPr>
      <w:r>
        <w:rPr>
          <w:rFonts w:hAnsi="宋体"/>
          <w:color w:val="000000" w:themeColor="text1"/>
          <w:sz w:val="24"/>
          <w:szCs w:val="24"/>
          <w14:textFill>
            <w14:solidFill>
              <w14:schemeClr w14:val="tx1"/>
            </w14:solidFill>
          </w14:textFill>
        </w:rPr>
        <w:t xml:space="preserve">10.1 </w:t>
      </w:r>
      <w:r>
        <w:rPr>
          <w:rFonts w:hint="eastAsia" w:hAnsi="宋体"/>
          <w:color w:val="000000" w:themeColor="text1"/>
          <w:sz w:val="24"/>
          <w:szCs w:val="24"/>
          <w:highlight w:val="yellow"/>
          <w14:textFill>
            <w14:solidFill>
              <w14:schemeClr w14:val="tx1"/>
            </w14:solidFill>
          </w14:textFill>
        </w:rPr>
        <w:t>付款方式</w:t>
      </w:r>
      <w:r>
        <w:rPr>
          <w:rFonts w:hint="eastAsia" w:hAnsi="宋体"/>
          <w:color w:val="000000" w:themeColor="text1"/>
          <w:sz w:val="24"/>
          <w:szCs w:val="24"/>
          <w14:textFill>
            <w14:solidFill>
              <w14:schemeClr w14:val="tx1"/>
            </w14:solidFill>
          </w14:textFill>
        </w:rPr>
        <w:t>：</w:t>
      </w:r>
      <w:r>
        <w:rPr>
          <w:rFonts w:hint="eastAsia" w:hAnsi="宋体"/>
          <w:sz w:val="24"/>
          <w:szCs w:val="24"/>
          <w:u w:val="single"/>
        </w:rPr>
        <w:t>预付款按盐财购【2022】23号文执行，货物全部送达甲方指定地点，经甲方核点完毕后付合同价的50%；待货物安装、调试、验收合格后30日内，支付合格货物总价的100%。</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sz w:val="24"/>
          <w:szCs w:val="24"/>
        </w:rPr>
        <w:t>付款前，乙</w:t>
      </w:r>
      <w:r>
        <w:rPr>
          <w:rFonts w:hint="eastAsia" w:hAnsi="宋体"/>
          <w:color w:val="000000" w:themeColor="text1"/>
          <w:sz w:val="24"/>
          <w:szCs w:val="24"/>
          <w14:textFill>
            <w14:solidFill>
              <w14:schemeClr w14:val="tx1"/>
            </w14:solidFill>
          </w14:textFill>
        </w:rPr>
        <w:t>方应当提供完税发票供甲方办理付款手续。如乙方不提供完税发票的，校方有权拒绝付款。</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10.2</w:t>
      </w:r>
      <w:r>
        <w:rPr>
          <w:rFonts w:hint="eastAsia" w:hAnsi="宋体"/>
          <w:color w:val="000000" w:themeColor="text1"/>
          <w:sz w:val="24"/>
          <w:szCs w:val="24"/>
          <w14:textFill>
            <w14:solidFill>
              <w14:schemeClr w14:val="tx1"/>
            </w14:solidFill>
          </w14:textFill>
        </w:rPr>
        <w:t>当采购数量与实际使用数量不一致时，乙方应根据实际使用量供货，合同的最终结算金额按实际使用量乘以成交单价进行计算。</w:t>
      </w:r>
    </w:p>
    <w:p>
      <w:pPr>
        <w:pStyle w:val="14"/>
        <w:snapToGrid w:val="0"/>
        <w:spacing w:line="360" w:lineRule="auto"/>
        <w:ind w:firstLine="482" w:firstLineChars="200"/>
        <w:rPr>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十一、税费</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11.1</w:t>
      </w:r>
      <w:r>
        <w:rPr>
          <w:rFonts w:hint="eastAsia" w:ascii="宋体" w:hAnsi="宋体"/>
          <w:color w:val="000000" w:themeColor="text1"/>
          <w:sz w:val="24"/>
          <w:szCs w:val="24"/>
          <w14:textFill>
            <w14:solidFill>
              <w14:schemeClr w14:val="tx1"/>
            </w14:solidFill>
          </w14:textFill>
        </w:rPr>
        <w:t>本合同执行中相关的一切税费均由乙方负担。</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11.2乙方必须为全部合同设备投保运输一切险，保险履盖范围包括从卖方起运站/港口仓库起，到甲方指定的工地卸货仓库/工地安装现场并经开箱验收合格为止，保险费应含在合同价中。</w:t>
      </w:r>
    </w:p>
    <w:p>
      <w:pPr>
        <w:pStyle w:val="14"/>
        <w:numPr>
          <w:ilvl w:val="0"/>
          <w:numId w:val="1"/>
        </w:numPr>
        <w:snapToGrid w:val="0"/>
        <w:spacing w:before="156" w:beforeLines="50" w:line="360" w:lineRule="auto"/>
        <w:ind w:left="412" w:hanging="412" w:hangingChars="171"/>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质量保证及售后服务</w:t>
      </w:r>
    </w:p>
    <w:p>
      <w:pPr>
        <w:pStyle w:val="22"/>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12.1产品均提供三证（产品合格证、使用说明书、产品保修卡），终身维修。产品质量达到企业标准，并做出以下产品服务承诺：</w:t>
      </w:r>
    </w:p>
    <w:p>
      <w:pPr>
        <w:pStyle w:val="22"/>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（1）保修、包换受理范围：仅适用于严格按照产品说明书、安装指南要求操作而发生的产品质量问题；</w:t>
      </w:r>
    </w:p>
    <w:p>
      <w:pPr>
        <w:pStyle w:val="22"/>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（2）保修：在申明的产品保修期内，对因设计、工艺、材料不良而影响产品使用功能，本公司承担修复产品所产生的各项配件和服务费用；</w:t>
      </w:r>
    </w:p>
    <w:p>
      <w:pPr>
        <w:pStyle w:val="22"/>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（3）包换：在注明产品包换期内，对因无法通过保修服务修复相关功能的产品，经双方共同确认，免费为客户提供产品更换等在内的各项费用和服务；</w:t>
      </w:r>
    </w:p>
    <w:p>
      <w:pPr>
        <w:pStyle w:val="22"/>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（4）终身维修：对售出产品建立售后服务档案，在保修服务期内提供免费的保修服务，超过保修期的产品提供有偿维护与维修服务；</w:t>
      </w:r>
    </w:p>
    <w:p>
      <w:pPr>
        <w:pStyle w:val="22"/>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（5）保修期起算日期：货物保修期自交货验收合格之日起计。</w:t>
      </w:r>
    </w:p>
    <w:p>
      <w:pPr>
        <w:pStyle w:val="22"/>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（6）服务响应时间：接到维修电话后 4 小时内给予明确答复，8 小时内到达现场维修。维修人员到现场后若问题特殊无法现场修复的，供货方需在 24 小时内给出合理解决方案。</w:t>
      </w:r>
    </w:p>
    <w:p>
      <w:pPr>
        <w:pStyle w:val="22"/>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（7）培训要求：需组织具有设备厂家认证的技术人员及工程师，负责对所售设备进行安装、调试。为用户至少培训 2 名熟练操作的工作人员。完成调试后，向用户提供操作手册等技术资料。验收的技术标准达到制造（生产）厂商标明的技术指标，检测的标准依据国家相关规定执行。</w:t>
      </w:r>
    </w:p>
    <w:p>
      <w:pPr>
        <w:pStyle w:val="14"/>
        <w:snapToGrid w:val="0"/>
        <w:spacing w:line="360" w:lineRule="auto"/>
        <w:ind w:firstLine="480" w:firstLineChars="200"/>
        <w:rPr>
          <w:rFonts w:hAnsi="宋体"/>
          <w:sz w:val="24"/>
          <w:szCs w:val="24"/>
        </w:rPr>
      </w:pPr>
      <w:r>
        <w:rPr>
          <w:rFonts w:hAnsi="宋体"/>
          <w:sz w:val="24"/>
          <w:szCs w:val="24"/>
        </w:rPr>
        <w:t>12.</w:t>
      </w:r>
      <w:r>
        <w:rPr>
          <w:rFonts w:hint="eastAsia" w:hAnsi="宋体"/>
          <w:sz w:val="24"/>
          <w:szCs w:val="24"/>
        </w:rPr>
        <w:t>2</w:t>
      </w:r>
      <w:r>
        <w:rPr>
          <w:rFonts w:hAnsi="宋体"/>
          <w:sz w:val="24"/>
          <w:szCs w:val="24"/>
        </w:rPr>
        <w:t xml:space="preserve"> </w:t>
      </w:r>
      <w:r>
        <w:rPr>
          <w:rFonts w:hint="eastAsia" w:hAnsi="宋体"/>
          <w:sz w:val="24"/>
          <w:szCs w:val="24"/>
        </w:rPr>
        <w:t>在质保期内，乙方应对货物出现的质量及安全问题负责处理解决并承担一切费用。根据厂方的规定对所供货物进行保修，在质量保证期内，乙方不得收取任何费用；质量保证期满后，乙方对用户货物的维修，只收成本费，并提供终生技术服务。</w:t>
      </w:r>
    </w:p>
    <w:p>
      <w:pPr>
        <w:pStyle w:val="14"/>
        <w:snapToGrid w:val="0"/>
        <w:spacing w:line="360" w:lineRule="auto"/>
        <w:ind w:firstLine="480" w:firstLineChars="200"/>
        <w:rPr>
          <w:rFonts w:hAnsi="宋体"/>
          <w:sz w:val="24"/>
          <w:szCs w:val="24"/>
        </w:rPr>
      </w:pPr>
      <w:r>
        <w:rPr>
          <w:rFonts w:hint="eastAsia" w:hAnsi="宋体"/>
          <w:sz w:val="24"/>
          <w:szCs w:val="24"/>
        </w:rPr>
        <w:t>12.3如甲方使用不当造成货物的毁损，乙方有义务协助维修。</w:t>
      </w:r>
    </w:p>
    <w:p>
      <w:pPr>
        <w:pStyle w:val="14"/>
        <w:snapToGrid w:val="0"/>
        <w:spacing w:line="360" w:lineRule="auto"/>
        <w:ind w:firstLine="480" w:firstLineChars="200"/>
        <w:rPr>
          <w:rFonts w:hAnsi="宋体"/>
          <w:sz w:val="24"/>
          <w:szCs w:val="24"/>
        </w:rPr>
      </w:pPr>
      <w:r>
        <w:rPr>
          <w:rFonts w:hint="eastAsia" w:hAnsi="宋体"/>
          <w:sz w:val="24"/>
          <w:szCs w:val="24"/>
        </w:rPr>
        <w:t>12.4乙方应对其施工人员的现场安全责任负责，因施工现场造成的安全事故或人员伤亡由乙方承担相应责任及发生的一切费用。</w:t>
      </w:r>
    </w:p>
    <w:p>
      <w:pPr>
        <w:pStyle w:val="14"/>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十三、调试和验收</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13.1 </w:t>
      </w:r>
      <w:r>
        <w:rPr>
          <w:rFonts w:hint="eastAsia" w:hAnsi="宋体"/>
          <w:color w:val="000000" w:themeColor="text1"/>
          <w:sz w:val="24"/>
          <w:szCs w:val="24"/>
          <w14:textFill>
            <w14:solidFill>
              <w14:schemeClr w14:val="tx1"/>
            </w14:solidFill>
          </w14:textFill>
        </w:rPr>
        <w:t>甲方对乙方提交的货物依据招标文件上的技术规格要求和国家有关质量标准进行现场初步验收，外观、说明书符合招标文件技术要求的，给予签收，初步验收不合格的不予签收。全部货物安装调试完毕后15日内，由甲方邀请相关专业人员，按照招标文件的要求和现行技术标准、强制性标准对所供货物的技术性能、技术参数、安装质量等进行验收。甲方的初步验收并不免除乙方的质量保证责任。</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13.2 </w:t>
      </w:r>
      <w:r>
        <w:rPr>
          <w:rFonts w:hint="eastAsia" w:hAnsi="宋体"/>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4"/>
        <w:snapToGrid w:val="0"/>
        <w:spacing w:line="360" w:lineRule="auto"/>
        <w:ind w:firstLine="480" w:firstLineChars="2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 xml:space="preserve">13.3 </w:t>
      </w:r>
      <w:r>
        <w:rPr>
          <w:rFonts w:hint="eastAsia" w:hAnsi="宋体"/>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13.4 </w:t>
      </w:r>
      <w:r>
        <w:rPr>
          <w:rFonts w:hint="eastAsia" w:hAnsi="宋体"/>
          <w:color w:val="000000" w:themeColor="text1"/>
          <w:sz w:val="24"/>
          <w:szCs w:val="24"/>
          <w14:textFill>
            <w14:solidFill>
              <w14:schemeClr w14:val="tx1"/>
            </w14:solidFill>
          </w14:textFill>
        </w:rPr>
        <w:t>对技术复杂的货物，甲方可请国家认可的专业检测机构参与初步验收及最终验收，并由其出具质量检测报告。检查结果与约定的质量标准不符合或存在瑕疵时，由乙方承担全部赔偿责任及检测费用。</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13.5 </w:t>
      </w:r>
      <w:r>
        <w:rPr>
          <w:rFonts w:hint="eastAsia" w:hAnsi="宋体"/>
          <w:color w:val="000000" w:themeColor="text1"/>
          <w:sz w:val="24"/>
          <w:szCs w:val="24"/>
          <w14:textFill>
            <w14:solidFill>
              <w14:schemeClr w14:val="tx1"/>
            </w14:solidFill>
          </w14:textFill>
        </w:rPr>
        <w:t>验收时乙方必须在现场，验收完毕后作出验收结果报告；验收费用由甲乙双方协商解决。</w:t>
      </w:r>
    </w:p>
    <w:p>
      <w:pPr>
        <w:snapToGrid w:val="0"/>
        <w:spacing w:line="360" w:lineRule="auto"/>
        <w:ind w:firstLine="482" w:firstLineChars="200"/>
        <w:rPr>
          <w:rFonts w:ascii="宋体" w:hAnsi="宋体" w:cs="Courier New"/>
          <w:b/>
          <w:color w:val="000000"/>
          <w:sz w:val="24"/>
          <w:szCs w:val="24"/>
        </w:rPr>
      </w:pPr>
      <w:r>
        <w:rPr>
          <w:rFonts w:hint="eastAsia" w:ascii="宋体" w:hAnsi="宋体" w:cs="Courier New"/>
          <w:b/>
          <w:color w:val="000000"/>
          <w:sz w:val="24"/>
          <w:szCs w:val="24"/>
        </w:rPr>
        <w:t>13.6全部产品送至现场后，</w:t>
      </w:r>
      <w:r>
        <w:rPr>
          <w:rFonts w:hint="eastAsia" w:hAnsi="宋体"/>
          <w:b/>
          <w:bCs/>
          <w:color w:val="000000"/>
          <w:sz w:val="24"/>
          <w:szCs w:val="24"/>
        </w:rPr>
        <w:t>甲方</w:t>
      </w:r>
      <w:r>
        <w:rPr>
          <w:rFonts w:hint="eastAsia" w:ascii="宋体" w:hAnsi="宋体" w:cs="Courier New"/>
          <w:b/>
          <w:color w:val="000000"/>
          <w:sz w:val="24"/>
          <w:szCs w:val="24"/>
        </w:rPr>
        <w:t>有权随机</w:t>
      </w:r>
      <w:r>
        <w:rPr>
          <w:rFonts w:hint="eastAsia" w:hAnsi="宋体"/>
          <w:b/>
          <w:bCs/>
          <w:color w:val="000000"/>
          <w:sz w:val="24"/>
          <w:szCs w:val="24"/>
        </w:rPr>
        <w:t>抽取一样或多样产品</w:t>
      </w:r>
      <w:r>
        <w:rPr>
          <w:rFonts w:hint="eastAsia" w:ascii="宋体" w:hAnsi="宋体" w:cs="Courier New"/>
          <w:b/>
          <w:color w:val="000000"/>
          <w:sz w:val="24"/>
          <w:szCs w:val="24"/>
        </w:rPr>
        <w:t>送至质检部门检测，并由乙方派技术人员到检验中心现场辅助安装。如抽检一次性合格，检测费用及由此产生的所有费用（含产品）由甲方承担。如第一次检测不合格，所有的费用（含产品）及全部检测费用（不论检测几次）均由乙方承担，且甲方有权退回所有产品并没收履约保证金。同时甲方有权使用检测不合格产品直至合格产品替换（乙方承担一切费用）或指定其他生产厂家直接供货，产品费用按其他生产厂家供货价直接从乙方合同价款中扣除。</w:t>
      </w:r>
    </w:p>
    <w:p>
      <w:pPr>
        <w:spacing w:line="360" w:lineRule="auto"/>
        <w:ind w:firstLine="482" w:firstLineChars="200"/>
        <w:rPr>
          <w:rFonts w:ascii="仿宋_GB2312" w:eastAsia="仿宋_GB2312"/>
          <w:kern w:val="0"/>
          <w:sz w:val="30"/>
          <w:szCs w:val="30"/>
        </w:rPr>
      </w:pPr>
      <w:r>
        <w:rPr>
          <w:rFonts w:hint="eastAsia" w:ascii="新宋体" w:hAnsi="新宋体" w:eastAsia="新宋体"/>
          <w:b/>
          <w:color w:val="000000"/>
          <w:kern w:val="0"/>
          <w:sz w:val="24"/>
          <w:szCs w:val="30"/>
        </w:rPr>
        <w:t>13.7本项目乙方使用的所有材料必须为安全、环保材料，在供货结束后甲方将对所有涉及到环保要求的材料进行抽检，并将组织权威部门的检测机构进行室内环境质量检测，如不达标，造成的一切损失以及后果（包括但不限于检测费用及由此产生的所有费用）均由乙方自行承担。</w:t>
      </w:r>
    </w:p>
    <w:p>
      <w:pPr>
        <w:pStyle w:val="14"/>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十四、货物包装、发运及运输</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14.1 </w:t>
      </w:r>
      <w:r>
        <w:rPr>
          <w:rFonts w:hint="eastAsia" w:hAnsi="宋体"/>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4"/>
        <w:snapToGrid w:val="0"/>
        <w:spacing w:line="360" w:lineRule="auto"/>
        <w:ind w:left="65" w:hanging="64" w:hangingChars="27"/>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14.2 </w:t>
      </w:r>
      <w:r>
        <w:rPr>
          <w:rFonts w:hint="eastAsia" w:hAnsi="宋体"/>
          <w:color w:val="000000" w:themeColor="text1"/>
          <w:sz w:val="24"/>
          <w:szCs w:val="24"/>
          <w14:textFill>
            <w14:solidFill>
              <w14:schemeClr w14:val="tx1"/>
            </w14:solidFill>
          </w14:textFill>
        </w:rPr>
        <w:t>使用说明书、质量检验证明书、随配附件和工具以及清单一并附于货物内。</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14.3 </w:t>
      </w:r>
      <w:r>
        <w:rPr>
          <w:rFonts w:hint="eastAsia" w:hAnsi="宋体"/>
          <w:color w:val="000000" w:themeColor="text1"/>
          <w:sz w:val="24"/>
          <w:szCs w:val="24"/>
          <w14:textFill>
            <w14:solidFill>
              <w14:schemeClr w14:val="tx1"/>
            </w14:solidFill>
          </w14:textFill>
        </w:rPr>
        <w:t>乙方在货物发运手续办理完毕后</w:t>
      </w:r>
      <w:r>
        <w:rPr>
          <w:rFonts w:hAnsi="宋体"/>
          <w:color w:val="000000" w:themeColor="text1"/>
          <w:sz w:val="24"/>
          <w:szCs w:val="24"/>
          <w:u w:val="single"/>
          <w14:textFill>
            <w14:solidFill>
              <w14:schemeClr w14:val="tx1"/>
            </w14:solidFill>
          </w14:textFill>
        </w:rPr>
        <w:t>24</w:t>
      </w:r>
      <w:r>
        <w:rPr>
          <w:rFonts w:hint="eastAsia" w:hAnsi="宋体"/>
          <w:color w:val="000000" w:themeColor="text1"/>
          <w:sz w:val="24"/>
          <w:szCs w:val="24"/>
          <w:u w:val="single"/>
          <w14:textFill>
            <w14:solidFill>
              <w14:schemeClr w14:val="tx1"/>
            </w14:solidFill>
          </w14:textFill>
        </w:rPr>
        <w:t>小时</w:t>
      </w:r>
      <w:r>
        <w:rPr>
          <w:rFonts w:hint="eastAsia" w:hAnsi="宋体"/>
          <w:color w:val="000000" w:themeColor="text1"/>
          <w:sz w:val="24"/>
          <w:szCs w:val="24"/>
          <w14:textFill>
            <w14:solidFill>
              <w14:schemeClr w14:val="tx1"/>
            </w14:solidFill>
          </w14:textFill>
        </w:rPr>
        <w:t>内或货到甲方</w:t>
      </w:r>
      <w:r>
        <w:rPr>
          <w:rFonts w:hAnsi="宋体"/>
          <w:color w:val="000000" w:themeColor="text1"/>
          <w:sz w:val="24"/>
          <w:szCs w:val="24"/>
          <w:u w:val="single"/>
          <w14:textFill>
            <w14:solidFill>
              <w14:schemeClr w14:val="tx1"/>
            </w14:solidFill>
          </w14:textFill>
        </w:rPr>
        <w:t>48</w:t>
      </w:r>
      <w:r>
        <w:rPr>
          <w:rFonts w:hint="eastAsia" w:hAnsi="宋体"/>
          <w:color w:val="000000" w:themeColor="text1"/>
          <w:sz w:val="24"/>
          <w:szCs w:val="24"/>
          <w:u w:val="single"/>
          <w14:textFill>
            <w14:solidFill>
              <w14:schemeClr w14:val="tx1"/>
            </w14:solidFill>
          </w14:textFill>
        </w:rPr>
        <w:t>小时</w:t>
      </w:r>
      <w:r>
        <w:rPr>
          <w:rFonts w:hint="eastAsia" w:hAnsi="宋体"/>
          <w:color w:val="000000" w:themeColor="text1"/>
          <w:sz w:val="24"/>
          <w:szCs w:val="24"/>
          <w14:textFill>
            <w14:solidFill>
              <w14:schemeClr w14:val="tx1"/>
            </w14:solidFill>
          </w14:textFill>
        </w:rPr>
        <w:t>前通知甲方，以准备接货。</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14.4 </w:t>
      </w:r>
      <w:r>
        <w:rPr>
          <w:rFonts w:hint="eastAsia" w:hAnsi="宋体"/>
          <w:color w:val="000000" w:themeColor="text1"/>
          <w:sz w:val="24"/>
          <w:szCs w:val="24"/>
          <w14:textFill>
            <w14:solidFill>
              <w14:schemeClr w14:val="tx1"/>
            </w14:solidFill>
          </w14:textFill>
        </w:rPr>
        <w:t>货物在交付甲方前发生的风险均由乙方负责。</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14.5 </w:t>
      </w:r>
      <w:r>
        <w:rPr>
          <w:rFonts w:hint="eastAsia" w:hAnsi="宋体"/>
          <w:color w:val="000000"/>
          <w:sz w:val="24"/>
          <w:szCs w:val="24"/>
        </w:rPr>
        <w:t>货物在规定的交付期限内由乙方送达甲方指定的地点，经甲方根据乙方提供的清单初步核对数量、外观无误的视为交付，乙方同时需通知甲方货物已送达，甲方的初步验收并不视为货物无任何质量问题，也并不免除乙方的质量保证责任。</w:t>
      </w:r>
    </w:p>
    <w:p>
      <w:pPr>
        <w:pStyle w:val="14"/>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十五、违约责任</w:t>
      </w:r>
    </w:p>
    <w:p>
      <w:pPr>
        <w:pStyle w:val="14"/>
        <w:snapToGrid w:val="0"/>
        <w:spacing w:line="360" w:lineRule="auto"/>
        <w:ind w:firstLine="544" w:firstLineChars="227"/>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15.1 </w:t>
      </w:r>
      <w:r>
        <w:rPr>
          <w:rFonts w:hint="eastAsia" w:hAnsi="宋体"/>
          <w:color w:val="000000" w:themeColor="text1"/>
          <w:sz w:val="24"/>
          <w:szCs w:val="24"/>
          <w14:textFill>
            <w14:solidFill>
              <w14:schemeClr w14:val="tx1"/>
            </w14:solidFill>
          </w14:textFill>
        </w:rPr>
        <w:t>甲方无正当理由拒收货物的，甲方向乙方偿付拒收货款总值的百分之五违</w:t>
      </w:r>
    </w:p>
    <w:p>
      <w:pPr>
        <w:pStyle w:val="14"/>
        <w:snapToGrid w:val="0"/>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约金。</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15.2 </w:t>
      </w:r>
      <w:r>
        <w:rPr>
          <w:rFonts w:hint="eastAsia" w:hAnsi="宋体"/>
          <w:color w:val="000000" w:themeColor="text1"/>
          <w:sz w:val="24"/>
          <w:szCs w:val="24"/>
          <w14:textFill>
            <w14:solidFill>
              <w14:schemeClr w14:val="tx1"/>
            </w14:solidFill>
          </w14:textFill>
        </w:rPr>
        <w:t>甲方无故逾期验收和办理货款支付手续的</w:t>
      </w:r>
      <w:r>
        <w:rPr>
          <w:rFonts w:hAnsi="宋体"/>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甲方应按逾期付款总额每日万分之五向乙方支付违约金。</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15.3 </w:t>
      </w:r>
      <w:r>
        <w:rPr>
          <w:rFonts w:hint="eastAsia" w:hAnsi="宋体"/>
          <w:color w:val="000000" w:themeColor="text1"/>
          <w:sz w:val="24"/>
          <w:szCs w:val="24"/>
          <w14:textFill>
            <w14:solidFill>
              <w14:schemeClr w14:val="tx1"/>
            </w14:solidFill>
          </w14:textFill>
        </w:rPr>
        <w:t>乙方逾期交付货物的，乙方应按逾期交货总额每日千分之六向甲方支付违约金，由甲方从待付货款中扣除。逾期超过约定日期</w:t>
      </w:r>
      <w:r>
        <w:rPr>
          <w:rFonts w:hAnsi="宋体"/>
          <w:color w:val="000000" w:themeColor="text1"/>
          <w:sz w:val="24"/>
          <w:szCs w:val="24"/>
          <w14:textFill>
            <w14:solidFill>
              <w14:schemeClr w14:val="tx1"/>
            </w14:solidFill>
          </w14:textFill>
        </w:rPr>
        <w:t>10</w:t>
      </w:r>
      <w:r>
        <w:rPr>
          <w:rFonts w:hint="eastAsia" w:hAnsi="宋体"/>
          <w:color w:val="000000" w:themeColor="text1"/>
          <w:sz w:val="24"/>
          <w:szCs w:val="24"/>
          <w14:textFill>
            <w14:solidFill>
              <w14:schemeClr w14:val="tx1"/>
            </w14:solidFill>
          </w14:textFill>
        </w:rPr>
        <w:t>个工作日不能交货的，甲方可解除本合同。乙方因逾期交货或因其他违约行为导致甲方解除合同的，乙方应向甲方支付合同总值</w:t>
      </w:r>
      <w:r>
        <w:rPr>
          <w:rFonts w:hAnsi="宋体"/>
          <w:color w:val="000000" w:themeColor="text1"/>
          <w:sz w:val="24"/>
          <w:szCs w:val="24"/>
          <w14:textFill>
            <w14:solidFill>
              <w14:schemeClr w14:val="tx1"/>
            </w14:solidFill>
          </w14:textFill>
        </w:rPr>
        <w:t>5%</w:t>
      </w:r>
      <w:r>
        <w:rPr>
          <w:rFonts w:hint="eastAsia" w:hAnsi="宋体"/>
          <w:color w:val="000000" w:themeColor="text1"/>
          <w:sz w:val="24"/>
          <w:szCs w:val="24"/>
          <w14:textFill>
            <w14:solidFill>
              <w14:schemeClr w14:val="tx1"/>
            </w14:solidFill>
          </w14:textFill>
        </w:rPr>
        <w:t>的违约金，如造成甲方损失超过违约金的，超出部分由乙方继续承担赔偿责任。</w:t>
      </w:r>
      <w:r>
        <w:rPr>
          <w:rFonts w:hAnsi="宋体"/>
          <w:color w:val="000000" w:themeColor="text1"/>
          <w:sz w:val="24"/>
          <w:szCs w:val="24"/>
          <w14:textFill>
            <w14:solidFill>
              <w14:schemeClr w14:val="tx1"/>
            </w14:solidFill>
          </w14:textFill>
        </w:rPr>
        <w:t xml:space="preserve"> </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15.4 </w:t>
      </w:r>
      <w:r>
        <w:rPr>
          <w:rFonts w:hint="eastAsia" w:hAnsi="宋体"/>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如发现乙方所供产品与投标品牌不一致，甲方将作退货处理，由此造成的一切损失以及后果均由乙方自行承担。</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15.5 由于乙方提供的产品及配件、软件质量问题，以及乙方的维修服务质量（包括维修不及时）等原因，导致本产品在合理使用期间内出现的质量事故、安全事故等，乙方应向甲方支付违约合同总价款百分之五的违约金，并承担由此造成的其他一切损失。</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15.6 本合同约定的违约金不能弥补甲方损失的，甲方有权向乙方追偿。甲方因乙方违约向乙方追偿所支出的任何费用由乙方承担。</w:t>
      </w:r>
    </w:p>
    <w:p>
      <w:pPr>
        <w:pStyle w:val="14"/>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十六、不可抗力事件处理</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16.1 </w:t>
      </w:r>
      <w:r>
        <w:rPr>
          <w:rFonts w:hint="eastAsia" w:hAnsi="宋体"/>
          <w:color w:val="000000" w:themeColor="text1"/>
          <w:sz w:val="24"/>
          <w:szCs w:val="24"/>
          <w14:textFill>
            <w14:solidFill>
              <w14:schemeClr w14:val="tx1"/>
            </w14:solidFill>
          </w14:textFill>
        </w:rPr>
        <w:t>在合同有效期内，任何一方因不可抗力事件导致不能履行合同，则合同履行期可延长，其延长期与不可抗力影响期相同。</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16.2 </w:t>
      </w:r>
      <w:r>
        <w:rPr>
          <w:rFonts w:hint="eastAsia" w:hAnsi="宋体"/>
          <w:color w:val="000000" w:themeColor="text1"/>
          <w:sz w:val="24"/>
          <w:szCs w:val="24"/>
          <w14:textFill>
            <w14:solidFill>
              <w14:schemeClr w14:val="tx1"/>
            </w14:solidFill>
          </w14:textFill>
        </w:rPr>
        <w:t>不可抗力事件发生后，应立即通知对方，并寄送有关权威机构出具的证明。</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16.3 </w:t>
      </w:r>
      <w:r>
        <w:rPr>
          <w:rFonts w:hint="eastAsia" w:hAnsi="宋体"/>
          <w:color w:val="000000" w:themeColor="text1"/>
          <w:sz w:val="24"/>
          <w:szCs w:val="24"/>
          <w14:textFill>
            <w14:solidFill>
              <w14:schemeClr w14:val="tx1"/>
            </w14:solidFill>
          </w14:textFill>
        </w:rPr>
        <w:t>不可抗力事件延续</w:t>
      </w:r>
      <w:r>
        <w:rPr>
          <w:rFonts w:hAnsi="宋体"/>
          <w:color w:val="000000" w:themeColor="text1"/>
          <w:sz w:val="24"/>
          <w:szCs w:val="24"/>
          <w14:textFill>
            <w14:solidFill>
              <w14:schemeClr w14:val="tx1"/>
            </w14:solidFill>
          </w14:textFill>
        </w:rPr>
        <w:t>120</w:t>
      </w:r>
      <w:r>
        <w:rPr>
          <w:rFonts w:hint="eastAsia" w:hAnsi="宋体"/>
          <w:color w:val="000000" w:themeColor="text1"/>
          <w:sz w:val="24"/>
          <w:szCs w:val="24"/>
          <w14:textFill>
            <w14:solidFill>
              <w14:schemeClr w14:val="tx1"/>
            </w14:solidFill>
          </w14:textFill>
        </w:rPr>
        <w:t>天以上，双方应通过友好协商，确定是否继续履行合同。</w:t>
      </w:r>
    </w:p>
    <w:p>
      <w:pPr>
        <w:pStyle w:val="14"/>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十七、诉讼</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17.1 </w:t>
      </w:r>
      <w:r>
        <w:rPr>
          <w:rFonts w:hint="eastAsia" w:hAnsi="宋体"/>
          <w:color w:val="000000" w:themeColor="text1"/>
          <w:sz w:val="24"/>
          <w:szCs w:val="24"/>
          <w14:textFill>
            <w14:solidFill>
              <w14:schemeClr w14:val="tx1"/>
            </w14:solidFill>
          </w14:textFill>
        </w:rPr>
        <w:t>双方在执行合同中所发生的一切争议，应通过协商解决。如协商不成，可向合同签订地法院起诉，合同签订地在此约定为盐城市。</w:t>
      </w:r>
    </w:p>
    <w:p>
      <w:pPr>
        <w:pStyle w:val="14"/>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十八、合同生效及其它</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18.1 </w:t>
      </w:r>
      <w:r>
        <w:rPr>
          <w:rFonts w:hint="eastAsia" w:hAnsi="宋体"/>
          <w:color w:val="000000" w:themeColor="text1"/>
          <w:sz w:val="24"/>
          <w:szCs w:val="24"/>
          <w14:textFill>
            <w14:solidFill>
              <w14:schemeClr w14:val="tx1"/>
            </w14:solidFill>
          </w14:textFill>
        </w:rPr>
        <w:t>合同经双方法定代表人或授权委托代表人签字并加盖单位公章后生效。</w:t>
      </w:r>
    </w:p>
    <w:p>
      <w:pPr>
        <w:pStyle w:val="14"/>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18.2</w:t>
      </w:r>
      <w:r>
        <w:rPr>
          <w:rFonts w:hint="eastAsia" w:hAnsi="宋体"/>
          <w:color w:val="000000" w:themeColor="text1"/>
          <w:sz w:val="24"/>
          <w:szCs w:val="24"/>
          <w14:textFill>
            <w14:solidFill>
              <w14:schemeClr w14:val="tx1"/>
            </w14:solidFill>
          </w14:textFill>
        </w:rPr>
        <w:t>本合同未尽事宜，遵照《民法典》有关条文执行。</w:t>
      </w:r>
    </w:p>
    <w:p>
      <w:pPr>
        <w:pStyle w:val="14"/>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 xml:space="preserve">18.3 </w:t>
      </w:r>
      <w:r>
        <w:rPr>
          <w:rFonts w:hint="eastAsia" w:hAnsi="宋体"/>
          <w:b/>
          <w:color w:val="000000" w:themeColor="text1"/>
          <w:sz w:val="24"/>
          <w:szCs w:val="24"/>
          <w14:textFill>
            <w14:solidFill>
              <w14:schemeClr w14:val="tx1"/>
            </w14:solidFill>
          </w14:textFill>
        </w:rPr>
        <w:t>本合同一式六份，具有同等法律效力，甲方、乙方各执三份。</w:t>
      </w:r>
      <w:r>
        <w:rPr>
          <w:rFonts w:hint="eastAsia" w:hAnsi="宋体"/>
          <w:b/>
          <w:color w:val="000000" w:themeColor="text1"/>
          <w:sz w:val="24"/>
          <w:szCs w:val="24"/>
          <w14:textFill>
            <w14:solidFill>
              <w14:schemeClr w14:val="tx1"/>
            </w14:solidFill>
          </w14:textFill>
        </w:rPr>
        <w:br w:type="textWrapping"/>
      </w:r>
    </w:p>
    <w:p>
      <w:pPr>
        <w:pStyle w:val="14"/>
        <w:snapToGrid w:val="0"/>
        <w:spacing w:before="120" w:after="120"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甲方：                                    乙方：</w:t>
      </w:r>
    </w:p>
    <w:p>
      <w:pPr>
        <w:pStyle w:val="14"/>
        <w:snapToGrid w:val="0"/>
        <w:spacing w:before="120" w:after="120"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地址：                                    地址：</w:t>
      </w:r>
    </w:p>
    <w:p>
      <w:pPr>
        <w:pStyle w:val="14"/>
        <w:snapToGrid w:val="0"/>
        <w:spacing w:before="120" w:after="120"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法定代表人或授权代表：                    法定代表人或授权代表：</w:t>
      </w:r>
    </w:p>
    <w:p>
      <w:pPr>
        <w:pStyle w:val="14"/>
        <w:snapToGrid w:val="0"/>
        <w:spacing w:before="120" w:after="120" w:line="360" w:lineRule="auto"/>
        <w:ind w:firstLine="480" w:firstLineChars="200"/>
        <w:rPr>
          <w:rFonts w:hAnsi="宋体"/>
          <w:b/>
          <w:sz w:val="36"/>
          <w:szCs w:val="36"/>
        </w:rPr>
      </w:pPr>
      <w:r>
        <w:rPr>
          <w:rFonts w:hint="eastAsia" w:hAnsi="宋体"/>
          <w:color w:val="000000" w:themeColor="text1"/>
          <w:sz w:val="24"/>
          <w:szCs w:val="24"/>
          <w14:textFill>
            <w14:solidFill>
              <w14:schemeClr w14:val="tx1"/>
            </w14:solidFill>
          </w14:textFill>
        </w:rPr>
        <w:t>联系电话：                                联系电话：</w:t>
      </w:r>
      <w:r>
        <w:rPr>
          <w:rFonts w:hAnsi="宋体"/>
          <w:color w:val="000000" w:themeColor="text1"/>
          <w:sz w:val="24"/>
          <w:szCs w:val="24"/>
          <w14:textFill>
            <w14:solidFill>
              <w14:schemeClr w14:val="tx1"/>
            </w14:solidFill>
          </w14:textFill>
        </w:rPr>
        <w:br w:type="textWrapping"/>
      </w:r>
      <w:r>
        <w:rPr>
          <w:rFonts w:hint="eastAsia" w:hAnsi="宋体"/>
          <w:color w:val="000000" w:themeColor="text1"/>
          <w:sz w:val="24"/>
          <w:szCs w:val="24"/>
          <w14:textFill>
            <w14:solidFill>
              <w14:schemeClr w14:val="tx1"/>
            </w14:solidFill>
          </w14:textFill>
        </w:rPr>
        <w:t xml:space="preserve">    年   月   日                              年   月   日</w:t>
      </w:r>
    </w:p>
    <w:p>
      <w:pPr>
        <w:pStyle w:val="27"/>
        <w:sectPr>
          <w:footerReference r:id="rId5" w:type="first"/>
          <w:headerReference r:id="rId3" w:type="default"/>
          <w:footerReference r:id="rId4" w:type="default"/>
          <w:pgSz w:w="11906" w:h="16838"/>
          <w:pgMar w:top="1985" w:right="1588" w:bottom="1701" w:left="1588" w:header="1134" w:footer="1304" w:gutter="0"/>
          <w:pgNumType w:start="1"/>
          <w:cols w:space="720" w:num="1"/>
          <w:docGrid w:type="lines" w:linePitch="312" w:charSpace="0"/>
        </w:sectPr>
      </w:pPr>
    </w:p>
    <w:p>
      <w:pPr>
        <w:numPr>
          <w:ilvl w:val="0"/>
          <w:numId w:val="2"/>
        </w:numPr>
        <w:jc w:val="center"/>
        <w:outlineLvl w:val="0"/>
        <w:rPr>
          <w:rFonts w:eastAsia="黑体"/>
          <w:color w:val="000000" w:themeColor="text1"/>
          <w:sz w:val="40"/>
          <w:szCs w:val="40"/>
          <w14:textFill>
            <w14:solidFill>
              <w14:schemeClr w14:val="tx1"/>
            </w14:solidFill>
          </w14:textFill>
        </w:rPr>
      </w:pPr>
      <w:bookmarkStart w:id="129" w:name="_Toc108021875"/>
      <w:r>
        <w:rPr>
          <w:rFonts w:eastAsia="黑体"/>
          <w:color w:val="000000" w:themeColor="text1"/>
          <w:sz w:val="40"/>
          <w:szCs w:val="40"/>
          <w14:textFill>
            <w14:solidFill>
              <w14:schemeClr w14:val="tx1"/>
            </w14:solidFill>
          </w14:textFill>
        </w:rPr>
        <w:t>项目需求</w:t>
      </w:r>
      <w:bookmarkEnd w:id="129"/>
    </w:p>
    <w:p>
      <w:pPr>
        <w:pStyle w:val="61"/>
        <w:snapToGrid w:val="0"/>
        <w:spacing w:line="560" w:lineRule="exact"/>
        <w:ind w:firstLine="640"/>
        <w:jc w:val="left"/>
        <w:rPr>
          <w:rFonts w:ascii="Times New Roman" w:hAnsi="Times New Roman" w:eastAsia="黑体"/>
          <w:position w:val="6"/>
          <w:sz w:val="32"/>
          <w:szCs w:val="32"/>
          <w:lang w:bidi="ar"/>
        </w:rPr>
      </w:pPr>
      <w:r>
        <w:rPr>
          <w:rFonts w:hint="eastAsia" w:ascii="Times New Roman" w:hAnsi="Times New Roman" w:eastAsia="黑体"/>
          <w:position w:val="6"/>
          <w:sz w:val="32"/>
          <w:szCs w:val="32"/>
          <w:lang w:bidi="ar"/>
        </w:rPr>
        <w:t>一、需求清单：</w:t>
      </w:r>
    </w:p>
    <w:p>
      <w:pPr>
        <w:pStyle w:val="14"/>
        <w:spacing w:line="560" w:lineRule="exact"/>
        <w:rPr>
          <w:rFonts w:ascii="Times New Roman" w:hAnsi="Times New Roman" w:eastAsia="黑体"/>
          <w:sz w:val="32"/>
          <w:szCs w:val="32"/>
        </w:rPr>
      </w:pPr>
      <w:r>
        <w:rPr>
          <w:rFonts w:hint="eastAsia" w:ascii="Times New Roman" w:hAnsi="Times New Roman" w:eastAsia="黑体"/>
          <w:sz w:val="32"/>
          <w:szCs w:val="32"/>
        </w:rPr>
        <w:t>一标段产品需求清单：</w:t>
      </w:r>
    </w:p>
    <w:tbl>
      <w:tblPr>
        <w:tblStyle w:val="25"/>
        <w:tblW w:w="102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31"/>
        <w:gridCol w:w="4078"/>
        <w:gridCol w:w="497"/>
        <w:gridCol w:w="764"/>
        <w:gridCol w:w="545"/>
        <w:gridCol w:w="983"/>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序号</w:t>
            </w:r>
          </w:p>
        </w:tc>
        <w:tc>
          <w:tcPr>
            <w:tcW w:w="1231"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名称</w:t>
            </w:r>
          </w:p>
        </w:tc>
        <w:tc>
          <w:tcPr>
            <w:tcW w:w="4078"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参数规格</w:t>
            </w:r>
          </w:p>
        </w:tc>
        <w:tc>
          <w:tcPr>
            <w:tcW w:w="497"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单位</w:t>
            </w:r>
          </w:p>
        </w:tc>
        <w:tc>
          <w:tcPr>
            <w:tcW w:w="764"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单价</w:t>
            </w:r>
          </w:p>
        </w:tc>
        <w:tc>
          <w:tcPr>
            <w:tcW w:w="545"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数量</w:t>
            </w:r>
          </w:p>
        </w:tc>
        <w:tc>
          <w:tcPr>
            <w:tcW w:w="983"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总价</w:t>
            </w:r>
          </w:p>
        </w:tc>
        <w:tc>
          <w:tcPr>
            <w:tcW w:w="1232"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琴房 4平56间，8平56间</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钢琴</w:t>
            </w:r>
          </w:p>
        </w:tc>
        <w:tc>
          <w:tcPr>
            <w:tcW w:w="407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  规格 高度≥ 118 cm</w:t>
            </w:r>
            <w:r>
              <w:rPr>
                <w:rFonts w:hint="eastAsia" w:cs="宋体"/>
                <w:kern w:val="0"/>
                <w:sz w:val="18"/>
                <w:szCs w:val="18"/>
              </w:rPr>
              <w:t>且</w:t>
            </w:r>
            <w:r>
              <w:rPr>
                <w:rFonts w:hint="eastAsia" w:cs="宋体"/>
                <w:color w:val="000000" w:themeColor="text1"/>
                <w:kern w:val="0"/>
                <w:sz w:val="18"/>
                <w:szCs w:val="18"/>
                <w14:textFill>
                  <w14:solidFill>
                    <w14:schemeClr w14:val="tx1"/>
                  </w14:solidFill>
                </w14:textFill>
              </w:rPr>
              <w:t>≤121 cm 立式钢琴 提供相应的产品检测报告复印件，并加盖厂家鲜章，</w:t>
            </w:r>
          </w:p>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声学品质 标准音a1为445Hz±0.5Hz范围内；音准稳定性（c1-b1）≤3音分。 </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p>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3  外观尺寸 长≥150cm，宽≥59cm，高≥118cm。 </w:t>
            </w:r>
            <w:r>
              <w:rPr>
                <w:rFonts w:hint="eastAsia" w:cs="宋体"/>
                <w:b/>
                <w:bCs/>
                <w:color w:val="000000" w:themeColor="text1"/>
                <w:kern w:val="0"/>
                <w:sz w:val="18"/>
                <w:szCs w:val="18"/>
                <w14:textFill>
                  <w14:solidFill>
                    <w14:schemeClr w14:val="tx1"/>
                  </w14:solidFill>
                </w14:textFill>
              </w:rPr>
              <w:t>承诺中标后提供提供加盖厂家鲜章的投标产品的技术参数确认函（中标后7个工作日内不能提供的，作为自动放弃处理）。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4  五金件 钢琴外观可见的五金件采用不易氧化的银色合金类金属。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5  外壳 板面粘贴防火板；油漆表面平整光亮；键盖商标使用镍片材质材料并封在油漆里。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6  上门 上门板固定卡扣采用精密模具加工的高分子材料固定件（非弹簧结构），结构牢固，安全耐用；上门板内侧安装金属长梁，能防止上门板长时间受温湿度变化影响导致的变形，且方便上门板拆装。  </w:t>
            </w:r>
            <w:r>
              <w:rPr>
                <w:rFonts w:hint="eastAsia" w:cs="宋体"/>
                <w:b/>
                <w:bCs/>
                <w:color w:val="000000" w:themeColor="text1"/>
                <w:kern w:val="0"/>
                <w:sz w:val="18"/>
                <w:szCs w:val="18"/>
                <w14:textFill>
                  <w14:solidFill>
                    <w14:schemeClr w14:val="tx1"/>
                  </w14:solidFill>
                </w14:textFill>
              </w:rPr>
              <w:t>承诺中标后提供提供加盖厂家鲜章的投标产品的技术参数确认函（中标后7个工作日内不能提供的，作为自动放弃处理）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7  谱架 采用实木制作。谱架铰链有插销固定结构，使谱架在闭合时可通过插销固定，防止时间长了之后铰链松动导致谱架闭合不紧，从而影响键盘盖关闭受阻。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8 </w:t>
            </w:r>
            <w:r>
              <w:rPr>
                <w:rFonts w:cs="宋体"/>
                <w:color w:val="000000" w:themeColor="text1"/>
                <w:kern w:val="0"/>
                <w:sz w:val="18"/>
                <w:szCs w:val="18"/>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 xml:space="preserve">铁板 翻砂工艺铸铁板;喷涂具有高抗氧化能力金葱粉漆。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  铁板高度 ≥109cm，</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10  琴弦 圆形弦（截面为正圆形）；采用镀锡方式防锈处理的钢线；最大有效弦长≥117cm。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11  音板 采用寒带地区缓慢生长的鱼鳞松制作；根据钢琴发声特点而设计的不等厚度的加强实木音板。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12  肋木 使用与音板相同材质木材，数量不少于11根。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13  弦轴板 由15-17层坚硬的榉木交错压榨制成。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14  弦码 中高音弦码采用弯压工艺，使用多层榉木层叠弯压成型，最大程度保留木材原有纹理，利于音的传递；低音弦码采用实木制作。</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15  背柱 实木制作，五根且不等距设计；中枋背柱上口截面尺寸不少于95*70mm；背柱整体严密牢固，无明显缝隙或粘贴痕迹。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16  键盘材质 有机玻璃白键片，黑黄檀木黑键键顶；键板采用寒带地区缓慢生长的鱼鳞松制作，含水率要求：6-12%。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17  键盘精度 八度音程白键宽度164-165mm范围内；白键前端长度51.5mm±0.3mm范围内；黑键上端面宽度9.5-10.0mm范围内；黑键底宽度11.5mm±0.2mm范围内；黑键长度95.0mm±0.2mm范围内；黑键前端距白键面高度11.0-12.5mm范围内；白键间隙0.7-1.0mm范围内；中盘底面距地面高度≥670mm。  </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18  中盘 使用稳定不易变形的木材制作而成。除螺丝外中盘上面不加装任何金属加固或金属链接结构。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19  弦槌 原装德国进口雷诺弦槌；红色内芯毡；鹅耳枥木槌芯；每个弦槌上有与钢琴品牌一致的logo标识。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20  击弦机木制部件 转击器、联动杆、制音杆、顶杆等运动部件要求使用鹅耳枥木制作，不采用ABS等塑料类材料；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21  调节档 鹅耳枥木实木（非多层）制作的调节档，不得有金属包裹。 </w:t>
            </w:r>
            <w:r>
              <w:rPr>
                <w:rFonts w:hint="eastAsia" w:cs="宋体"/>
                <w:b/>
                <w:bCs/>
                <w:color w:val="000000" w:themeColor="text1"/>
                <w:kern w:val="0"/>
                <w:sz w:val="18"/>
                <w:szCs w:val="18"/>
                <w14:textFill>
                  <w14:solidFill>
                    <w14:schemeClr w14:val="tx1"/>
                  </w14:solidFill>
                </w14:textFill>
              </w:rPr>
              <w:t>承诺中标后</w:t>
            </w:r>
            <w:r>
              <w:rPr>
                <w:rFonts w:hint="eastAsia" w:cs="宋体"/>
                <w:color w:val="000000" w:themeColor="text1"/>
                <w:kern w:val="0"/>
                <w:sz w:val="18"/>
                <w:szCs w:val="18"/>
                <w14:textFill>
                  <w14:solidFill>
                    <w14:schemeClr w14:val="tx1"/>
                  </w14:solidFill>
                </w14:textFill>
              </w:rPr>
              <w:t>提供加盖厂家鲜章的投标产品的技术参数确认函</w:t>
            </w:r>
            <w:r>
              <w:rPr>
                <w:rFonts w:hint="eastAsia" w:cs="宋体"/>
                <w:b/>
                <w:bCs/>
                <w:color w:val="000000" w:themeColor="text1"/>
                <w:kern w:val="0"/>
                <w:sz w:val="18"/>
                <w:szCs w:val="18"/>
                <w14:textFill>
                  <w14:solidFill>
                    <w14:schemeClr w14:val="tx1"/>
                  </w14:solidFill>
                </w14:textFill>
              </w:rPr>
              <w:t>（中标后7个工作日内不能提供的，作为自动放弃处理）。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22  制音器 采用纯羊毛制造制音毡，制音器木托为榉木实木。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★23  缓降功能 安装在钢琴侧臂内的隐藏式缓降器，非外露摆杆式。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FF"/>
                <w:kern w:val="0"/>
                <w:sz w:val="18"/>
                <w:szCs w:val="18"/>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24  演奏性能 白键下沉深度10.0mm±0.5mm范围内；琴键下降负荷0.50-0.65N范围内；回升负荷0.15-0.25N范围内；琴键负荷超标数为0；琴键运动灵敏、不相互摩擦；弱音踏瓣与延音踏瓣之间的负荷差值≤7.0N。 </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r>
              <w:rPr>
                <w:rFonts w:hint="eastAsia" w:cs="宋体"/>
                <w:color w:val="0000FF"/>
                <w:kern w:val="0"/>
                <w:sz w:val="18"/>
                <w:szCs w:val="18"/>
              </w:rPr>
              <w:t>。</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25  脚轮 采用双轮金属脚轮，转动灵活，稳定耐用。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26  执行标准 符合《钢琴》GB/T10159-2015标准。 </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27     安全性要求：符合GB/T28489-2012《乐器有害物质限量》标准。提供相应产品检测报告复印件加盖投标人公章。</w:t>
            </w:r>
          </w:p>
          <w:p>
            <w:pPr>
              <w:widowControl/>
              <w:spacing w:line="240" w:lineRule="exact"/>
              <w:jc w:val="left"/>
              <w:rPr>
                <w:rFonts w:cs="宋体"/>
                <w:kern w:val="0"/>
                <w:sz w:val="18"/>
                <w:szCs w:val="18"/>
              </w:rPr>
            </w:pPr>
            <w:r>
              <w:rPr>
                <w:rFonts w:hint="eastAsia"/>
                <w:sz w:val="24"/>
                <w:szCs w:val="24"/>
              </w:rPr>
              <w:t>▲</w:t>
            </w:r>
            <w:r>
              <w:rPr>
                <w:rFonts w:hint="eastAsia" w:cs="宋体"/>
                <w:kern w:val="0"/>
                <w:sz w:val="18"/>
                <w:szCs w:val="18"/>
              </w:rPr>
              <w:t>2</w:t>
            </w:r>
            <w:r>
              <w:rPr>
                <w:rFonts w:hint="eastAsia" w:cs="宋体"/>
                <w:b/>
                <w:bCs/>
                <w:kern w:val="0"/>
                <w:sz w:val="18"/>
                <w:szCs w:val="18"/>
              </w:rPr>
              <w:t>8</w:t>
            </w:r>
            <w:r>
              <w:rPr>
                <w:rFonts w:hint="eastAsia" w:cs="宋体"/>
                <w:color w:val="0000FF"/>
                <w:kern w:val="0"/>
                <w:sz w:val="18"/>
                <w:szCs w:val="18"/>
              </w:rPr>
              <w:t xml:space="preserve">  </w:t>
            </w:r>
            <w:r>
              <w:rPr>
                <w:rFonts w:hint="eastAsia" w:cs="宋体"/>
                <w:kern w:val="0"/>
                <w:sz w:val="18"/>
                <w:szCs w:val="18"/>
              </w:rPr>
              <w:t>提供生产厂家有效期内ISO9001质量管理体系认证证书，须提供证书原件扫描件加盖投标人公章。</w:t>
            </w:r>
          </w:p>
          <w:p>
            <w:pPr>
              <w:widowControl/>
              <w:spacing w:line="240" w:lineRule="exact"/>
              <w:jc w:val="left"/>
              <w:rPr>
                <w:rFonts w:cs="宋体"/>
                <w:kern w:val="0"/>
                <w:sz w:val="18"/>
                <w:szCs w:val="18"/>
              </w:rPr>
            </w:pPr>
            <w:r>
              <w:rPr>
                <w:rFonts w:hint="eastAsia" w:cs="宋体"/>
                <w:kern w:val="0"/>
                <w:sz w:val="18"/>
                <w:szCs w:val="18"/>
              </w:rPr>
              <w:t>提供生产厂家有效期内ISO14001环境管理体系认证证书，须提供证书原件扫描件加盖投标人公章。</w:t>
            </w:r>
          </w:p>
          <w:p>
            <w:pPr>
              <w:widowControl/>
              <w:spacing w:line="240" w:lineRule="exact"/>
              <w:jc w:val="left"/>
              <w:rPr>
                <w:rFonts w:cs="宋体"/>
                <w:kern w:val="0"/>
                <w:sz w:val="18"/>
                <w:szCs w:val="18"/>
              </w:rPr>
            </w:pPr>
            <w:r>
              <w:rPr>
                <w:rFonts w:hint="eastAsia" w:cs="宋体"/>
                <w:kern w:val="0"/>
                <w:sz w:val="18"/>
                <w:szCs w:val="18"/>
              </w:rPr>
              <w:t>提供生产厂家有效期内ISO45001职业健康管理体系认证证书，须提供证书原件扫描件加盖投标人公章。</w:t>
            </w:r>
          </w:p>
          <w:p>
            <w:pPr>
              <w:widowControl/>
              <w:spacing w:line="240" w:lineRule="exact"/>
              <w:jc w:val="left"/>
              <w:rPr>
                <w:rFonts w:cs="宋体"/>
                <w:color w:val="000000" w:themeColor="text1"/>
                <w:kern w:val="0"/>
                <w:sz w:val="18"/>
                <w:szCs w:val="18"/>
                <w14:textFill>
                  <w14:solidFill>
                    <w14:schemeClr w14:val="tx1"/>
                  </w14:solidFill>
                </w14:textFill>
              </w:rPr>
            </w:pPr>
            <w:r>
              <w:rPr>
                <w:rFonts w:cs="宋体"/>
                <w:kern w:val="0"/>
                <w:sz w:val="18"/>
                <w:szCs w:val="18"/>
              </w:rPr>
              <w:t xml:space="preserve">29  </w:t>
            </w:r>
            <w:r>
              <w:rPr>
                <w:rFonts w:hint="eastAsia" w:cs="宋体"/>
                <w:kern w:val="0"/>
                <w:sz w:val="18"/>
                <w:szCs w:val="18"/>
                <w:lang w:eastAsia="zh-Hans"/>
              </w:rPr>
              <w:t>需在中国有独立品牌制造工厂</w:t>
            </w:r>
            <w:r>
              <w:rPr>
                <w:rFonts w:cs="宋体"/>
                <w:kern w:val="0"/>
                <w:sz w:val="18"/>
                <w:szCs w:val="18"/>
                <w:lang w:eastAsia="zh-Hans"/>
              </w:rPr>
              <w:t>。</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71</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珠江、鲍德温、吉奥诺、卡瓦依</w:t>
            </w:r>
          </w:p>
        </w:tc>
      </w:tr>
    </w:tbl>
    <w:p/>
    <w:p>
      <w:pPr>
        <w:pStyle w:val="14"/>
        <w:spacing w:line="560" w:lineRule="exact"/>
        <w:rPr>
          <w:rFonts w:ascii="Times New Roman" w:hAnsi="Times New Roman" w:eastAsia="黑体"/>
          <w:sz w:val="32"/>
          <w:szCs w:val="32"/>
        </w:rPr>
      </w:pPr>
      <w:r>
        <w:rPr>
          <w:rFonts w:hint="eastAsia" w:ascii="Times New Roman" w:hAnsi="Times New Roman" w:eastAsia="黑体"/>
          <w:sz w:val="32"/>
          <w:szCs w:val="32"/>
        </w:rPr>
        <w:t>二标段产品需求清单：</w:t>
      </w:r>
    </w:p>
    <w:tbl>
      <w:tblPr>
        <w:tblStyle w:val="25"/>
        <w:tblW w:w="102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31"/>
        <w:gridCol w:w="4078"/>
        <w:gridCol w:w="497"/>
        <w:gridCol w:w="764"/>
        <w:gridCol w:w="545"/>
        <w:gridCol w:w="983"/>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阶梯教室4间</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投影显示系统</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激光长焦高清投影机</w:t>
            </w:r>
          </w:p>
        </w:tc>
        <w:tc>
          <w:tcPr>
            <w:tcW w:w="4078" w:type="dxa"/>
            <w:shd w:val="clear" w:color="auto" w:fill="auto"/>
            <w:vAlign w:val="bottom"/>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1、纯激光光源，光源不含Hg（不接受混合光源）；2、标准分辨率：1920*1200或1920*1</w:t>
            </w:r>
            <w:r>
              <w:rPr>
                <w:rFonts w:cs="宋体"/>
                <w:color w:val="000000" w:themeColor="text1"/>
                <w:kern w:val="0"/>
                <w:sz w:val="18"/>
                <w:szCs w:val="18"/>
                <w14:textFill>
                  <w14:solidFill>
                    <w14:schemeClr w14:val="tx1"/>
                  </w14:solidFill>
                </w14:textFill>
              </w:rPr>
              <w:t>08</w:t>
            </w:r>
            <w:r>
              <w:rPr>
                <w:rFonts w:hint="eastAsia" w:cs="宋体"/>
                <w:color w:val="000000" w:themeColor="text1"/>
                <w:kern w:val="0"/>
                <w:sz w:val="18"/>
                <w:szCs w:val="18"/>
                <w14:textFill>
                  <w14:solidFill>
                    <w14:schemeClr w14:val="tx1"/>
                  </w14:solidFill>
                </w14:textFill>
              </w:rPr>
              <w:t>0，支持最大输入分辨率：3840*2160；</w:t>
            </w:r>
            <w:r>
              <w:rPr>
                <w:rFonts w:hint="eastAsia" w:cs="宋体"/>
                <w:color w:val="FF0000"/>
                <w:kern w:val="0"/>
                <w:sz w:val="18"/>
                <w:szCs w:val="18"/>
              </w:rPr>
              <w:br w:type="textWrapping"/>
            </w:r>
            <w:r>
              <w:rPr>
                <w:rFonts w:hint="eastAsia" w:cs="宋体"/>
                <w:color w:val="000000" w:themeColor="text1"/>
                <w:kern w:val="0"/>
                <w:sz w:val="18"/>
                <w:szCs w:val="18"/>
                <w14:textFill>
                  <w14:solidFill>
                    <w14:schemeClr w14:val="tx1"/>
                  </w14:solidFill>
                </w14:textFill>
              </w:rPr>
              <w:t>3、亮度：≥6200ANSI流明；</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4、对比度：≥600000：1（ISO21118标准）；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5、电动镜头，变焦比例≥1.6倍；</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6、色域：色域覆盖面积大于REC.709标准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7、自动垂直梯形矫正≥±40度；</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8、其他功能：DICOM模拟模式，360°投影，多种环境投影模式，梯形校正，7X24小时连续运行，亮度无极调整；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9、标准亮度模式光源寿命≥20000小时；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10、功耗：标准亮度模式工作功率≤385W，待机功率＜0.5W；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11、端口：≥1 个 VGA，≥2个HDMI，≥1 个HDBaseT， ≥1个A型USB（5V/2A），1个A型USB（无线投影）,1个B型USB(维修端口)，</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12、内置扬声器：≥10W；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13、3D技术：多种3D模式，支持DLP link3D;3DTVPLAY立体投影，支持蓝光3D视频播放，支持3D课堂；</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光峰、鸿合、NEC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231" w:type="dxa"/>
            <w:shd w:val="clear" w:color="auto" w:fill="auto"/>
            <w:vAlign w:val="center"/>
          </w:tcPr>
          <w:p>
            <w:pPr>
              <w:widowControl/>
              <w:spacing w:line="240" w:lineRule="exact"/>
              <w:jc w:val="left"/>
              <w:rPr>
                <w:rFonts w:cs="宋体"/>
                <w:kern w:val="0"/>
                <w:sz w:val="18"/>
                <w:szCs w:val="18"/>
              </w:rPr>
            </w:pPr>
            <w:r>
              <w:rPr>
                <w:rFonts w:hint="eastAsia" w:cs="宋体"/>
                <w:kern w:val="0"/>
                <w:sz w:val="18"/>
                <w:szCs w:val="18"/>
                <w:lang w:eastAsia="zh-Hans"/>
              </w:rPr>
              <w:t>电动幕布</w:t>
            </w:r>
          </w:p>
        </w:tc>
        <w:tc>
          <w:tcPr>
            <w:tcW w:w="4078" w:type="dxa"/>
            <w:shd w:val="clear" w:color="auto" w:fill="auto"/>
            <w:vAlign w:val="bottom"/>
          </w:tcPr>
          <w:p>
            <w:pPr>
              <w:widowControl/>
              <w:spacing w:line="240" w:lineRule="exact"/>
              <w:jc w:val="left"/>
              <w:rPr>
                <w:rFonts w:cs="宋体"/>
                <w:kern w:val="0"/>
                <w:sz w:val="18"/>
                <w:szCs w:val="18"/>
              </w:rPr>
            </w:pPr>
            <w:r>
              <w:rPr>
                <w:rFonts w:hint="eastAsia"/>
                <w:sz w:val="24"/>
                <w:szCs w:val="24"/>
              </w:rPr>
              <w:t>▲</w:t>
            </w:r>
            <w:r>
              <w:rPr>
                <w:rFonts w:hint="eastAsia" w:cs="宋体"/>
                <w:kern w:val="0"/>
                <w:sz w:val="18"/>
                <w:szCs w:val="18"/>
              </w:rPr>
              <w:t>1、 150寸电动幕布</w:t>
            </w:r>
            <w:r>
              <w:rPr>
                <w:rFonts w:cs="宋体"/>
                <w:kern w:val="0"/>
                <w:sz w:val="18"/>
                <w:szCs w:val="18"/>
              </w:rPr>
              <w:t>，可收放</w:t>
            </w:r>
          </w:p>
          <w:p>
            <w:pPr>
              <w:widowControl/>
              <w:spacing w:line="240" w:lineRule="exact"/>
              <w:jc w:val="left"/>
              <w:rPr>
                <w:rFonts w:cs="宋体"/>
                <w:kern w:val="0"/>
                <w:sz w:val="18"/>
                <w:szCs w:val="18"/>
              </w:rPr>
            </w:pPr>
            <w:r>
              <w:rPr>
                <w:rFonts w:hint="eastAsia" w:cs="宋体"/>
                <w:kern w:val="0"/>
                <w:sz w:val="18"/>
                <w:szCs w:val="18"/>
              </w:rPr>
              <w:t>2、玻珠幕布表面粘合有超细玻璃珠，玻璃珠细而匀，立体感强，彩质鲜艳，增益高，视角小。幕布亮度系数增益大于2.4倍，具有高分辨率、色彩还原性好、白昼成像清晰、画面有鲜明的焦点感和活力。具有防潮、防雾、阻燃、无异味等特性。</w:t>
            </w:r>
          </w:p>
        </w:tc>
        <w:tc>
          <w:tcPr>
            <w:tcW w:w="497"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764" w:type="dxa"/>
            <w:shd w:val="clear" w:color="auto" w:fill="auto"/>
            <w:vAlign w:val="center"/>
          </w:tcPr>
          <w:p>
            <w:pPr>
              <w:widowControl/>
              <w:spacing w:line="240" w:lineRule="exact"/>
              <w:rPr>
                <w:rFonts w:cs="宋体"/>
                <w:kern w:val="0"/>
                <w:sz w:val="18"/>
                <w:szCs w:val="18"/>
              </w:rPr>
            </w:pPr>
          </w:p>
        </w:tc>
        <w:tc>
          <w:tcPr>
            <w:tcW w:w="545"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983" w:type="dxa"/>
            <w:shd w:val="clear" w:color="auto" w:fill="auto"/>
            <w:vAlign w:val="center"/>
          </w:tcPr>
          <w:p>
            <w:pPr>
              <w:widowControl/>
              <w:spacing w:line="240" w:lineRule="exact"/>
              <w:jc w:val="center"/>
              <w:rPr>
                <w:rFonts w:cs="宋体"/>
                <w:kern w:val="0"/>
                <w:sz w:val="18"/>
                <w:szCs w:val="18"/>
              </w:rPr>
            </w:pPr>
          </w:p>
        </w:tc>
        <w:tc>
          <w:tcPr>
            <w:tcW w:w="1232" w:type="dxa"/>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得力、莱特斯、小米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231" w:type="dxa"/>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推拉绿板</w:t>
            </w:r>
          </w:p>
        </w:tc>
        <w:tc>
          <w:tcPr>
            <w:tcW w:w="4078" w:type="dxa"/>
            <w:shd w:val="clear" w:color="auto" w:fill="auto"/>
            <w:vAlign w:val="center"/>
          </w:tcPr>
          <w:p>
            <w:pPr>
              <w:widowControl/>
              <w:spacing w:line="240" w:lineRule="exact"/>
              <w:rPr>
                <w:rFonts w:cs="宋体"/>
                <w:kern w:val="0"/>
                <w:sz w:val="18"/>
                <w:szCs w:val="18"/>
              </w:rPr>
            </w:pPr>
            <w:r>
              <w:rPr>
                <w:rFonts w:hint="eastAsia" w:cs="宋体"/>
                <w:kern w:val="0"/>
                <w:sz w:val="18"/>
                <w:szCs w:val="18"/>
              </w:rPr>
              <w:t>基本尺寸：≥4500mm×2100mm。</w:t>
            </w:r>
          </w:p>
          <w:p>
            <w:pPr>
              <w:widowControl/>
              <w:spacing w:line="240" w:lineRule="exact"/>
              <w:rPr>
                <w:rFonts w:cs="宋体"/>
                <w:kern w:val="0"/>
                <w:sz w:val="18"/>
                <w:szCs w:val="18"/>
              </w:rPr>
            </w:pPr>
            <w:r>
              <w:rPr>
                <w:rFonts w:hint="eastAsia" w:cs="宋体"/>
                <w:kern w:val="0"/>
                <w:sz w:val="18"/>
                <w:szCs w:val="18"/>
              </w:rPr>
              <w:t>1、结构：由四块或两块同等大小的书写板组成，L座链轮和链条传动，升降平稳，走行无噪音，整板效果厚实精细，结合紧凑，高档豪华极具装饰效果</w:t>
            </w:r>
          </w:p>
          <w:p>
            <w:pPr>
              <w:widowControl/>
              <w:spacing w:line="240" w:lineRule="exact"/>
              <w:rPr>
                <w:rFonts w:cs="宋体"/>
                <w:kern w:val="0"/>
                <w:sz w:val="18"/>
                <w:szCs w:val="18"/>
              </w:rPr>
            </w:pPr>
            <w:r>
              <w:rPr>
                <w:rFonts w:hint="eastAsia" w:cs="宋体"/>
                <w:kern w:val="0"/>
                <w:sz w:val="18"/>
                <w:szCs w:val="18"/>
              </w:rPr>
              <w:t>2、书写板面：采用书写专用烤漆板面，墨绿色、亚光，厚度≥0.3mm，漆膜硬度9H，粗糙度Ra1.6-3.2um，光泽度≤6﹪，没有明显眩光，漆面附着牢固，耐磨擦，板面表面附有一层透明保护膜，符合GB/T 28231-2011《书写板安全卫生要求》。</w:t>
            </w:r>
          </w:p>
          <w:p>
            <w:pPr>
              <w:widowControl/>
              <w:spacing w:line="240" w:lineRule="exact"/>
              <w:rPr>
                <w:rFonts w:cs="宋体"/>
                <w:kern w:val="0"/>
                <w:sz w:val="18"/>
                <w:szCs w:val="18"/>
              </w:rPr>
            </w:pPr>
            <w:r>
              <w:rPr>
                <w:rFonts w:hint="eastAsia" w:cs="宋体"/>
                <w:kern w:val="0"/>
                <w:sz w:val="18"/>
                <w:szCs w:val="18"/>
              </w:rPr>
              <w:t>3、内芯材料：采用吸音、高强度、防潮、阻燃的聚苯乙烯板，厚度≥20mm。硬度高，消音环保，能极大的缓冲粉笔与板面的磨擦，具有防潮、吸音、挺度好、平压强度好的作用。</w:t>
            </w:r>
          </w:p>
          <w:p>
            <w:pPr>
              <w:widowControl/>
              <w:spacing w:line="240" w:lineRule="exact"/>
              <w:rPr>
                <w:rFonts w:cs="宋体"/>
                <w:kern w:val="0"/>
                <w:sz w:val="18"/>
                <w:szCs w:val="18"/>
              </w:rPr>
            </w:pPr>
            <w:r>
              <w:rPr>
                <w:rFonts w:hint="eastAsia" w:cs="宋体"/>
                <w:kern w:val="0"/>
                <w:sz w:val="18"/>
                <w:szCs w:val="18"/>
              </w:rPr>
              <w:t>4、背板：采用优质防锈热镀锌钢板，厚度≥0.25mm。边框：采用高强度铝合金型材，电泳香槟色；外立框规格90*70mm，外横框规格90*45mm，内框规格25*25mm，壁厚1mm，黑板边框下沿带有通长拉手槽，方便老师在任意位置推拉。</w:t>
            </w:r>
          </w:p>
          <w:p>
            <w:pPr>
              <w:widowControl/>
              <w:spacing w:line="240" w:lineRule="exact"/>
              <w:rPr>
                <w:rFonts w:cs="宋体"/>
                <w:kern w:val="0"/>
                <w:sz w:val="18"/>
                <w:szCs w:val="18"/>
              </w:rPr>
            </w:pPr>
            <w:r>
              <w:rPr>
                <w:rFonts w:hint="eastAsia" w:cs="宋体"/>
                <w:kern w:val="0"/>
                <w:sz w:val="18"/>
                <w:szCs w:val="18"/>
              </w:rPr>
              <w:t>5、包角材料：采用抗老化高强度ABS工程塑料注塑成型。圆角无尖角毛刺，符合JY0001-2003《教学仪器设备产品一般质量要求》。</w:t>
            </w:r>
          </w:p>
        </w:tc>
        <w:tc>
          <w:tcPr>
            <w:tcW w:w="497"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764"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 xml:space="preserve"> </w:t>
            </w:r>
          </w:p>
        </w:tc>
        <w:tc>
          <w:tcPr>
            <w:tcW w:w="545"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983" w:type="dxa"/>
            <w:shd w:val="clear" w:color="auto" w:fill="auto"/>
            <w:vAlign w:val="center"/>
          </w:tcPr>
          <w:p>
            <w:pPr>
              <w:widowControl/>
              <w:spacing w:line="240" w:lineRule="exact"/>
              <w:jc w:val="center"/>
              <w:rPr>
                <w:rFonts w:cs="宋体"/>
                <w:kern w:val="0"/>
                <w:sz w:val="18"/>
                <w:szCs w:val="18"/>
              </w:rPr>
            </w:pPr>
          </w:p>
        </w:tc>
        <w:tc>
          <w:tcPr>
            <w:tcW w:w="1232" w:type="dxa"/>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蓝贝斯特、海捷、科达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台式电脑</w:t>
            </w:r>
          </w:p>
        </w:tc>
        <w:tc>
          <w:tcPr>
            <w:tcW w:w="407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I5/8G/256 2G独立显卡 配套21寸以上显示器</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联想、惠普、三星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控制系统</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 </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多媒体智能终端</w:t>
            </w:r>
          </w:p>
        </w:tc>
        <w:tc>
          <w:tcPr>
            <w:tcW w:w="4078"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1.支持交互控制面板，具备系统锁定功能，系统锁定后面板任何按键操作无效，解锁后面板按键起作用；</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2.支持管理平台远程控制多媒体设备开关、信号切换、触控面板解锁、锁定等功能，具备计算机、笔记本、无线投屏音视频一键切换；一键开关系统；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3.视频信号模块：≧3路HDMI输入，≧4路HDMI输出；需支持4K高清信号传输；≧1路VGA输入，≧2路VGA输出；≧1路音频输入，≧2路音频输出，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智能控制模块：≧7路RS232通讯接口；≧1路RS485接口；≧8路IO接口；≧1路LAN网络接口，支持TCP/IP协议；≧1路读卡器接口，接口形式采用RJ45模块插孔，并为读卡器提供供电，支持插卡和刷卡模式读卡器。≧2路交互控制面板接口，接口形式采用RJ45模块插孔，并支持控制面板供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电源管理模块：≧3路220V可控电源插座；支持电压、电流检测；≧2路220V幕布控制端口，具备接地端子，可同步或异步控制两块幕布，≧4路220V继电器控制端口，提供产品图片佐证；设备电源总输入：≧220V\50Hz\10A，输出：≧220V \50Hz\9A，以3C证书为准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6.具备IC卡权限管理功能，具备IC卡数据存储，脱网状态下可以保存不少于4万张IC卡数据、4万条刷卡记录，断网状态不影响老师使用。联网后刷卡记录自动上传，IC卡授权数据自动下载。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7.支持本地课表存储，不少于180天课表授权数据存储。按课表自动执行系统开启和关闭，可脱网运行；</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具备交互提醒下课，下课时间到可通过计算机或交互控制面板弹出对话框及语音提示，询问老师是否继续使用多媒体，如果没有回复，系统在倒计时结束后，自动关闭系统；如继续使用，根据提示操作取消关机。可自定义倒计时时长。</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9.支持至少两台投影机状态检测和投影机灯泡时长采集，采集信息自动上传到管理平台；支持物联网环境数据采集功能，支持温度、湿度、CO2，PM2.5、PM10等环境数据的监测，监测数据自动上传到管理平台；</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10.支持EDID自动读取设置和手动读取设置，可以根据不同分辨率显示设备（投影机、显示器、触控屏等）设置EDID，要求支持4K、1080P、720P、1024*768多种分辨率；</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11.设置软件支持B/S界面，浏览器远程配置，设置软件支持终端设备IP地址、MAC地址扫描；支持网络远程设置功能键码、功能序列，需支持DHCP自动获取IP地址和静态IP地址设置。支持远程固件升级，支持云端配置数据备份</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万讯、ITC、鹏畅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交互控制面板</w:t>
            </w:r>
          </w:p>
        </w:tc>
        <w:tc>
          <w:tcPr>
            <w:tcW w:w="4078"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1.要求采用Android操作系统，电容触摸屏，尺寸≥7寸；分辨率≥1024×600；对比度≥800:1；具备以太网通讯端口、RS232接口。</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2.显示背景、操作界面和功能按键可根据用户需求自定义编程配置，支持联动控制编程，支持个性化图片、图标、颜色配置，支持锁屏背景图设置。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3.与多媒体智能终端配合，可以对录播、互动等设备进行管控，自定义界面和控制逻辑。支持融合第三方app应用程序，实现控制逻辑融合，简化老师操作。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4.集成千兆网卡，交互控制面板可以直接通过网络与管理平台通讯。实现远程配置，远程升级。</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5.支持管理平台向液晶控制面板推送动态二维码，二维码可用于手机扫码身份权限验证。</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6.支持时间及物联环境数据动态显示。支持语音识别及自定义语音控制指令，实现通过语音“上课”、“下课”、“开计算机”、“关计算机”等的日常多媒体教学过程的控制与操作；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7.具备下课交互提醒功能，下课时支持弹出对话框，询问老师是否继续使用设备，如继续使用，可根据提示操作取消关机。如果没有回复，倒计时结束后，自动关闭系统；</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8.交互控制面板通讯接口需支持RJ45模块方式，支持网线连接智能终端主机实现通讯与供电，不需配置单独电源，传输距离最长可达20米。</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万讯、ITC、鹏畅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舞蹈教室   4间</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大屏显示系统</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1</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大屏电视</w:t>
            </w:r>
          </w:p>
        </w:tc>
        <w:tc>
          <w:tcPr>
            <w:tcW w:w="407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尺寸≧</w:t>
            </w:r>
            <w:r>
              <w:rPr>
                <w:rFonts w:cs="宋体"/>
                <w:color w:val="000000" w:themeColor="text1"/>
                <w:kern w:val="0"/>
                <w:sz w:val="18"/>
                <w:szCs w:val="18"/>
                <w14:textFill>
                  <w14:solidFill>
                    <w14:schemeClr w14:val="tx1"/>
                  </w14:solidFill>
                </w14:textFill>
              </w:rPr>
              <w:t>1</w:t>
            </w:r>
            <w:r>
              <w:rPr>
                <w:rFonts w:hint="eastAsia" w:cs="宋体"/>
                <w:color w:val="000000" w:themeColor="text1"/>
                <w:kern w:val="0"/>
                <w:sz w:val="18"/>
                <w:szCs w:val="18"/>
                <w14:textFill>
                  <w14:solidFill>
                    <w14:schemeClr w14:val="tx1"/>
                  </w14:solidFill>
                </w14:textFill>
              </w:rPr>
              <w:t>0</w:t>
            </w:r>
            <w:r>
              <w:rPr>
                <w:rFonts w:cs="宋体"/>
                <w:color w:val="000000" w:themeColor="text1"/>
                <w:kern w:val="0"/>
                <w:sz w:val="18"/>
                <w:szCs w:val="18"/>
                <w14:textFill>
                  <w14:solidFill>
                    <w14:schemeClr w14:val="tx1"/>
                  </w14:solidFill>
                </w14:textFill>
              </w:rPr>
              <w:t>0</w:t>
            </w:r>
            <w:r>
              <w:rPr>
                <w:rFonts w:hint="eastAsia" w:cs="宋体"/>
                <w:color w:val="000000" w:themeColor="text1"/>
                <w:kern w:val="0"/>
                <w:sz w:val="18"/>
                <w:szCs w:val="18"/>
                <w14:textFill>
                  <w14:solidFill>
                    <w14:schemeClr w14:val="tx1"/>
                  </w14:solidFill>
                </w14:textFill>
              </w:rPr>
              <w:t>英寸；MEMC运动补偿；4K超高清； 存储≧4GB+64GB</w:t>
            </w:r>
            <w:r>
              <w:rPr>
                <w:rFonts w:cs="宋体"/>
                <w:color w:val="000000" w:themeColor="text1"/>
                <w:kern w:val="0"/>
                <w:sz w:val="18"/>
                <w:szCs w:val="18"/>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支持VRR可变刷新率，支持HDR显示</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7</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TCL、创维、小米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231" w:type="dxa"/>
            <w:shd w:val="clear" w:color="auto" w:fill="auto"/>
            <w:vAlign w:val="center"/>
          </w:tcPr>
          <w:p>
            <w:pPr>
              <w:widowControl/>
              <w:jc w:val="left"/>
              <w:textAlignment w:val="center"/>
              <w:rPr>
                <w:rFonts w:ascii="宋体" w:hAnsi="宋体" w:cs="宋体"/>
                <w:color w:val="000000"/>
                <w:sz w:val="22"/>
              </w:rPr>
            </w:pPr>
            <w:r>
              <w:rPr>
                <w:rFonts w:hint="eastAsia" w:cs="宋体"/>
                <w:color w:val="000000" w:themeColor="text1"/>
                <w:kern w:val="0"/>
                <w:sz w:val="18"/>
                <w:szCs w:val="18"/>
                <w14:textFill>
                  <w14:solidFill>
                    <w14:schemeClr w14:val="tx1"/>
                  </w14:solidFill>
                </w14:textFill>
              </w:rPr>
              <w:t>播放器</w:t>
            </w:r>
          </w:p>
        </w:tc>
        <w:tc>
          <w:tcPr>
            <w:tcW w:w="4078"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1、支持4K30HZ。</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2、支持U盘内容播放。</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美利多、小米、创维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3</w:t>
            </w:r>
          </w:p>
        </w:tc>
        <w:tc>
          <w:tcPr>
            <w:tcW w:w="1231" w:type="dxa"/>
            <w:shd w:val="clear" w:color="auto" w:fill="auto"/>
            <w:vAlign w:val="center"/>
          </w:tcPr>
          <w:p>
            <w:pPr>
              <w:widowControl/>
              <w:jc w:val="left"/>
              <w:textAlignment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分配器</w:t>
            </w:r>
          </w:p>
        </w:tc>
        <w:tc>
          <w:tcPr>
            <w:tcW w:w="4078"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高清视频一进二出</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绿联、迈拓维矩、飞利浦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音乐教室  5间</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显示系统</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智能交互一体机</w:t>
            </w:r>
          </w:p>
        </w:tc>
        <w:tc>
          <w:tcPr>
            <w:tcW w:w="4078" w:type="dxa"/>
            <w:shd w:val="clear" w:color="auto" w:fill="auto"/>
            <w:vAlign w:val="center"/>
          </w:tcPr>
          <w:p>
            <w:pPr>
              <w:widowControl/>
              <w:numPr>
                <w:ilvl w:val="0"/>
                <w:numId w:val="3"/>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硬件配置</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1.屏幕尺寸≥86英寸，LED液晶屏体：A规屏；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2.显示比例16:9，物理分辨率：3840×2160，最大可视角度≥178度，灰阶等级≥256；</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3.支持双系统下10点同时触控及书写,响应时间≤8ms；定位精度：±0.1mm；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4.屏幕表面采用防眩目钢化玻璃，防撞防划，表面硬度不低于7H,透光率≥90%，雾度≤8%；</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5.前置接口采用隐藏式防护盖板设计，保证用户使用安全的同时，也可防止前置接口粉尘堆积；</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6为了方便老师快速的接入各种硬件教学设备，交互平板前置面板具有以下输入接口：≥2路双通道USB3.0接口，≥1路全功能通道（Type-C）接口，≥1路HDMI接口；可实现音视频、触控输入等。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 交互平板屏体具有防蓝光功能，达到蓝光防护效果；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 在传统推拉式黑板和智能交互平板结合应用的教学场景下，关闭推拉黑板，可自动进入黑屏节能模式；</w:t>
            </w:r>
            <w:r>
              <w:rPr>
                <w:rFonts w:cs="宋体"/>
                <w:color w:val="000000" w:themeColor="text1"/>
                <w:kern w:val="0"/>
                <w:sz w:val="18"/>
                <w:szCs w:val="18"/>
                <w14:textFill>
                  <w14:solidFill>
                    <w14:schemeClr w14:val="tx1"/>
                  </w14:solidFill>
                </w14:textFill>
              </w:rPr>
              <w:t xml:space="preserve"> </w:t>
            </w:r>
          </w:p>
          <w:p>
            <w:pPr>
              <w:widowControl/>
              <w:numPr>
                <w:ilvl w:val="0"/>
                <w:numId w:val="3"/>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配套开放式OPS接口，需与触摸一体机开发式插拔使用：CPU≥Intel 九代 I5以上配置；内存≥8G DDR4；硬盘≥256G固态硬盘；具有视频输出接口： HDMI 1个或以上，USB接口3个或以上，其中至少2个为USB3.0接口；WIN10操作系统及以上；</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希沃、鸿合、东方中原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书写绿板</w:t>
            </w:r>
          </w:p>
        </w:tc>
        <w:tc>
          <w:tcPr>
            <w:tcW w:w="4078" w:type="dxa"/>
            <w:shd w:val="clear" w:color="auto" w:fill="auto"/>
            <w:vAlign w:val="bottom"/>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1、根据大屏尺寸定制</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2、左右推拉，书写绿板与智能交互一体机整体含框。</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3</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显示器</w:t>
            </w:r>
          </w:p>
        </w:tc>
        <w:tc>
          <w:tcPr>
            <w:tcW w:w="407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21寸以上</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联想、惠普、三星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扩声系统</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 </w:t>
            </w:r>
          </w:p>
        </w:tc>
        <w:tc>
          <w:tcPr>
            <w:tcW w:w="1231"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数字红外无线麦克风</w:t>
            </w:r>
          </w:p>
        </w:tc>
        <w:tc>
          <w:tcPr>
            <w:tcW w:w="4078" w:type="dxa"/>
            <w:shd w:val="clear" w:color="auto" w:fill="auto"/>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1.红外麦克风在不同教室之间使用，无需对频，即开即用，简单方便；不受高频驱动光源干扰，可正常工作于阳光下的环境；</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2.扩展性能强，支持外部音频输入（Ø 3.5 mm AUDIO IN），与其它音频设备（如MP3、手机等）组合，传输更随意；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3.需具有麦克风音量调节、话筒频点设定及话筒灵敏度设置；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4.当发言者在设定时间内无发言时，自动关闭红外信号发射，达到智能管理电量；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5.为了满足互动教学，需支持按住一键开启话筒，松开后话筒即关闭；可实现远程控制PPT翻页及内置激光笔功能；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6.轻巧美观，多种使用方式灵活选择：可手持或颈挂；发射角度：垂直0°～90°，水平120°；</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7.内置可充电锂电池，持续发言时间≥7小时；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8.具有良好的对灯光的抗干扰性；测量数字红外无线麦克风对节能灯灯光的抗干扰。提供国家认可的权威机构出具的检测报告扫描件加盖公章。</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9.需支持USB口充电（兼容手机充电器）和插入充电座充电;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10.无线麦克风自带电子锁锁口，可搭配电子锁底座进行话筒安全管理；提供蓝牙扫码开锁手机App（含Android和IOS）软件著作权证书复印件加盖公章。</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w:t>
            </w:r>
          </w:p>
        </w:tc>
        <w:tc>
          <w:tcPr>
            <w:tcW w:w="1231"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数字红外接收器</w:t>
            </w:r>
          </w:p>
        </w:tc>
        <w:tc>
          <w:tcPr>
            <w:tcW w:w="4078" w:type="dxa"/>
            <w:shd w:val="clear" w:color="auto" w:fill="auto"/>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1.数字红外音频传输及控制技术；不受高频驱动光源干扰，可正常工作于阳光下的环境；</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2.接收频点可调；接收角度：垂直：150° (±75°)，水平：360°; </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3.辐射距离≥25米；用麦克风在距离数字红外接收器25米处发言.</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4.≥1个RJ45接口，用于连接RJ45延长网线。</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3 </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有线麦克风</w:t>
            </w:r>
          </w:p>
        </w:tc>
        <w:tc>
          <w:tcPr>
            <w:tcW w:w="4078" w:type="dxa"/>
            <w:shd w:val="clear" w:color="auto" w:fill="auto"/>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1.可拆卸麦克风，麦克风长度可选；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2.需内置充电底座，可对2支无线麦克风同时充电；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3.需带1根音频用于连接主机/控制盒传输音频；</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4.需具有1个麦克风开/关按键；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5.具有1个USB接口，可使用适配器为充电座供电；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★提供制造厂家售后服务承诺函及原厂印刷的产品介绍彩页</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4 </w:t>
            </w:r>
          </w:p>
        </w:tc>
        <w:tc>
          <w:tcPr>
            <w:tcW w:w="1231"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数字红外无线教学扩声系统主机</w:t>
            </w:r>
          </w:p>
        </w:tc>
        <w:tc>
          <w:tcPr>
            <w:tcW w:w="4078" w:type="dxa"/>
            <w:shd w:val="clear" w:color="auto" w:fill="auto"/>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1.具有国家质量认证中心国家强制性3认证；</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2.≥2个RJ45接口，用于连接数字红外接收器，内置功放，可直接连接音箱，输出功率≥60 W×2只（8 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3.≥2路线路输入，2路输入音量大小可调；≥1路线路输出；≥2路USB接口，一路USB口用于连接麦克风充电座，一路通过USB线连接到电脑，可配合数字红外无线麦克风实现PPT翻页功能；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4.具有啸叫抑制、频点选择、话筒低切等功能，可通过拨码开关设置；为了更清楚的表现出主体声音，需具有线路声音自动衰减功能开关，即麦克风有声音触发时，背景声音降低；</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5.频率响应（麦克风-主机）100Hz～20kHz；信噪比（麦克风-主机）≥90 dBA；总谐波失真（麦克风-主机）≤0.05%；动态范围（麦克风-主机）≥85dB；</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6．具有过压保护，欠压保护，过温压限，过温关机，过流压限，过流关机，直流保护，输出短路保护，线性温控风扇。</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5 </w:t>
            </w:r>
          </w:p>
        </w:tc>
        <w:tc>
          <w:tcPr>
            <w:tcW w:w="1231"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壁挂式音箱</w:t>
            </w:r>
          </w:p>
        </w:tc>
        <w:tc>
          <w:tcPr>
            <w:tcW w:w="4078"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1.两路低音反射式扬声系统，高强度注膜树脂壳体；</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2.技术参数要求：频率响应： 65 Hz-20 kHz；定阻输入：8 Ω；额定功率：≥30 W；灵敏度：≥</w:t>
            </w:r>
            <w:r>
              <w:rPr>
                <w:rFonts w:cs="宋体"/>
                <w:color w:val="000000" w:themeColor="text1"/>
                <w:kern w:val="0"/>
                <w:sz w:val="18"/>
                <w:szCs w:val="18"/>
                <w14:textFill>
                  <w14:solidFill>
                    <w14:schemeClr w14:val="tx1"/>
                  </w14:solidFill>
                </w14:textFill>
              </w:rPr>
              <w:t>88</w:t>
            </w:r>
            <w:r>
              <w:rPr>
                <w:rFonts w:hint="eastAsia" w:cs="宋体"/>
                <w:color w:val="000000" w:themeColor="text1"/>
                <w:kern w:val="0"/>
                <w:sz w:val="18"/>
                <w:szCs w:val="18"/>
                <w14:textFill>
                  <w14:solidFill>
                    <w14:schemeClr w14:val="tx1"/>
                  </w14:solidFill>
                </w14:textFill>
              </w:rPr>
              <w:t>dB；</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3.可垂直及水平安装，配备安装支架；</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配套设备</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讲台</w:t>
            </w:r>
          </w:p>
        </w:tc>
        <w:tc>
          <w:tcPr>
            <w:tcW w:w="4078" w:type="dxa"/>
            <w:shd w:val="clear" w:color="auto" w:fill="auto"/>
            <w:vAlign w:val="center"/>
          </w:tcPr>
          <w:p>
            <w:pPr>
              <w:widowControl/>
              <w:numPr>
                <w:ilvl w:val="0"/>
                <w:numId w:val="4"/>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盖门采取翻转方式。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2、合理的尺寸设计，合理的设备安排，国标19英寸机架，真正做到防盗功能。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3、钢木结合材料一体成型；木质扶手；桌面木质花纹转印技术；全封闭式结构，保障了多媒体设备的安全性。</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4、普通锁</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5、液晶显示器采用开放式，关闭后所有设备都隐藏在讲台内。</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6、整体采用分体式结构，上下两部分采用分体组装。</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7、键盘采用翻转式操作，显示器、中央控制系统、键盘互不影响独立操作。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8、右侧采用隐藏抽拉式设计，安装视频展示台。9、讲台尺寸：长1100mm*宽720mm*高1070mm。10、颜色由甲方确认。</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蓝贝斯特、海捷、点圆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桌椅</w:t>
            </w:r>
          </w:p>
        </w:tc>
        <w:tc>
          <w:tcPr>
            <w:tcW w:w="407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移动桌椅（50人1间、40人4间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2人</w:t>
            </w:r>
            <w:r>
              <w:rPr>
                <w:rFonts w:hint="eastAsia" w:cs="宋体"/>
                <w:color w:val="000000" w:themeColor="text1"/>
                <w:kern w:val="0"/>
                <w:sz w:val="18"/>
                <w:szCs w:val="18"/>
                <w:lang w:eastAsia="zh-Hans"/>
                <w14:textFill>
                  <w14:solidFill>
                    <w14:schemeClr w14:val="tx1"/>
                  </w14:solidFill>
                </w14:textFill>
              </w:rPr>
              <w:t>或</w:t>
            </w:r>
            <w:r>
              <w:rPr>
                <w:rFonts w:cs="宋体"/>
                <w:color w:val="000000" w:themeColor="text1"/>
                <w:kern w:val="0"/>
                <w:sz w:val="18"/>
                <w:szCs w:val="18"/>
                <w:lang w:eastAsia="zh-Hans"/>
                <w14:textFill>
                  <w14:solidFill>
                    <w14:schemeClr w14:val="tx1"/>
                  </w14:solidFill>
                </w14:textFill>
              </w:rPr>
              <w:t>1</w:t>
            </w:r>
            <w:r>
              <w:rPr>
                <w:rFonts w:hint="eastAsia" w:cs="宋体"/>
                <w:color w:val="000000" w:themeColor="text1"/>
                <w:kern w:val="0"/>
                <w:sz w:val="18"/>
                <w:szCs w:val="18"/>
                <w:lang w:eastAsia="zh-Hans"/>
                <w14:textFill>
                  <w14:solidFill>
                    <w14:schemeClr w14:val="tx1"/>
                  </w14:solidFill>
                </w14:textFill>
              </w:rPr>
              <w:t>人</w:t>
            </w:r>
            <w:r>
              <w:rPr>
                <w:rFonts w:hint="eastAsia" w:cs="宋体"/>
                <w:color w:val="000000" w:themeColor="text1"/>
                <w:kern w:val="0"/>
                <w:sz w:val="18"/>
                <w:szCs w:val="18"/>
                <w14:textFill>
                  <w14:solidFill>
                    <w14:schemeClr w14:val="tx1"/>
                  </w14:solidFill>
                </w14:textFill>
              </w:rPr>
              <w:t>长条桌：1、桌面：E1级高密度板台面，厚度为25MM，内材经过防虫、防腐的化学处理，强度高、钢性好、不变形、比重合理；封边：PVC胶边；游离甲醛释放量优于国家标准，密度750公斤/立方米，游离甲醛含量8mg/100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2、桌架：1.5mm厚蛋管冷轧钢立柱，1.2mm冷轧钢横梁，表面高温静电喷涂；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3、书网：材料为0.8mm冷轧钢架，表面高温静电喷涂；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4、挡板：挡板E1级高密度板采用12MM，内材经过防虫、防腐的化学处理，强度高、钢性好、不变形、比重合理；封边：PVC胶边；游离甲醛释放量优于国家标准，密度700公斤/立方米，游离甲醛含量8mg/100g。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5、脚轮：可调节高低，两个带刹车轮，两个不带刹车，方便用户随时调节桌面平整；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6、折叠：整个桌子可90度折叠，节省空间。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7、木板颜色：多色可选或提供样品色定制；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8、平衡码： 1）可固定拼接、整体移动，2）可固定桌面平整；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四轮转椅：1、面料：采用优质颐达网布面料，防磨防污性好；颜色可选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2、辅料：采用优于或等于45#高密度、高弹力定型海绵，可防氧化、防碎，软硬适中，回弹性良好，不易变形；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3、架子：1.4mm厚钢制电镀脚架。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4、功能：座板可翻起、扶手可前后调整、可折叠</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5、铝合金链接件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6、整体尺寸：580mm*580mm*850mm</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位</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r>
              <w:rPr>
                <w:rFonts w:cs="宋体"/>
                <w:color w:val="000000" w:themeColor="text1"/>
                <w:kern w:val="0"/>
                <w:sz w:val="18"/>
                <w:szCs w:val="18"/>
                <w14:textFill>
                  <w14:solidFill>
                    <w14:schemeClr w14:val="tx1"/>
                  </w14:solidFill>
                </w14:textFill>
              </w:rPr>
              <w:t>1</w:t>
            </w:r>
            <w:r>
              <w:rPr>
                <w:rFonts w:hint="eastAsia" w:cs="宋体"/>
                <w:color w:val="000000" w:themeColor="text1"/>
                <w:kern w:val="0"/>
                <w:sz w:val="18"/>
                <w:szCs w:val="18"/>
                <w14:textFill>
                  <w14:solidFill>
                    <w14:schemeClr w14:val="tx1"/>
                  </w14:solidFill>
                </w14:textFill>
              </w:rPr>
              <w:t>0</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集成费用</w:t>
            </w:r>
          </w:p>
        </w:tc>
        <w:tc>
          <w:tcPr>
            <w:tcW w:w="4078"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设备的施工安装集成费用</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间</w:t>
            </w:r>
          </w:p>
        </w:tc>
        <w:tc>
          <w:tcPr>
            <w:tcW w:w="7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13</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0" w:type="dxa"/>
            <w:gridSpan w:val="3"/>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电声设备</w:t>
            </w:r>
          </w:p>
        </w:tc>
        <w:tc>
          <w:tcPr>
            <w:tcW w:w="49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764"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54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983"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话筒</w:t>
            </w:r>
          </w:p>
        </w:tc>
        <w:tc>
          <w:tcPr>
            <w:tcW w:w="407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音频输入电平：增益位置0dB</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-20dBV   -10dB</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-10dBV；</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发射机发射功率：10mW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外观尺寸：224mm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53mm直径</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电源要求：2节LR6五号电池，1.5伏，碱性电池</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w:t>
            </w:r>
          </w:p>
        </w:tc>
        <w:tc>
          <w:tcPr>
            <w:tcW w:w="764"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舒尔、得胜、JBL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调音台</w:t>
            </w:r>
          </w:p>
        </w:tc>
        <w:tc>
          <w:tcPr>
            <w:tcW w:w="407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尺寸：244×71×294；</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功耗：22.9W；</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无线接收器</w:t>
            </w:r>
          </w:p>
        </w:tc>
        <w:tc>
          <w:tcPr>
            <w:tcW w:w="4078" w:type="dxa"/>
            <w:shd w:val="clear" w:color="auto" w:fill="auto"/>
          </w:tcPr>
          <w:p>
            <w:pPr>
              <w:widowControl/>
              <w:spacing w:line="220" w:lineRule="exac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话筒数量</w:t>
            </w:r>
            <w:r>
              <w:rPr>
                <w:rFonts w:cs="宋体"/>
                <w:color w:val="000000" w:themeColor="text1"/>
                <w:kern w:val="0"/>
                <w:sz w:val="18"/>
                <w:szCs w:val="18"/>
                <w:lang w:eastAsia="zh-Hans"/>
                <w14:textFill>
                  <w14:solidFill>
                    <w14:schemeClr w14:val="tx1"/>
                  </w14:solidFill>
                </w14:textFill>
              </w:rPr>
              <w:t>：4</w:t>
            </w:r>
          </w:p>
          <w:p>
            <w:pPr>
              <w:widowControl/>
              <w:spacing w:line="220" w:lineRule="exac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工作范围：</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91米（300英尺）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频率响应：50到1500HZ</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动态范围：≦100dB,A-加权，典型</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尺寸：40mm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388mm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116mm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输出阻抗：XLR接头：200，6.35毫米</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舒尔、得胜、JBL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音频线材</w:t>
            </w:r>
          </w:p>
        </w:tc>
        <w:tc>
          <w:tcPr>
            <w:tcW w:w="407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双声道6.3插头转6.3插头</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根</w:t>
            </w:r>
          </w:p>
        </w:tc>
        <w:tc>
          <w:tcPr>
            <w:tcW w:w="764"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功放机</w:t>
            </w:r>
          </w:p>
        </w:tc>
        <w:tc>
          <w:tcPr>
            <w:tcW w:w="407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声道：2；</w:t>
            </w:r>
          </w:p>
          <w:p>
            <w:pPr>
              <w:widowControl/>
              <w:spacing w:line="220" w:lineRule="exac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HDAM</w:t>
            </w:r>
            <w:r>
              <w:rPr>
                <w:rFonts w:hint="eastAsia" w:cs="宋体"/>
                <w:color w:val="000000" w:themeColor="text1"/>
                <w:kern w:val="0"/>
                <w:sz w:val="18"/>
                <w:szCs w:val="18"/>
                <w:lang w:eastAsia="zh-Hans"/>
                <w14:textFill>
                  <w14:solidFill>
                    <w14:schemeClr w14:val="tx1"/>
                  </w14:solidFill>
                </w14:textFill>
              </w:rPr>
              <w:t>版本</w:t>
            </w:r>
            <w:r>
              <w:rPr>
                <w:rFonts w:cs="宋体"/>
                <w:color w:val="000000" w:themeColor="text1"/>
                <w:kern w:val="0"/>
                <w:sz w:val="18"/>
                <w:szCs w:val="18"/>
                <w:lang w:eastAsia="zh-Hans"/>
                <w14:textFill>
                  <w14:solidFill>
                    <w14:schemeClr w14:val="tx1"/>
                  </w14:solidFill>
                </w14:textFill>
              </w:rPr>
              <w:t>：SA2,SA3</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功率输出：40W/50W；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信噪比：103dB(2V输出)；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440×370×105；</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w:t>
            </w:r>
          </w:p>
        </w:tc>
        <w:tc>
          <w:tcPr>
            <w:tcW w:w="123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监听音响</w:t>
            </w:r>
          </w:p>
        </w:tc>
        <w:tc>
          <w:tcPr>
            <w:tcW w:w="407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系统类型：有源超低音音箱；</w:t>
            </w:r>
          </w:p>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频率响应</w:t>
            </w:r>
            <w:r>
              <w:rPr>
                <w:rFonts w:cs="宋体"/>
                <w:color w:val="000000" w:themeColor="text1"/>
                <w:kern w:val="0"/>
                <w:sz w:val="18"/>
                <w:szCs w:val="18"/>
                <w:lang w:eastAsia="zh-Hans"/>
                <w14:textFill>
                  <w14:solidFill>
                    <w14:schemeClr w14:val="tx1"/>
                  </w14:solidFill>
                </w14:textFill>
              </w:rPr>
              <w:t>：22Hz-160kHz</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输出功率：150W；</w:t>
            </w:r>
          </w:p>
          <w:p>
            <w:pPr>
              <w:widowControl/>
              <w:spacing w:line="220" w:lineRule="exact"/>
              <w:rPr>
                <w:rFonts w:ascii="宋体" w:hAnsi="宋体"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输入接口</w:t>
            </w:r>
            <w:r>
              <w:rPr>
                <w:rFonts w:cs="宋体"/>
                <w:color w:val="000000" w:themeColor="text1"/>
                <w:kern w:val="0"/>
                <w:sz w:val="18"/>
                <w:szCs w:val="18"/>
                <w:lang w:eastAsia="zh-Hans"/>
                <w14:textFill>
                  <w14:solidFill>
                    <w14:schemeClr w14:val="tx1"/>
                  </w14:solidFill>
                </w14:textFill>
              </w:rPr>
              <w:t>：XLR3-31</w:t>
            </w:r>
            <w:r>
              <w:rPr>
                <w:rFonts w:hint="eastAsia" w:cs="宋体"/>
                <w:color w:val="000000" w:themeColor="text1"/>
                <w:kern w:val="0"/>
                <w:sz w:val="18"/>
                <w:szCs w:val="18"/>
                <w:lang w:eastAsia="zh-Hans"/>
                <w14:textFill>
                  <w14:solidFill>
                    <w14:schemeClr w14:val="tx1"/>
                  </w14:solidFill>
                </w14:textFill>
              </w:rPr>
              <w:t>型</w:t>
            </w:r>
            <w:r>
              <w:rPr>
                <w:rFonts w:cs="宋体"/>
                <w:color w:val="000000" w:themeColor="text1"/>
                <w:kern w:val="0"/>
                <w:sz w:val="18"/>
                <w:szCs w:val="18"/>
                <w:lang w:eastAsia="zh-Hans"/>
                <w14:textFill>
                  <w14:solidFill>
                    <w14:schemeClr w14:val="tx1"/>
                  </w14:solidFill>
                </w14:textFill>
              </w:rPr>
              <w:t>（</w:t>
            </w:r>
            <w:r>
              <w:rPr>
                <w:rFonts w:hint="eastAsia" w:cs="宋体"/>
                <w:color w:val="000000" w:themeColor="text1"/>
                <w:kern w:val="0"/>
                <w:sz w:val="18"/>
                <w:szCs w:val="18"/>
                <w:lang w:eastAsia="zh-Hans"/>
                <w14:textFill>
                  <w14:solidFill>
                    <w14:schemeClr w14:val="tx1"/>
                  </w14:solidFill>
                </w14:textFill>
              </w:rPr>
              <w:t>平衡</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2</w:t>
            </w:r>
          </w:p>
          <w:p>
            <w:pPr>
              <w:widowControl/>
              <w:spacing w:line="220" w:lineRule="exact"/>
              <w:ind w:firstLine="900" w:firstLineChars="500"/>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PHONE（</w:t>
            </w:r>
            <w:r>
              <w:rPr>
                <w:rFonts w:hint="eastAsia" w:cs="宋体"/>
                <w:color w:val="000000" w:themeColor="text1"/>
                <w:kern w:val="0"/>
                <w:sz w:val="18"/>
                <w:szCs w:val="18"/>
                <w:lang w:eastAsia="zh-Hans"/>
                <w14:textFill>
                  <w14:solidFill>
                    <w14:schemeClr w14:val="tx1"/>
                  </w14:solidFill>
                </w14:textFill>
              </w:rPr>
              <w:t>平衡</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2</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300×350×389.</w:t>
            </w:r>
          </w:p>
          <w:p>
            <w:pPr>
              <w:widowControl/>
              <w:spacing w:line="220" w:lineRule="exac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重量</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12</w:t>
            </w:r>
            <w:r>
              <w:rPr>
                <w:rFonts w:hint="eastAsia" w:ascii="宋体" w:hAnsi="宋体" w:cs="宋体"/>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5kg</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对</w:t>
            </w:r>
          </w:p>
        </w:tc>
        <w:tc>
          <w:tcPr>
            <w:tcW w:w="764"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2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指挥教室 1间</w:t>
            </w:r>
          </w:p>
        </w:tc>
        <w:tc>
          <w:tcPr>
            <w:tcW w:w="983" w:type="dxa"/>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指挥台</w:t>
            </w:r>
          </w:p>
        </w:tc>
        <w:tc>
          <w:tcPr>
            <w:tcW w:w="4078" w:type="dxa"/>
            <w:vMerge w:val="restart"/>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1.谱台板尺寸 67×44cm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2.二层台板尺寸 45×30cm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3.谱台板高度 80-120cm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4.护栏高度高100cm 宽85cm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5.站台尺寸 125×100×28cm</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vMerge w:val="continue"/>
            <w:vAlign w:val="center"/>
          </w:tcPr>
          <w:p>
            <w:pPr>
              <w:widowControl/>
              <w:spacing w:line="220" w:lineRule="exact"/>
              <w:jc w:val="left"/>
              <w:rPr>
                <w:rFonts w:cs="宋体"/>
                <w:color w:val="000000" w:themeColor="text1"/>
                <w:kern w:val="0"/>
                <w:sz w:val="18"/>
                <w:szCs w:val="18"/>
                <w14:textFill>
                  <w14:solidFill>
                    <w14:schemeClr w14:val="tx1"/>
                  </w14:solidFill>
                </w14:textFill>
              </w:rPr>
            </w:pP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谱架</w:t>
            </w:r>
          </w:p>
        </w:tc>
        <w:tc>
          <w:tcPr>
            <w:tcW w:w="4078" w:type="dxa"/>
            <w:vMerge w:val="restart"/>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1.材质：金属管体架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2.旋钮：高强度精美旋钮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3.规格：最高170cm，最低96cm，话筒夹3.1cm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4.重量：3.5kg</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架</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50</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劳伦斯、银鱼、VELMER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vMerge w:val="continue"/>
            <w:vAlign w:val="center"/>
          </w:tcPr>
          <w:p>
            <w:pPr>
              <w:widowControl/>
              <w:spacing w:line="220" w:lineRule="exact"/>
              <w:jc w:val="left"/>
              <w:rPr>
                <w:rFonts w:cs="宋体"/>
                <w:color w:val="000000" w:themeColor="text1"/>
                <w:kern w:val="0"/>
                <w:sz w:val="18"/>
                <w:szCs w:val="18"/>
                <w14:textFill>
                  <w14:solidFill>
                    <w14:schemeClr w14:val="tx1"/>
                  </w14:solidFill>
                </w14:textFill>
              </w:rPr>
            </w:pP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排练椅</w:t>
            </w:r>
          </w:p>
        </w:tc>
        <w:tc>
          <w:tcPr>
            <w:tcW w:w="4078" w:type="dxa"/>
            <w:vMerge w:val="restart"/>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1.材质：尼龙外框，透气网布，金属椅脚</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2.承重：约400kg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3.尺寸：总高86cm，侧宽57cm，正面宽49cm,坐高45cm，靠背宽43cm，座深48cm，坐宽45cm。</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把</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100</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911" w:type="dxa"/>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4</w:t>
            </w:r>
          </w:p>
        </w:tc>
        <w:tc>
          <w:tcPr>
            <w:tcW w:w="1231" w:type="dxa"/>
            <w:vAlign w:val="center"/>
          </w:tcPr>
          <w:p>
            <w:pPr>
              <w:widowControl/>
              <w:spacing w:line="240" w:lineRule="exact"/>
              <w:jc w:val="lef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器材损耗</w:t>
            </w:r>
          </w:p>
        </w:tc>
        <w:tc>
          <w:tcPr>
            <w:tcW w:w="4078" w:type="dxa"/>
            <w:vAlign w:val="center"/>
          </w:tcPr>
          <w:p>
            <w:pPr>
              <w:widowControl/>
              <w:spacing w:line="240" w:lineRule="exact"/>
              <w:jc w:val="lef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哨片</w:t>
            </w:r>
            <w:r>
              <w:rPr>
                <w:rFonts w:cs="宋体"/>
                <w:color w:val="000000" w:themeColor="text1"/>
                <w:kern w:val="0"/>
                <w:sz w:val="18"/>
                <w:szCs w:val="18"/>
                <w:lang w:eastAsia="zh-Hans"/>
                <w14:textFill>
                  <w14:solidFill>
                    <w14:schemeClr w14:val="tx1"/>
                  </w14:solidFill>
                </w14:textFill>
              </w:rPr>
              <w:t>、</w:t>
            </w:r>
            <w:r>
              <w:rPr>
                <w:rFonts w:hint="eastAsia" w:cs="宋体"/>
                <w:color w:val="000000" w:themeColor="text1"/>
                <w:kern w:val="0"/>
                <w:sz w:val="18"/>
                <w:szCs w:val="18"/>
                <w:lang w:eastAsia="zh-Hans"/>
                <w14:textFill>
                  <w14:solidFill>
                    <w14:schemeClr w14:val="tx1"/>
                  </w14:solidFill>
                </w14:textFill>
              </w:rPr>
              <w:t>弦等</w:t>
            </w:r>
          </w:p>
        </w:tc>
        <w:tc>
          <w:tcPr>
            <w:tcW w:w="497"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6"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化妆间  2间</w:t>
            </w:r>
          </w:p>
        </w:tc>
        <w:tc>
          <w:tcPr>
            <w:tcW w:w="98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3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六门柜子</w:t>
            </w:r>
          </w:p>
        </w:tc>
        <w:tc>
          <w:tcPr>
            <w:tcW w:w="4078" w:type="dxa"/>
            <w:vMerge w:val="restart"/>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1.产品：纯白色更衣柜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2.材料：冷轧钢板</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3.调节：多层隔板可调节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4.配置：钥匙锁设计</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5.尺寸：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长900mm，宽500mm，高1850mm</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231" w:type="dxa"/>
            <w:shd w:val="clear" w:color="auto" w:fill="auto"/>
            <w:vAlign w:val="center"/>
          </w:tcPr>
          <w:p>
            <w:pPr>
              <w:widowControl/>
              <w:spacing w:line="240" w:lineRule="exact"/>
              <w:rPr>
                <w:rFonts w:cs="宋体"/>
                <w:kern w:val="0"/>
                <w:sz w:val="18"/>
                <w:szCs w:val="18"/>
              </w:rPr>
            </w:pPr>
            <w:r>
              <w:rPr>
                <w:rFonts w:hint="eastAsia" w:cs="宋体"/>
                <w:kern w:val="0"/>
                <w:sz w:val="18"/>
                <w:szCs w:val="18"/>
              </w:rPr>
              <w:t>化妆台</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1.镜子：水银镜子代智补光灯</w:t>
            </w:r>
            <w:r>
              <w:rPr>
                <w:rFonts w:hint="eastAsia" w:cs="宋体"/>
                <w:kern w:val="0"/>
                <w:sz w:val="18"/>
                <w:szCs w:val="18"/>
              </w:rPr>
              <w:br w:type="textWrapping"/>
            </w:r>
            <w:r>
              <w:rPr>
                <w:rFonts w:hint="eastAsia" w:cs="宋体"/>
                <w:kern w:val="0"/>
                <w:sz w:val="18"/>
                <w:szCs w:val="18"/>
              </w:rPr>
              <w:t>2.桌面：环保生态板烤漆</w:t>
            </w:r>
            <w:r>
              <w:rPr>
                <w:rFonts w:hint="eastAsia" w:cs="宋体"/>
                <w:kern w:val="0"/>
                <w:sz w:val="18"/>
                <w:szCs w:val="18"/>
              </w:rPr>
              <w:br w:type="textWrapping"/>
            </w:r>
            <w:r>
              <w:rPr>
                <w:rFonts w:hint="eastAsia" w:cs="宋体"/>
                <w:kern w:val="0"/>
                <w:sz w:val="18"/>
                <w:szCs w:val="18"/>
              </w:rPr>
              <w:t>3.桌脚：双重烤漆工艺、防滑脚垫</w:t>
            </w:r>
            <w:r>
              <w:rPr>
                <w:rFonts w:hint="eastAsia" w:cs="宋体"/>
                <w:kern w:val="0"/>
                <w:sz w:val="18"/>
                <w:szCs w:val="18"/>
              </w:rPr>
              <w:br w:type="textWrapping"/>
            </w:r>
            <w:r>
              <w:rPr>
                <w:rFonts w:hint="eastAsia" w:cs="宋体"/>
                <w:kern w:val="0"/>
                <w:sz w:val="18"/>
                <w:szCs w:val="18"/>
              </w:rPr>
              <w:t>4.座椅：绒布材质</w:t>
            </w:r>
            <w:r>
              <w:rPr>
                <w:rFonts w:hint="eastAsia" w:cs="宋体"/>
                <w:kern w:val="0"/>
                <w:sz w:val="18"/>
                <w:szCs w:val="18"/>
              </w:rPr>
              <w:br w:type="textWrapping"/>
            </w:r>
            <w:r>
              <w:rPr>
                <w:rFonts w:hint="eastAsia"/>
                <w:sz w:val="24"/>
                <w:szCs w:val="24"/>
              </w:rPr>
              <w:t>▲</w:t>
            </w:r>
            <w:r>
              <w:rPr>
                <w:rFonts w:hint="eastAsia" w:cs="宋体"/>
                <w:kern w:val="0"/>
                <w:sz w:val="18"/>
                <w:szCs w:val="18"/>
              </w:rPr>
              <w:t>5.尺寸：镜/桌长120cm，镜高80cm，桌宽40cm,桌高75cm</w:t>
            </w:r>
          </w:p>
        </w:tc>
        <w:tc>
          <w:tcPr>
            <w:tcW w:w="497"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764" w:type="dxa"/>
            <w:shd w:val="clear" w:color="auto" w:fill="auto"/>
            <w:vAlign w:val="center"/>
          </w:tcPr>
          <w:p>
            <w:pPr>
              <w:widowControl/>
              <w:spacing w:line="240" w:lineRule="exact"/>
              <w:jc w:val="center"/>
              <w:rPr>
                <w:rFonts w:cs="宋体"/>
                <w:kern w:val="0"/>
                <w:sz w:val="18"/>
                <w:szCs w:val="18"/>
              </w:rPr>
            </w:pPr>
          </w:p>
        </w:tc>
        <w:tc>
          <w:tcPr>
            <w:tcW w:w="545"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6</w:t>
            </w:r>
          </w:p>
        </w:tc>
        <w:tc>
          <w:tcPr>
            <w:tcW w:w="983" w:type="dxa"/>
            <w:shd w:val="clear" w:color="auto" w:fill="auto"/>
            <w:vAlign w:val="center"/>
          </w:tcPr>
          <w:p>
            <w:pPr>
              <w:widowControl/>
              <w:spacing w:line="240" w:lineRule="exact"/>
              <w:jc w:val="center"/>
              <w:rPr>
                <w:rFonts w:cs="宋体"/>
                <w:kern w:val="0"/>
                <w:sz w:val="18"/>
                <w:szCs w:val="18"/>
              </w:rPr>
            </w:pPr>
          </w:p>
        </w:tc>
        <w:tc>
          <w:tcPr>
            <w:tcW w:w="1232"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　</w:t>
            </w:r>
          </w:p>
        </w:tc>
      </w:tr>
    </w:tbl>
    <w:p>
      <w:pPr>
        <w:pStyle w:val="14"/>
        <w:spacing w:line="560" w:lineRule="exact"/>
        <w:rPr>
          <w:rFonts w:ascii="Times New Roman" w:hAnsi="Times New Roman" w:eastAsia="黑体"/>
          <w:sz w:val="32"/>
          <w:szCs w:val="32"/>
        </w:rPr>
      </w:pPr>
      <w:r>
        <w:rPr>
          <w:rFonts w:hint="eastAsia" w:ascii="Times New Roman" w:hAnsi="Times New Roman" w:eastAsia="黑体"/>
          <w:sz w:val="32"/>
          <w:szCs w:val="32"/>
        </w:rPr>
        <w:t>三标段产品需求清单：</w:t>
      </w:r>
    </w:p>
    <w:tbl>
      <w:tblPr>
        <w:tblStyle w:val="25"/>
        <w:tblW w:w="102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31"/>
        <w:gridCol w:w="4078"/>
        <w:gridCol w:w="497"/>
        <w:gridCol w:w="764"/>
        <w:gridCol w:w="545"/>
        <w:gridCol w:w="983"/>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241" w:type="dxa"/>
            <w:gridSpan w:val="8"/>
            <w:shd w:val="clear" w:color="auto" w:fill="auto"/>
            <w:vAlign w:val="center"/>
          </w:tcPr>
          <w:p>
            <w:pPr>
              <w:widowControl/>
              <w:spacing w:line="240" w:lineRule="exact"/>
              <w:jc w:val="left"/>
              <w:rPr>
                <w:rFonts w:eastAsia="黑体" w:cs="宋体"/>
                <w:b/>
                <w:bCs/>
                <w:kern w:val="0"/>
                <w:sz w:val="18"/>
                <w:szCs w:val="18"/>
              </w:rPr>
            </w:pPr>
            <w:r>
              <w:rPr>
                <w:rFonts w:hint="eastAsia" w:eastAsia="黑体" w:cs="宋体"/>
                <w:b/>
                <w:bCs/>
                <w:kern w:val="0"/>
                <w:sz w:val="18"/>
                <w:szCs w:val="18"/>
              </w:rPr>
              <w:t>美术展厅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w:t>
            </w:r>
          </w:p>
        </w:tc>
        <w:tc>
          <w:tcPr>
            <w:tcW w:w="1231"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升降平台移动式电动升降机</w:t>
            </w:r>
          </w:p>
        </w:tc>
        <w:tc>
          <w:tcPr>
            <w:tcW w:w="4078" w:type="dxa"/>
            <w:shd w:val="clear" w:color="000000" w:fill="FFFFFF"/>
            <w:vAlign w:val="center"/>
          </w:tcPr>
          <w:p>
            <w:pPr>
              <w:widowControl/>
              <w:spacing w:line="240" w:lineRule="exact"/>
              <w:jc w:val="left"/>
              <w:rPr>
                <w:rFonts w:cs="宋体"/>
                <w:kern w:val="0"/>
                <w:sz w:val="18"/>
                <w:szCs w:val="18"/>
              </w:rPr>
            </w:pPr>
            <w:r>
              <w:rPr>
                <w:rFonts w:hint="eastAsia"/>
                <w:sz w:val="24"/>
                <w:szCs w:val="24"/>
              </w:rPr>
              <w:t>▲</w:t>
            </w:r>
            <w:r>
              <w:rPr>
                <w:rFonts w:hint="eastAsia" w:cs="宋体"/>
                <w:kern w:val="0"/>
                <w:sz w:val="18"/>
                <w:szCs w:val="18"/>
              </w:rPr>
              <w:t>1.升高4米，载重≥500KG</w:t>
            </w:r>
          </w:p>
        </w:tc>
        <w:tc>
          <w:tcPr>
            <w:tcW w:w="497"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764" w:type="dxa"/>
            <w:vMerge w:val="restart"/>
            <w:shd w:val="clear" w:color="auto" w:fill="auto"/>
            <w:vAlign w:val="center"/>
          </w:tcPr>
          <w:p>
            <w:pPr>
              <w:widowControl/>
              <w:spacing w:line="240" w:lineRule="exact"/>
              <w:jc w:val="center"/>
              <w:rPr>
                <w:rFonts w:cs="宋体"/>
                <w:kern w:val="0"/>
                <w:sz w:val="18"/>
                <w:szCs w:val="18"/>
              </w:rPr>
            </w:pPr>
          </w:p>
        </w:tc>
        <w:tc>
          <w:tcPr>
            <w:tcW w:w="545"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w:t>
            </w:r>
          </w:p>
        </w:tc>
        <w:tc>
          <w:tcPr>
            <w:tcW w:w="983" w:type="dxa"/>
            <w:vMerge w:val="restart"/>
            <w:shd w:val="clear" w:color="auto" w:fill="auto"/>
            <w:vAlign w:val="center"/>
          </w:tcPr>
          <w:p>
            <w:pPr>
              <w:widowControl/>
              <w:spacing w:line="240" w:lineRule="exact"/>
              <w:jc w:val="center"/>
              <w:rPr>
                <w:rFonts w:cs="宋体"/>
                <w:kern w:val="0"/>
                <w:sz w:val="18"/>
                <w:szCs w:val="18"/>
              </w:rPr>
            </w:pPr>
          </w:p>
        </w:tc>
        <w:tc>
          <w:tcPr>
            <w:tcW w:w="1232"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爵力、三足鼎、扬子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2.台面尺寸：2100cm*830cm，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3.外形尺寸：2250cm*950cm*1200cm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4.设备重量：880KG</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液压起重，辅助登高车，铝合金双柱剪叉式升降梯。</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配备220V电池，配备外围保护护栏，</w:t>
            </w:r>
          </w:p>
          <w:p>
            <w:pPr>
              <w:widowControl/>
              <w:spacing w:line="240" w:lineRule="exact"/>
              <w:rPr>
                <w:rFonts w:cs="宋体"/>
                <w:kern w:val="0"/>
                <w:sz w:val="18"/>
                <w:szCs w:val="18"/>
              </w:rPr>
            </w:pPr>
            <w:r>
              <w:rPr>
                <w:rFonts w:hint="eastAsia" w:cs="宋体"/>
                <w:kern w:val="0"/>
                <w:sz w:val="18"/>
                <w:szCs w:val="18"/>
              </w:rPr>
              <w:t>抛丸静电喷漆、液压泵站，油缸密封圈、配电箱、辅助行走、发动机驱动、实心轮胎、拓展伸展台面、手压泵升降、防爆电器；</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安全防护措施：</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1.双重限位开关保护</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2.防止液压管路破裂的防爆装置</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3.漏电保护装置</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4过载安全保护装置</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5.停电情况下的应急下降装置</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6.电机过热、过流保护装置</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7.超载保护装置</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（负责安装到位）</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231" w:type="dxa"/>
            <w:shd w:val="clear" w:color="auto" w:fill="auto"/>
            <w:vAlign w:val="center"/>
          </w:tcPr>
          <w:p>
            <w:pPr>
              <w:widowControl/>
              <w:spacing w:line="240" w:lineRule="exact"/>
              <w:rPr>
                <w:rFonts w:cs="宋体"/>
                <w:kern w:val="0"/>
                <w:sz w:val="18"/>
                <w:szCs w:val="18"/>
              </w:rPr>
            </w:pPr>
            <w:r>
              <w:rPr>
                <w:rFonts w:hint="eastAsia" w:cs="宋体"/>
                <w:kern w:val="0"/>
                <w:sz w:val="18"/>
                <w:szCs w:val="18"/>
              </w:rPr>
              <w:t>交互智能平板（含原厂移动支架）</w:t>
            </w:r>
          </w:p>
        </w:tc>
        <w:tc>
          <w:tcPr>
            <w:tcW w:w="4078" w:type="dxa"/>
            <w:shd w:val="clear" w:color="000000" w:fill="FFFFFF"/>
            <w:vAlign w:val="center"/>
          </w:tcPr>
          <w:p>
            <w:pPr>
              <w:widowControl/>
              <w:numPr>
                <w:ilvl w:val="0"/>
                <w:numId w:val="3"/>
              </w:numPr>
              <w:spacing w:line="240" w:lineRule="exact"/>
              <w:jc w:val="left"/>
              <w:rPr>
                <w:rFonts w:cs="宋体"/>
                <w:kern w:val="0"/>
                <w:sz w:val="18"/>
                <w:szCs w:val="18"/>
              </w:rPr>
            </w:pPr>
            <w:r>
              <w:rPr>
                <w:rFonts w:hint="eastAsia" w:cs="宋体"/>
                <w:kern w:val="0"/>
                <w:sz w:val="18"/>
                <w:szCs w:val="18"/>
              </w:rPr>
              <w:t>硬件配置</w:t>
            </w:r>
            <w:r>
              <w:rPr>
                <w:rFonts w:hint="eastAsia" w:cs="宋体"/>
                <w:kern w:val="0"/>
                <w:sz w:val="18"/>
                <w:szCs w:val="18"/>
              </w:rPr>
              <w:br w:type="textWrapping"/>
            </w:r>
            <w:r>
              <w:rPr>
                <w:rFonts w:hint="eastAsia"/>
                <w:sz w:val="24"/>
                <w:szCs w:val="24"/>
              </w:rPr>
              <w:t>▲</w:t>
            </w:r>
            <w:r>
              <w:rPr>
                <w:rFonts w:hint="eastAsia" w:cs="宋体"/>
                <w:kern w:val="0"/>
                <w:sz w:val="18"/>
                <w:szCs w:val="18"/>
              </w:rPr>
              <w:t>1.屏幕尺寸≥86英寸，LED液晶屏体：A规屏；</w:t>
            </w:r>
            <w:r>
              <w:rPr>
                <w:rFonts w:hint="eastAsia" w:cs="宋体"/>
                <w:kern w:val="0"/>
                <w:sz w:val="18"/>
                <w:szCs w:val="18"/>
              </w:rPr>
              <w:br w:type="textWrapping"/>
            </w:r>
            <w:r>
              <w:rPr>
                <w:rFonts w:hint="eastAsia" w:cs="宋体"/>
                <w:kern w:val="0"/>
                <w:sz w:val="18"/>
                <w:szCs w:val="18"/>
              </w:rPr>
              <w:t>2.显示比例16:9，物理分辨率：3840×2160，最大可视角度≥178度，灰阶等级≥256；</w:t>
            </w:r>
            <w:r>
              <w:rPr>
                <w:rFonts w:hint="eastAsia" w:cs="宋体"/>
                <w:kern w:val="0"/>
                <w:sz w:val="18"/>
                <w:szCs w:val="18"/>
              </w:rPr>
              <w:br w:type="textWrapping"/>
            </w:r>
            <w:r>
              <w:rPr>
                <w:rFonts w:hint="eastAsia" w:cs="宋体"/>
                <w:kern w:val="0"/>
                <w:sz w:val="18"/>
                <w:szCs w:val="18"/>
              </w:rPr>
              <w:t>3.支持双系统下10点同时触控及书写,响应时间≤8ms；定位精度：±0.1mm；</w:t>
            </w:r>
            <w:r>
              <w:rPr>
                <w:rFonts w:hint="eastAsia" w:cs="宋体"/>
                <w:kern w:val="0"/>
                <w:sz w:val="18"/>
                <w:szCs w:val="18"/>
              </w:rPr>
              <w:br w:type="textWrapping"/>
            </w:r>
            <w:r>
              <w:rPr>
                <w:rFonts w:hint="eastAsia" w:cs="宋体"/>
                <w:kern w:val="0"/>
                <w:sz w:val="18"/>
                <w:szCs w:val="18"/>
              </w:rPr>
              <w:t>4.屏幕表面采用防眩目钢化玻璃，防撞防划，表面硬度不低于7H,透光率≥90%，雾度≤8%；</w:t>
            </w:r>
            <w:r>
              <w:rPr>
                <w:rFonts w:hint="eastAsia" w:cs="宋体"/>
                <w:kern w:val="0"/>
                <w:sz w:val="18"/>
                <w:szCs w:val="18"/>
              </w:rPr>
              <w:br w:type="textWrapping"/>
            </w:r>
            <w:r>
              <w:rPr>
                <w:rFonts w:hint="eastAsia" w:cs="宋体"/>
                <w:kern w:val="0"/>
                <w:sz w:val="18"/>
                <w:szCs w:val="18"/>
              </w:rPr>
              <w:t>5.前置接口采用隐藏式防护盖板设计，保证用户使用安全的同时，也可防止前置接口粉尘堆积；</w:t>
            </w:r>
            <w:r>
              <w:rPr>
                <w:rFonts w:hint="eastAsia" w:cs="宋体"/>
                <w:kern w:val="0"/>
                <w:sz w:val="18"/>
                <w:szCs w:val="18"/>
              </w:rPr>
              <w:br w:type="textWrapping"/>
            </w:r>
            <w:r>
              <w:rPr>
                <w:rFonts w:hint="eastAsia" w:cs="宋体"/>
                <w:kern w:val="0"/>
                <w:sz w:val="18"/>
                <w:szCs w:val="18"/>
              </w:rPr>
              <w:t>6为了方便老师快速的接入各种硬件教学设备，交互平板前置面板具有以下输入接口：≥2路双通道USB3.0接口，≥1路全功能通道（Type-C）接口，≥1路HDMI接口；可实现音视频、触控输入等。</w:t>
            </w:r>
            <w:r>
              <w:rPr>
                <w:rFonts w:hint="eastAsia" w:cs="宋体"/>
                <w:kern w:val="0"/>
                <w:sz w:val="18"/>
                <w:szCs w:val="18"/>
              </w:rPr>
              <w:br w:type="textWrapping"/>
            </w:r>
            <w:r>
              <w:rPr>
                <w:rFonts w:hint="eastAsia" w:cs="宋体"/>
                <w:kern w:val="0"/>
                <w:sz w:val="18"/>
                <w:szCs w:val="18"/>
              </w:rPr>
              <w:t>7. 交互平板屏体具有防蓝光功能，达到蓝光防护效果；</w:t>
            </w:r>
            <w:r>
              <w:rPr>
                <w:rFonts w:hint="eastAsia" w:cs="宋体"/>
                <w:kern w:val="0"/>
                <w:sz w:val="18"/>
                <w:szCs w:val="18"/>
              </w:rPr>
              <w:br w:type="textWrapping"/>
            </w:r>
            <w:r>
              <w:rPr>
                <w:rFonts w:hint="eastAsia" w:cs="宋体"/>
                <w:kern w:val="0"/>
                <w:sz w:val="18"/>
                <w:szCs w:val="18"/>
              </w:rPr>
              <w:t>8. 在传统推拉式黑板和智能交互平板结合应用的教学场景下，关闭推拉黑板，可自动进入黑屏节能模式；</w:t>
            </w:r>
            <w:r>
              <w:rPr>
                <w:rFonts w:cs="宋体"/>
                <w:kern w:val="0"/>
                <w:sz w:val="18"/>
                <w:szCs w:val="18"/>
              </w:rPr>
              <w:t xml:space="preserve"> </w:t>
            </w:r>
          </w:p>
          <w:p>
            <w:pPr>
              <w:widowControl/>
              <w:spacing w:line="240" w:lineRule="exact"/>
              <w:rPr>
                <w:rFonts w:cs="宋体"/>
                <w:kern w:val="0"/>
                <w:sz w:val="18"/>
                <w:szCs w:val="18"/>
              </w:rPr>
            </w:pPr>
            <w:r>
              <w:rPr>
                <w:rFonts w:hint="eastAsia" w:cs="宋体"/>
                <w:kern w:val="0"/>
                <w:sz w:val="18"/>
                <w:szCs w:val="18"/>
              </w:rPr>
              <w:t>配套开放式OPS接口，需与触摸一体机开发式插拔使用：CPU≥Intel 九代 I5以上配置；内存≥8G DDR4；硬盘≥256G固态硬盘；具有视频输出接口： HDMI 1个或以上，USB接口3个或以上，其中至少2个为USB3.0接口；WIN10操作系统及以上；</w:t>
            </w:r>
          </w:p>
        </w:tc>
        <w:tc>
          <w:tcPr>
            <w:tcW w:w="497"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764" w:type="dxa"/>
            <w:shd w:val="clear" w:color="auto" w:fill="auto"/>
            <w:vAlign w:val="center"/>
          </w:tcPr>
          <w:p>
            <w:pPr>
              <w:widowControl/>
              <w:spacing w:line="240" w:lineRule="exact"/>
              <w:jc w:val="center"/>
              <w:rPr>
                <w:rFonts w:cs="宋体"/>
                <w:kern w:val="0"/>
                <w:sz w:val="18"/>
                <w:szCs w:val="18"/>
              </w:rPr>
            </w:pPr>
          </w:p>
        </w:tc>
        <w:tc>
          <w:tcPr>
            <w:tcW w:w="545"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983" w:type="dxa"/>
            <w:shd w:val="clear" w:color="auto" w:fill="auto"/>
            <w:vAlign w:val="center"/>
          </w:tcPr>
          <w:p>
            <w:pPr>
              <w:widowControl/>
              <w:spacing w:line="240" w:lineRule="exact"/>
              <w:jc w:val="center"/>
              <w:rPr>
                <w:rFonts w:cs="宋体"/>
                <w:kern w:val="0"/>
                <w:sz w:val="18"/>
                <w:szCs w:val="18"/>
              </w:rPr>
            </w:pPr>
          </w:p>
        </w:tc>
        <w:tc>
          <w:tcPr>
            <w:tcW w:w="1232" w:type="dxa"/>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希沃、华为、联想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231"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激光水平仪</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1.5线水平仪，激光高精度强绿光细线自动打线</w:t>
            </w:r>
          </w:p>
        </w:tc>
        <w:tc>
          <w:tcPr>
            <w:tcW w:w="497"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764" w:type="dxa"/>
            <w:vMerge w:val="restart"/>
            <w:shd w:val="clear" w:color="auto" w:fill="auto"/>
            <w:vAlign w:val="center"/>
          </w:tcPr>
          <w:p>
            <w:pPr>
              <w:widowControl/>
              <w:spacing w:line="240" w:lineRule="exact"/>
              <w:jc w:val="center"/>
              <w:rPr>
                <w:rFonts w:cs="宋体"/>
                <w:kern w:val="0"/>
                <w:sz w:val="18"/>
                <w:szCs w:val="18"/>
              </w:rPr>
            </w:pPr>
          </w:p>
        </w:tc>
        <w:tc>
          <w:tcPr>
            <w:tcW w:w="545"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983" w:type="dxa"/>
            <w:vMerge w:val="restart"/>
            <w:shd w:val="clear" w:color="auto" w:fill="auto"/>
            <w:vAlign w:val="center"/>
          </w:tcPr>
          <w:p>
            <w:pPr>
              <w:widowControl/>
              <w:spacing w:line="240" w:lineRule="exact"/>
              <w:jc w:val="center"/>
              <w:rPr>
                <w:rFonts w:cs="宋体"/>
                <w:kern w:val="0"/>
                <w:sz w:val="18"/>
                <w:szCs w:val="18"/>
              </w:rPr>
            </w:pPr>
          </w:p>
        </w:tc>
        <w:tc>
          <w:tcPr>
            <w:tcW w:w="1232"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得力、博世、东成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2.激光波长：512mm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3激光等级：3R级</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4.水平线精度：5m处±1mm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5.垂线精度：5m处±1mm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6.线宽：5m处2.5mm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7.水平自动调整范围：±3°超范围自动闪烁和鸣叫提示</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8.水平自动调时间：≤5s</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9.水平射角：≥120°</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10.电源4.0V/4.4Ah</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11.净重1.2kg</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1.5米超强全铝材架身，两节可加长。配有伸缩杆、升降手轮、水平泡、固定螺扭、升降卡、固定拨片；</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1.伸缩杆：通过升降手轮的摇动高低伸缩；</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2.升降手轮：通过旋转调节升降高度；</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3.水平泡：当三脚架发生倾斜时，水平泡中气泡向水平4.仪升高的一端移动，从而确定水平面的位置，气泡移动至红色圈中间位置即为水平。</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5.固定螺扭：用于固定上下调节高度的枝干</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6.升降卡：用于缩放支架架腿的作用</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7.固定拨片：开启可调节支架长度，关闭可固定支架</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1231"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手推车</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加长轻音款平板抽推车</w:t>
            </w:r>
          </w:p>
        </w:tc>
        <w:tc>
          <w:tcPr>
            <w:tcW w:w="497"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辆</w:t>
            </w:r>
          </w:p>
        </w:tc>
        <w:tc>
          <w:tcPr>
            <w:tcW w:w="764" w:type="dxa"/>
            <w:vMerge w:val="restart"/>
            <w:shd w:val="clear" w:color="auto" w:fill="auto"/>
            <w:vAlign w:val="center"/>
          </w:tcPr>
          <w:p>
            <w:pPr>
              <w:widowControl/>
              <w:spacing w:line="240" w:lineRule="exact"/>
              <w:jc w:val="center"/>
              <w:rPr>
                <w:rFonts w:cs="宋体"/>
                <w:kern w:val="0"/>
                <w:sz w:val="18"/>
                <w:szCs w:val="18"/>
              </w:rPr>
            </w:pPr>
          </w:p>
        </w:tc>
        <w:tc>
          <w:tcPr>
            <w:tcW w:w="545"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983" w:type="dxa"/>
            <w:vMerge w:val="restart"/>
            <w:shd w:val="clear" w:color="auto" w:fill="auto"/>
            <w:vAlign w:val="center"/>
          </w:tcPr>
          <w:p>
            <w:pPr>
              <w:widowControl/>
              <w:spacing w:line="240" w:lineRule="exact"/>
              <w:jc w:val="center"/>
              <w:rPr>
                <w:rFonts w:cs="宋体"/>
                <w:kern w:val="0"/>
                <w:sz w:val="18"/>
                <w:szCs w:val="18"/>
              </w:rPr>
            </w:pPr>
          </w:p>
        </w:tc>
        <w:tc>
          <w:tcPr>
            <w:tcW w:w="1232"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搬运宝、杜邦、得力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尺寸100cm*60cm（±5cm）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承重＞400KG</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车把离地：85cm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车板高度：18cm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整车自重：12KG</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脚轮标配：5寸橡胶脚轮</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脚轮安装：2个万向2个定向</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车把结构：可折叠车把，将手推车放平，用脚踩下铁杆，向下推扶手，完成折叠。</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vMerge w:val="restart"/>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配备防滑波纹车板，全新尼龙塑料注塑而成，韧性好，抗压能力强。表面带有防滑波纹。车把表面喷塑处理，抗氧化。加高扶手受力顶针设计，扶手加入焊接受力顶针，防止钢管挤扁。</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vMerge w:val="continue"/>
            <w:vAlign w:val="center"/>
          </w:tcPr>
          <w:p>
            <w:pPr>
              <w:widowControl/>
              <w:spacing w:line="240" w:lineRule="exact"/>
              <w:jc w:val="left"/>
              <w:rPr>
                <w:rFonts w:cs="宋体"/>
                <w:kern w:val="0"/>
                <w:sz w:val="18"/>
                <w:szCs w:val="18"/>
              </w:rPr>
            </w:pP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5</w:t>
            </w:r>
          </w:p>
        </w:tc>
        <w:tc>
          <w:tcPr>
            <w:tcW w:w="1231"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音响套装</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专业音响套装：功放+调音台+音箱2只+四个无线话筒+接收机+四个旋转升降式麦克风支架+ 50米电源线</w:t>
            </w:r>
          </w:p>
        </w:tc>
        <w:tc>
          <w:tcPr>
            <w:tcW w:w="497"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764" w:type="dxa"/>
            <w:vMerge w:val="restart"/>
            <w:shd w:val="clear" w:color="auto" w:fill="auto"/>
            <w:vAlign w:val="center"/>
          </w:tcPr>
          <w:p>
            <w:pPr>
              <w:widowControl/>
              <w:spacing w:line="240" w:lineRule="exact"/>
              <w:jc w:val="center"/>
              <w:rPr>
                <w:rFonts w:cs="宋体"/>
                <w:kern w:val="0"/>
                <w:sz w:val="18"/>
                <w:szCs w:val="18"/>
              </w:rPr>
            </w:pPr>
          </w:p>
        </w:tc>
        <w:tc>
          <w:tcPr>
            <w:tcW w:w="545"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w:t>
            </w:r>
          </w:p>
        </w:tc>
        <w:tc>
          <w:tcPr>
            <w:tcW w:w="983" w:type="dxa"/>
            <w:vMerge w:val="restart"/>
            <w:shd w:val="clear" w:color="auto" w:fill="auto"/>
            <w:vAlign w:val="center"/>
          </w:tcPr>
          <w:p>
            <w:pPr>
              <w:widowControl/>
              <w:spacing w:line="240" w:lineRule="exact"/>
              <w:jc w:val="center"/>
              <w:rPr>
                <w:rFonts w:cs="宋体"/>
                <w:kern w:val="0"/>
                <w:sz w:val="18"/>
                <w:szCs w:val="18"/>
              </w:rPr>
            </w:pPr>
          </w:p>
        </w:tc>
        <w:tc>
          <w:tcPr>
            <w:tcW w:w="1232"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威斯汀、雅马哈、飞利浦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1.功放：大环牛变压器；立体声桥接模式转换；8Ω输出功率：1000W+1000W；4Ω输出功率：1500W+1500W；输入灵敏度与阻抗：1V RMS；机身尺寸：482*432*100（mm）；材质：铝合金材质；频率响应：10Hz-40KHz；信噪比：＞103dB；总谐波失真：＜0.01%；冷却系统：双风扇两段速度及散热器；电源输入：210-230V±10%50-60Hz;</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专业舞台演出多功能调音台：多路音频输入，高中低音调节48V幻象电源；高中低音独立调整；主声道七段均衡器，调音台带监听耳机插孔，接入耳机可实时监听个声道的声音，以及录音回放；尺寸：380*290*82（mm）频率响应：20Hz-20KHz（=1，-3db）；总谐波失真：＜%1（额定条件：20Hz-20KHz）；等效输入噪音：≤-110dBm；低频：80Hz/±15dB；中频：0.25-6.0kh/±15dB；高频：≥20dB；线路输入时的大增益：12KHz/±15dB；传声器输入时的大增益：＞50dB；话筒输入：≥1.0Ω；磁带输入：47kΩ；线路输出：≥10kΩ；效果激励器输入：20kΩ；左总输出：≤300Ω；右总输出：≤300Ω；监听总输出：≤300Ω；卡式输出：≤10kΩ；效果激励器输出：≤10kΩ；转换器：24-BIT SIGMA-DELTA；效果种类：32种效果；采样速：48KHz；整机功率：≤40W；电源：AC220V 50HZ；</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音箱：材质：高密度纤维板多层箱体板材，防潮浮点烤漆；钛合金加厚网罩；内部吸音棉；防震脚垫；频率响应：50Hz-20000Hz；灵敏度：97dB；阻抗：4Ω；喇叭单元：双15英寸全频喇叭+10英寸号角高音；额定功率：600-800W；峰值功率：1400W；黑色</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4. UHF调频专业无线话筒：U段可调无线手持话筒，DPLL，数字锁相环多信道频率合成技术，UHF红外线对频（640-690MHz）；接收机震荡方式：锁相环；射频功率：10mV-30mV；音频频响：40-18000Hz；失真度：≤0.3%（1KHz）；电池规格：1.5V AA 碱性电池：自动，手持选择频率；指向性：心型；频道总数：200个频点；灵敏度：-105dB；音频输出电平：XLR接口（连接600Ω负载）-13dBu；增益调整范围：5dB-10dB；射频稳定度：±0.005%（-5-50°C）；发射频率：640-690MHz（0-199Ch）；调制方式：FM；发射功率：3-10mW；频率稳定度：±0.005%以内；频偏：＞±45kHz；频率响应：40Hz-15KHz；动态范围：100dB。</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5.接收机：类型：外差二次变频；频率范围：UHF红外线对频（640-690MHz）；频道数：200；灵敏度：-105dBm（1KHz，22dBV，40dB SINAD）失真度：0.5%max（1khHz，-22DBV）；非平衡输出：20mv-1V；天线接口：BNC（50Ω）；输出电压：AC100V-240V 50/60HZ；输出电压：DC 12V 1200mA</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6.配套落地旋转式升降麦克风支架，钢制架身，横向长度70cm可自由调节；纵向高矮调节可调80-150cm。可折叠收纳，底座三脚设计，稳固不易倒；金属支撑杆，稳固不摇晃；主杆可自由伸缩，可180度旋转。</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7.接线盘：四位50米工程接线盘；增加防触电保护门；内部采用0.7mm优质磷青铜，插拔手感和导电性佳；配一体式支架（三脚架底座，稳定性好，安放稳妥）；面板采用新国标4位10A五孔；全长：50m；产品尺寸：400*305*153mm；功能：过热保护：执行标准：GB/19637-2017：接接线规格：3*1.5mm</w:t>
            </w:r>
            <w:r>
              <w:rPr>
                <w:rFonts w:hint="eastAsia" w:cs="宋体"/>
                <w:kern w:val="0"/>
                <w:sz w:val="18"/>
                <w:szCs w:val="18"/>
                <w:vertAlign w:val="superscript"/>
              </w:rPr>
              <w:t xml:space="preserve">2 </w:t>
            </w:r>
            <w:r>
              <w:rPr>
                <w:rFonts w:hint="eastAsia" w:cs="宋体"/>
                <w:kern w:val="0"/>
                <w:sz w:val="18"/>
                <w:szCs w:val="18"/>
              </w:rPr>
              <w:t>；完全盘卷最大负载：1000W；完全退卷最大负载2500W；</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6</w:t>
            </w:r>
          </w:p>
        </w:tc>
        <w:tc>
          <w:tcPr>
            <w:tcW w:w="1231"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作品展陈柜套组</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 作品展示柜（大号）</w:t>
            </w:r>
          </w:p>
        </w:tc>
        <w:tc>
          <w:tcPr>
            <w:tcW w:w="497"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764" w:type="dxa"/>
            <w:vMerge w:val="restart"/>
            <w:shd w:val="clear" w:color="auto" w:fill="auto"/>
            <w:vAlign w:val="center"/>
          </w:tcPr>
          <w:p>
            <w:pPr>
              <w:widowControl/>
              <w:spacing w:line="240" w:lineRule="exact"/>
              <w:jc w:val="center"/>
              <w:rPr>
                <w:rFonts w:cs="宋体"/>
                <w:kern w:val="0"/>
                <w:sz w:val="18"/>
                <w:szCs w:val="18"/>
              </w:rPr>
            </w:pPr>
          </w:p>
        </w:tc>
        <w:tc>
          <w:tcPr>
            <w:tcW w:w="545"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5</w:t>
            </w:r>
          </w:p>
        </w:tc>
        <w:tc>
          <w:tcPr>
            <w:tcW w:w="983" w:type="dxa"/>
            <w:vMerge w:val="restart"/>
            <w:shd w:val="clear" w:color="auto" w:fill="auto"/>
            <w:vAlign w:val="center"/>
          </w:tcPr>
          <w:p>
            <w:pPr>
              <w:widowControl/>
              <w:spacing w:line="240" w:lineRule="exact"/>
              <w:jc w:val="center"/>
              <w:rPr>
                <w:rFonts w:cs="宋体"/>
                <w:kern w:val="0"/>
                <w:sz w:val="18"/>
                <w:szCs w:val="18"/>
              </w:rPr>
            </w:pPr>
          </w:p>
        </w:tc>
        <w:tc>
          <w:tcPr>
            <w:tcW w:w="1232"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斧墨、OIMG、拙治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整体尺寸：300cm*50cm*95cm（±5cm）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300cm*50cm*70cm；玻璃罩使用钢化玻璃，安全不易碎，玻璃罩尺寸：300cm*50cm*25cm。使用液压开启，更好的防尘和美观。锁要安全、防盗、不易生锈、开关便捷。并配备长续航可充电LED灯条。电池容量≥2200mAh，贴合在玻璃罩棱角处，能够照展台上的作品。</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2.作品展示柜（中号）</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整体尺寸：200cm*50cm*95cm（±5cm）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200cm*50cm*70cm，玻璃使用钢化玻璃，安全不易碎，玻璃罩尺寸：200cm*50cm*25cm。使用液压开启，更好的防尘和美观。锁要安全、防盗、不易生锈、开关便捷。并配备长续航可充电LED灯条。电池容量≥2200mAh，贴合在玻璃罩棱角处，能够照展台上的作品。</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3.作品展示柜（小号）</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整体尺寸：150cm*50cm*95cm（±5cm）</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150cm*50cm*70cm，玻璃使用钢化玻璃，安全不易碎，玻璃罩尺寸：150cm*50cm*25cm。使用液压开启，更好的防尘和美观。锁要安全、防盗、不易生锈、开关便捷。并配备长续航可充电LED灯条。电池容量≥2200mAh，贴合在玻璃罩棱角处，能够照展台上的作品。</w:t>
            </w:r>
          </w:p>
        </w:tc>
        <w:tc>
          <w:tcPr>
            <w:tcW w:w="497" w:type="dxa"/>
            <w:vMerge w:val="continue"/>
            <w:vAlign w:val="center"/>
          </w:tcPr>
          <w:p>
            <w:pPr>
              <w:widowControl/>
              <w:spacing w:line="240" w:lineRule="exact"/>
              <w:jc w:val="left"/>
              <w:rPr>
                <w:rFonts w:cs="宋体"/>
                <w:kern w:val="0"/>
                <w:sz w:val="18"/>
                <w:szCs w:val="18"/>
              </w:rPr>
            </w:pPr>
          </w:p>
        </w:tc>
        <w:tc>
          <w:tcPr>
            <w:tcW w:w="764" w:type="dxa"/>
            <w:vMerge w:val="continue"/>
            <w:vAlign w:val="center"/>
          </w:tcPr>
          <w:p>
            <w:pPr>
              <w:widowControl/>
              <w:spacing w:line="240" w:lineRule="exact"/>
              <w:jc w:val="left"/>
              <w:rPr>
                <w:rFonts w:cs="宋体"/>
                <w:kern w:val="0"/>
                <w:sz w:val="18"/>
                <w:szCs w:val="18"/>
              </w:rPr>
            </w:pPr>
          </w:p>
        </w:tc>
        <w:tc>
          <w:tcPr>
            <w:tcW w:w="545" w:type="dxa"/>
            <w:vMerge w:val="continue"/>
            <w:vAlign w:val="center"/>
          </w:tcPr>
          <w:p>
            <w:pPr>
              <w:widowControl/>
              <w:spacing w:line="240" w:lineRule="exact"/>
              <w:jc w:val="left"/>
              <w:rPr>
                <w:rFonts w:cs="宋体"/>
                <w:kern w:val="0"/>
                <w:sz w:val="18"/>
                <w:szCs w:val="18"/>
              </w:rPr>
            </w:pPr>
          </w:p>
        </w:tc>
        <w:tc>
          <w:tcPr>
            <w:tcW w:w="983" w:type="dxa"/>
            <w:vMerge w:val="continue"/>
            <w:vAlign w:val="center"/>
          </w:tcPr>
          <w:p>
            <w:pPr>
              <w:widowControl/>
              <w:spacing w:line="240" w:lineRule="exact"/>
              <w:jc w:val="left"/>
              <w:rPr>
                <w:rFonts w:cs="宋体"/>
                <w:kern w:val="0"/>
                <w:sz w:val="18"/>
                <w:szCs w:val="18"/>
              </w:rPr>
            </w:pPr>
          </w:p>
        </w:tc>
        <w:tc>
          <w:tcPr>
            <w:tcW w:w="1232"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7</w:t>
            </w:r>
          </w:p>
        </w:tc>
        <w:tc>
          <w:tcPr>
            <w:tcW w:w="1231"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立式作品展陈柜</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 作品展示柜（大号）</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斧墨、OIMG、拙治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整体尺寸：60cm*60cm*180cm（±5cm）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90cm。灯箱帽尺寸：60cm*60cm*10cm；玻璃罩侧面打开玻璃门，方便拿取物品，锁扣位于玻璃门下方，锁要安全、防盗、不易生锈、开关便捷。灯箱配备长续航可充电LED照灯。电池容量≥2200mAh。</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 作品展示柜（中号）</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整体尺寸：60cm*60cm*180cm（±5cm）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90cm。灯箱帽尺寸：60cm*60cm*10cm；玻璃罩侧面打开玻璃门，方便拿取物品，锁扣位于玻璃门下方，锁要安全、防盗、不易生锈、开关便捷。灯箱配备长续航可充电LED照灯。电池容量≥2200mAh。</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 作品展示柜（中号）</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整体尺寸：60cm*60cm*160cm（±5cm）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70cm。灯箱帽尺寸：60cm*60cm*10cm；玻璃罩侧面打开玻璃门，方便拿取物品，锁扣位于玻璃门下方，锁要安全、防盗、不易生锈、开关便捷。灯箱配备长续航可充电LED照灯。电池容量≥2200mAh。</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 作品展示柜（小号）</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整体尺寸：60cm*60cm*120cm（±5cm）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5cm）；玻璃罩使用钢化玻璃，安全不易碎，玻璃罩尺寸：60cm*60cm*70cm（±5cm）；使用液压开启，更好的防尘和美观。锁要安全、防盗、不易生锈、开关便捷。并配备长续航可充电LED灯条。电池容量≥2200mAh，贴合在玻璃罩棱角处，能够照展台上的作品。</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8</w:t>
            </w:r>
          </w:p>
        </w:tc>
        <w:tc>
          <w:tcPr>
            <w:tcW w:w="1231"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踏步梯</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铝合金踏步梯（大）：五阶梯，高150cm、宽60cm、跨度120.3cm、平台尺寸60cm*40.3cm、踏板尺寸60cm*20cm、踏板间距30cm（相关尺寸±5cm）；顶部配有三面护栏；两个定向轮，橡胶材质；踏板为凹槽设计，增大防滑摩擦力；承重＞150KG</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金扎特、奥尤莱、慕栢森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2.铝合金踏步梯（中）：三阶梯，高90cm、宽60cm、跨度80.3cm、平台尺寸60cm*40.3cm、踏板尺寸60cm*20cm、踏板间距30cm（上述相关尺寸±5cm）；底部配有橡胶材质防滑垫；踏板为凹槽设计，增大防滑摩擦力；承重＞150KG</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3.铝合金踏步梯（小）：二阶梯，高60cm、宽60cm、跨度60.3cm、平台尺寸60cm*40.3cm、踏板尺寸60cm*20cm、踏板间距30cm（相关尺寸±5cm）；底部配有橡胶材质防滑垫；踏板为凹槽设计，增大防滑摩擦力；承重＞150KG</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人字梯</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铝合金冲压人字梯（大）：九步梯，展开垂直高度253cm，前腿间距65cm，前后腿间距150cm，阶梯间距25cm（相关尺寸±5cm）；梯子顶端设有大关节卡扣，梯子使用加厚铝材，防腐蚀、老化，使用防滑踏板，加宽加厚，使用碳钢固定铆钉；梯子底部，设有三脚防晃支撑，梯脚为防滑脚底。</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杜邦、巴芬、镁多力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铝合金冲压人字梯（大）：九步梯，展开垂直高度176cm，前腿间距65cm，前后腿间距120cm，阶梯间距25cm（相关尺寸±5cm）；梯子顶端设有大关节卡扣，梯子使用加厚铝材，防腐蚀、老化，使用防滑踏板，加宽加厚，使用碳钢固定铆钉；梯子底部，设有三脚防晃支撑，梯脚为防滑脚底。</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vMerge w:val="restart"/>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3.铝合金冲压人字梯（大）：五步梯，展开垂直高度142cm，前腿间距65cm，前后腿间距100cm，阶梯间距25cm（相关尺寸±5cm）；梯子顶端设有大关节卡扣，梯子使用加厚铝材，防腐蚀、老化，使用防滑踏板，加宽加厚，使用碳钢固定铆钉；梯子底部，设有三脚防晃支撑，梯脚为防滑脚底。</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vMerge w:val="continue"/>
            <w:vAlign w:val="center"/>
          </w:tcPr>
          <w:p>
            <w:pPr>
              <w:widowControl/>
              <w:spacing w:line="240" w:lineRule="exact"/>
              <w:jc w:val="left"/>
              <w:rPr>
                <w:rFonts w:cs="宋体"/>
                <w:kern w:val="0"/>
                <w:sz w:val="18"/>
                <w:szCs w:val="18"/>
              </w:rPr>
            </w:pP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展厅挂钩</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3米S形挂钩套组</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个</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500</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配备：1条钢丝绳+1个调节器+1个固定钩</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材质：铁+锌合金+不锈钢</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承重：＞40KG</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1.5mm钢丝绳，光滑无毛刺，不伤身和画具</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调节器：按下弹簧开关可上下调节</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11</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主持台</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简约现代会议发言台</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尊阁、乐威轩、爵彩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材质：木质台面、铁烤漆台身</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桌面形状：一字型</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尺寸：高113cm；台面长58cm、宽46cm（相关尺寸±5cm）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中心支柱采用曲线设计，弧形底座，更加稳固</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12</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塑料椅</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现代简约塑料加厚靠背椅</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把</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40</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材质：PP+L.G.F</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颜色：暖白色</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座面大小44*41cm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椅身总高：72cm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椅腿高度42cm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左右前腿距离：47cm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前后腿距离：49cm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原料采用PP工程聚丙，在保证产品稳定性的同时也要保证产品对人体无害，满足儿童出口级标准，采用BA.YERS色母粒，色泽鲜艳、填充力强，具有良好的抗紫外线特点，椅子边缘圆弧设计，符合人体工学设计，全体采用一体成型设计，边缘经过多次打磨，致使整体光滑无毛边；腿部整体加粗设计；底部采用PVC硅胶耐磨底脚。</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13</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立式存放架</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立式垂直存放板材储存系统（大）</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颐爵、威耐斯、美亦家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整体尺寸:长5米*宽1.5米*高1.5米（±5cm）；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隔间＞20格</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材质：钢；</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承重：5000KG</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多层抽屉式框架，独立存放，每个抽拉格间距为20cm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每个隔间托底配备橡胶滑轮，方便抽插。</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顶部为开放式，便于大尺寸作品存放</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立式垂直存放板材储存系统（大）</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整体尺寸:长3米*宽1.5米*高1.5米；（小）</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隔间＞12格</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材质：钢；</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承重：3000KG</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多层抽屉式框架，独立存放，每个抽拉格间距为20cm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每个隔间托底配备橡胶滑轮，方便抽插。</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顶部为开放式，便于大尺寸作品存放</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14</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置物架</w:t>
            </w: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白色置物架（主架）</w:t>
            </w:r>
          </w:p>
        </w:tc>
        <w:tc>
          <w:tcPr>
            <w:tcW w:w="497"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组</w:t>
            </w:r>
          </w:p>
        </w:tc>
        <w:tc>
          <w:tcPr>
            <w:tcW w:w="76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545"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w:t>
            </w:r>
          </w:p>
        </w:tc>
        <w:tc>
          <w:tcPr>
            <w:tcW w:w="98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32"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苏美特、凯琦、储博士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尺寸：200cm*50cm*200cm（±5cm）</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材质：加厚SPCCL冷轧钢板</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单层载重：≥280KG</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07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共四层，使用蝴蝶卡扣，斜撑使用三角设计，层板下带有加强筋，无磷静电环保喷塑</w:t>
            </w: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76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8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bl>
    <w:p>
      <w:pPr>
        <w:widowControl/>
        <w:spacing w:line="240" w:lineRule="exact"/>
        <w:rPr>
          <w:rFonts w:ascii="黑体" w:hAnsi="黑体" w:eastAsia="黑体" w:cs="宋体"/>
          <w:color w:val="000000" w:themeColor="text1"/>
          <w:kern w:val="0"/>
          <w:sz w:val="18"/>
          <w:szCs w:val="18"/>
          <w14:textFill>
            <w14:solidFill>
              <w14:schemeClr w14:val="tx1"/>
            </w14:solidFill>
          </w14:textFill>
        </w:rPr>
      </w:pPr>
    </w:p>
    <w:p>
      <w:pPr>
        <w:rPr>
          <w:sz w:val="24"/>
          <w:szCs w:val="24"/>
        </w:rPr>
      </w:pPr>
    </w:p>
    <w:p>
      <w:pPr>
        <w:pStyle w:val="61"/>
        <w:snapToGrid w:val="0"/>
        <w:spacing w:line="360" w:lineRule="auto"/>
        <w:ind w:firstLine="482"/>
        <w:jc w:val="left"/>
        <w:rPr>
          <w:rFonts w:ascii="宋体" w:hAnsi="宋体" w:cs="宋体"/>
          <w:b/>
          <w:bCs/>
          <w:position w:val="6"/>
          <w:sz w:val="24"/>
        </w:rPr>
      </w:pPr>
      <w:bookmarkStart w:id="130" w:name="_Toc66101815"/>
      <w:r>
        <w:rPr>
          <w:rFonts w:hint="eastAsia" w:ascii="宋体" w:hAnsi="宋体" w:cs="宋体"/>
          <w:b/>
          <w:bCs/>
          <w:position w:val="6"/>
          <w:sz w:val="24"/>
          <w:lang w:bidi="ar"/>
        </w:rPr>
        <w:t>二、项目实施与组织要求</w:t>
      </w:r>
      <w:bookmarkEnd w:id="130"/>
    </w:p>
    <w:p>
      <w:pPr>
        <w:pStyle w:val="56"/>
        <w:spacing w:before="0" w:beforeLines="0" w:after="0" w:afterLines="0" w:line="360" w:lineRule="auto"/>
        <w:ind w:firstLine="480"/>
        <w:jc w:val="left"/>
        <w:rPr>
          <w:rFonts w:ascii="宋体" w:hAnsi="宋体" w:eastAsia="宋体"/>
          <w:position w:val="6"/>
        </w:rPr>
      </w:pPr>
      <w:r>
        <w:rPr>
          <w:rFonts w:hint="eastAsia" w:ascii="宋体" w:hAnsi="宋体" w:eastAsia="宋体"/>
          <w:position w:val="6"/>
        </w:rPr>
        <w:t>1. 供应商需提供完善的一站式实施服务管理体系，从货物运输、安装、售后等提供全方位的一站式服务。</w:t>
      </w:r>
    </w:p>
    <w:p>
      <w:pPr>
        <w:pStyle w:val="56"/>
        <w:spacing w:before="0" w:beforeLines="0" w:after="0" w:afterLines="0" w:line="360" w:lineRule="auto"/>
        <w:ind w:firstLine="480"/>
        <w:jc w:val="left"/>
        <w:rPr>
          <w:rFonts w:ascii="宋体" w:hAnsi="宋体" w:eastAsia="宋体"/>
          <w:position w:val="6"/>
        </w:rPr>
      </w:pPr>
      <w:r>
        <w:rPr>
          <w:rFonts w:hint="eastAsia" w:ascii="宋体" w:hAnsi="宋体" w:eastAsia="宋体"/>
          <w:position w:val="6"/>
        </w:rPr>
        <w:t>2. 中标人对本项目不得分包、转包，否则，一经发现即被视为违约，将被中止合同，并赔偿损失。在中标公示期内，成交供应商需再次向校方进行产品信息确认，不能满足校方要求的以虚假应标处理，扣除该供应商投标保证金。</w:t>
      </w:r>
    </w:p>
    <w:p>
      <w:pPr>
        <w:pStyle w:val="56"/>
        <w:spacing w:before="0" w:beforeLines="0" w:after="0" w:afterLines="0" w:line="360" w:lineRule="auto"/>
        <w:ind w:firstLine="480"/>
        <w:jc w:val="left"/>
        <w:rPr>
          <w:rFonts w:ascii="宋体" w:hAnsi="宋体" w:eastAsia="宋体"/>
          <w:position w:val="6"/>
        </w:rPr>
      </w:pPr>
      <w:r>
        <w:rPr>
          <w:rFonts w:hint="eastAsia" w:ascii="宋体" w:hAnsi="宋体" w:eastAsia="宋体"/>
          <w:position w:val="6"/>
        </w:rPr>
        <w:t>3. 交货期：合同签订之日起30个工作日内完成设备安装并交付。</w:t>
      </w:r>
    </w:p>
    <w:p>
      <w:pPr>
        <w:pStyle w:val="56"/>
        <w:spacing w:before="0" w:beforeLines="0" w:after="0" w:afterLines="0" w:line="360" w:lineRule="auto"/>
        <w:ind w:firstLine="480"/>
        <w:jc w:val="left"/>
        <w:rPr>
          <w:rFonts w:ascii="宋体" w:hAnsi="宋体" w:eastAsia="宋体"/>
          <w:position w:val="6"/>
        </w:rPr>
      </w:pPr>
      <w:r>
        <w:rPr>
          <w:rFonts w:hint="eastAsia" w:ascii="宋体" w:hAnsi="宋体" w:eastAsia="宋体"/>
          <w:position w:val="6"/>
        </w:rPr>
        <w:t>4. 交货方式：现场安装调试。</w:t>
      </w:r>
    </w:p>
    <w:p>
      <w:pPr>
        <w:pStyle w:val="61"/>
        <w:snapToGrid w:val="0"/>
        <w:spacing w:line="360" w:lineRule="auto"/>
        <w:ind w:firstLine="482"/>
        <w:jc w:val="left"/>
        <w:rPr>
          <w:rFonts w:ascii="宋体" w:hAnsi="宋体" w:cs="宋体"/>
          <w:b/>
          <w:bCs/>
          <w:position w:val="6"/>
          <w:sz w:val="24"/>
          <w:lang w:bidi="ar"/>
        </w:rPr>
      </w:pPr>
      <w:r>
        <w:rPr>
          <w:rFonts w:hint="eastAsia" w:ascii="宋体" w:hAnsi="宋体" w:cs="宋体"/>
          <w:b/>
          <w:bCs/>
          <w:position w:val="6"/>
          <w:sz w:val="24"/>
          <w:lang w:bidi="ar"/>
        </w:rPr>
        <w:t>三、售后服务要求</w:t>
      </w:r>
    </w:p>
    <w:p>
      <w:pPr>
        <w:pStyle w:val="22"/>
        <w:shd w:val="clear" w:color="auto" w:fill="FFFFFF"/>
        <w:spacing w:before="0" w:beforeAutospacing="0" w:after="0" w:afterAutospacing="0" w:line="360" w:lineRule="auto"/>
        <w:ind w:firstLine="480" w:firstLineChars="200"/>
        <w:rPr>
          <w:kern w:val="2"/>
          <w:position w:val="6"/>
        </w:rPr>
      </w:pPr>
      <w:r>
        <w:rPr>
          <w:rFonts w:hint="eastAsia"/>
          <w:kern w:val="2"/>
          <w:position w:val="6"/>
        </w:rPr>
        <w:t>产品均提供三证（产品合格证、使用说明书、产品保修卡）质保期至少一年，终身维修。产品质量达到企业标准，并做出以下产品服务承诺：</w:t>
      </w:r>
    </w:p>
    <w:p>
      <w:pPr>
        <w:pStyle w:val="22"/>
        <w:shd w:val="clear" w:color="auto" w:fill="FFFFFF"/>
        <w:spacing w:before="0" w:beforeAutospacing="0" w:after="0" w:afterAutospacing="0" w:line="360" w:lineRule="auto"/>
        <w:ind w:firstLine="480" w:firstLineChars="200"/>
        <w:rPr>
          <w:kern w:val="2"/>
          <w:position w:val="6"/>
        </w:rPr>
      </w:pPr>
      <w:r>
        <w:rPr>
          <w:rFonts w:hint="eastAsia"/>
          <w:kern w:val="2"/>
          <w:position w:val="6"/>
        </w:rPr>
        <w:t>（1）保修、包换受理范围：仅适用于严格按照产品说明书、安装指南要求操作而发生的产品质量问题；</w:t>
      </w:r>
    </w:p>
    <w:p>
      <w:pPr>
        <w:pStyle w:val="22"/>
        <w:shd w:val="clear" w:color="auto" w:fill="FFFFFF"/>
        <w:spacing w:before="0" w:beforeAutospacing="0" w:after="0" w:afterAutospacing="0" w:line="360" w:lineRule="auto"/>
        <w:ind w:firstLine="480" w:firstLineChars="200"/>
        <w:rPr>
          <w:kern w:val="2"/>
          <w:position w:val="6"/>
        </w:rPr>
      </w:pPr>
      <w:r>
        <w:rPr>
          <w:rFonts w:hint="eastAsia"/>
          <w:kern w:val="2"/>
          <w:position w:val="6"/>
        </w:rPr>
        <w:t>（2）保修：在申明的产品保修期内，对因设计、工艺、材料不良而影响产品使用功能，本公司承担修复产品所产生的各项配件和服务费用。  （3）包换：在注明产品包换期内，对因无法通过保修服务修复相关功能的产品，经双方共同确认，免费为客户提供产品更换等在内的各项费用和服务；</w:t>
      </w:r>
    </w:p>
    <w:p>
      <w:pPr>
        <w:pStyle w:val="22"/>
        <w:shd w:val="clear" w:color="auto" w:fill="FFFFFF"/>
        <w:spacing w:before="0" w:beforeAutospacing="0" w:after="0" w:afterAutospacing="0" w:line="360" w:lineRule="auto"/>
        <w:ind w:firstLine="480" w:firstLineChars="200"/>
        <w:rPr>
          <w:kern w:val="2"/>
          <w:position w:val="6"/>
        </w:rPr>
      </w:pPr>
      <w:r>
        <w:rPr>
          <w:rFonts w:hint="eastAsia"/>
          <w:kern w:val="2"/>
          <w:position w:val="6"/>
        </w:rPr>
        <w:t>（4）终身维修：对售出产品建立售后服务档案，在保修服务期内提供免费的保修服务，超过保修期的产品提供有偿维护与维修服务；</w:t>
      </w:r>
    </w:p>
    <w:p>
      <w:pPr>
        <w:pStyle w:val="22"/>
        <w:shd w:val="clear" w:color="auto" w:fill="FFFFFF"/>
        <w:spacing w:before="0" w:beforeAutospacing="0" w:after="0" w:afterAutospacing="0" w:line="360" w:lineRule="auto"/>
        <w:ind w:firstLine="480" w:firstLineChars="200"/>
        <w:rPr>
          <w:kern w:val="2"/>
          <w:position w:val="6"/>
        </w:rPr>
      </w:pPr>
      <w:r>
        <w:rPr>
          <w:rFonts w:hint="eastAsia"/>
          <w:kern w:val="2"/>
          <w:position w:val="6"/>
        </w:rPr>
        <w:t>（5）保修期起算日期：货物保修期自交货验收合格之日起计。</w:t>
      </w:r>
    </w:p>
    <w:p>
      <w:pPr>
        <w:pStyle w:val="22"/>
        <w:shd w:val="clear" w:color="auto" w:fill="FFFFFF"/>
        <w:spacing w:before="0" w:beforeAutospacing="0" w:after="0" w:afterAutospacing="0" w:line="360" w:lineRule="auto"/>
        <w:ind w:firstLine="480" w:firstLineChars="200"/>
        <w:rPr>
          <w:kern w:val="2"/>
          <w:position w:val="6"/>
        </w:rPr>
      </w:pPr>
      <w:r>
        <w:rPr>
          <w:rFonts w:hint="eastAsia"/>
          <w:kern w:val="2"/>
          <w:position w:val="6"/>
        </w:rPr>
        <w:t>（6）服务响应时间：接到维修电话后 4 小时内给予明确答复，8 小时内到达现场维修。维修人员到现场后若问题特殊无法现场修复的，供货方需在 24 小时内给出合理解决方案。</w:t>
      </w:r>
    </w:p>
    <w:p>
      <w:pPr>
        <w:pStyle w:val="22"/>
        <w:shd w:val="clear" w:color="auto" w:fill="FFFFFF"/>
        <w:spacing w:before="0" w:beforeAutospacing="0" w:after="0" w:afterAutospacing="0" w:line="360" w:lineRule="auto"/>
        <w:ind w:firstLine="480" w:firstLineChars="200"/>
        <w:rPr>
          <w:kern w:val="2"/>
          <w:position w:val="6"/>
        </w:rPr>
      </w:pPr>
      <w:r>
        <w:rPr>
          <w:rFonts w:hint="eastAsia"/>
          <w:kern w:val="2"/>
          <w:position w:val="6"/>
        </w:rPr>
        <w:t>（7）培训要求：需组织具有设备厂家认证的技术人员及工程师，负责对所售设备进行安装、调试。为用户至少培训 2 名熟练操作的工作人员。完成调试后，向用户提供操作手册等技术资料。验收的技术标准达到制造（生产）厂商标明的技术指标，检测的标准依据国家相关规定执行。</w:t>
      </w: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2"/>
      </w:pPr>
    </w:p>
    <w:p/>
    <w:p>
      <w:pPr>
        <w:jc w:val="center"/>
        <w:outlineLvl w:val="0"/>
        <w:rPr>
          <w:rFonts w:eastAsia="黑体"/>
          <w:color w:val="000000" w:themeColor="text1"/>
          <w:sz w:val="40"/>
          <w:szCs w:val="40"/>
          <w14:textFill>
            <w14:solidFill>
              <w14:schemeClr w14:val="tx1"/>
            </w14:solidFill>
          </w14:textFill>
        </w:rPr>
      </w:pPr>
      <w:bookmarkStart w:id="131" w:name="_Toc92297387"/>
      <w:bookmarkStart w:id="132" w:name="_Toc108021876"/>
      <w:r>
        <w:rPr>
          <w:rFonts w:eastAsia="黑体"/>
          <w:sz w:val="40"/>
          <w:szCs w:val="40"/>
        </w:rPr>
        <w:t>第五章 定标原则</w:t>
      </w:r>
      <w:r>
        <w:rPr>
          <w:rFonts w:eastAsia="黑体"/>
          <w:color w:val="000000" w:themeColor="text1"/>
          <w:sz w:val="40"/>
          <w:szCs w:val="40"/>
          <w14:textFill>
            <w14:solidFill>
              <w14:schemeClr w14:val="tx1"/>
            </w14:solidFill>
          </w14:textFill>
        </w:rPr>
        <w:t>与评标标准</w:t>
      </w:r>
      <w:bookmarkEnd w:id="131"/>
      <w:bookmarkEnd w:id="132"/>
    </w:p>
    <w:p>
      <w:pPr>
        <w:spacing w:line="440" w:lineRule="exact"/>
        <w:ind w:firstLine="482" w:firstLineChars="200"/>
        <w:rPr>
          <w:rFonts w:eastAsiaTheme="minorEastAsia"/>
          <w:b/>
          <w:color w:val="000000" w:themeColor="text1"/>
          <w:sz w:val="24"/>
          <w:szCs w:val="24"/>
          <w14:textFill>
            <w14:solidFill>
              <w14:schemeClr w14:val="tx1"/>
            </w14:solidFill>
          </w14:textFill>
        </w:rPr>
      </w:pPr>
    </w:p>
    <w:p>
      <w:pPr>
        <w:spacing w:line="440" w:lineRule="exact"/>
        <w:ind w:firstLine="482" w:firstLineChars="200"/>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一、定标原则</w:t>
      </w:r>
    </w:p>
    <w:p>
      <w:pPr>
        <w:spacing w:line="360" w:lineRule="auto"/>
        <w:ind w:firstLine="480"/>
        <w:rPr>
          <w:rFonts w:cs="宋体"/>
          <w:bCs/>
          <w:kern w:val="0"/>
          <w:sz w:val="24"/>
          <w:szCs w:val="24"/>
        </w:rPr>
      </w:pPr>
      <w:r>
        <w:rPr>
          <w:color w:val="000000" w:themeColor="text1"/>
          <w:sz w:val="24"/>
          <w:szCs w:val="24"/>
          <w14:textFill>
            <w14:solidFill>
              <w14:schemeClr w14:val="tx1"/>
            </w14:solidFill>
          </w14:textFill>
        </w:rPr>
        <w:t xml:space="preserve">本项目采用 </w:t>
      </w:r>
      <w:r>
        <w:rPr>
          <w:color w:val="000000" w:themeColor="text1"/>
          <w:sz w:val="24"/>
          <w:szCs w:val="24"/>
          <w:u w:val="single"/>
          <w14:textFill>
            <w14:solidFill>
              <w14:schemeClr w14:val="tx1"/>
            </w14:solidFill>
          </w14:textFill>
        </w:rPr>
        <w:t>综合评分</w:t>
      </w:r>
      <w:r>
        <w:rPr>
          <w:color w:val="000000" w:themeColor="text1"/>
          <w:sz w:val="24"/>
          <w:szCs w:val="24"/>
          <w14:textFill>
            <w14:solidFill>
              <w14:schemeClr w14:val="tx1"/>
            </w14:solidFill>
          </w14:textFill>
        </w:rPr>
        <w:t xml:space="preserve"> 法。</w:t>
      </w:r>
      <w:r>
        <w:rPr>
          <w:color w:val="000000" w:themeColor="text1"/>
          <w:kern w:val="0"/>
          <w:sz w:val="24"/>
          <w:szCs w:val="24"/>
          <w14:textFill>
            <w14:solidFill>
              <w14:schemeClr w14:val="tx1"/>
            </w14:solidFill>
          </w14:textFill>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w:t>
      </w:r>
      <w:r>
        <w:rPr>
          <w:rFonts w:hint="eastAsia" w:cs="宋体"/>
          <w:bCs/>
          <w:kern w:val="0"/>
          <w:sz w:val="24"/>
          <w:szCs w:val="24"/>
        </w:rPr>
        <w:t>为排名第一的中标候选人，本项目选取1名中标候选人。</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政府采购政策功能落实</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小微型企业价格扣除</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（1）本项目对小型和微型企业产品给予</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0%的扣除价格，用扣除后的价格参与评审。</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（2）供应商需按照招标文件的要求提供相应的《企业声明函》。</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（3）企业标准请参照《关于印发中小企业划型标准规定的通知》（工信部联企业〔201</w:t>
      </w: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〕300号）文件规定自行填写。</w:t>
      </w:r>
    </w:p>
    <w:p>
      <w:pPr>
        <w:spacing w:line="440" w:lineRule="exact"/>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残疾人福利单位价格扣除</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（1）本项目对残疾人福利性单位视同小型、微型企业，给予</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0%的价格扣除，用扣除后的价格参与评审。</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（2）残疾人福利单位需按照招标文件的要求提供《残疾人福利性单位声明函》。</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（3）残疾人福利单位标准请参照《关于促进残疾人就业政府采购政策的通知》（财库〔2017〕141号）。</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监狱和戒毒企业价格扣除</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（1）本项目对监狱和戒毒企业（简称监狱企业）视同小型、微型企业，给予</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0%的价格扣除，用扣除后的价格参与评审。</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（3）监狱企业标准请参照《关于政府采购支持监狱企业发展有关问题的通知》（财库〔2014〕68号）。</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4.残疾人福利单位、监狱企业属于小型、微型企业的，不重复享受政策。</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5、符合本采购文件优先采购 “环境标志产品”或“节能产品”的；必须提供“环境标志产品”或“节能产品”证明，否则不予认可。</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pacing w:line="440" w:lineRule="exact"/>
        <w:ind w:firstLine="482" w:firstLineChars="200"/>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二、评标标准</w:t>
      </w:r>
    </w:p>
    <w:p>
      <w:pPr>
        <w:spacing w:line="440" w:lineRule="exact"/>
        <w:ind w:firstLine="480" w:firstLineChars="200"/>
        <w:rPr>
          <w:rFonts w:eastAsiaTheme="minorEastAsia"/>
          <w:bCs/>
          <w:color w:val="000000" w:themeColor="text1"/>
          <w:kern w:val="0"/>
          <w:sz w:val="24"/>
          <w:szCs w:val="24"/>
          <w14:textFill>
            <w14:solidFill>
              <w14:schemeClr w14:val="tx1"/>
            </w14:solidFill>
          </w14:textFill>
        </w:rPr>
      </w:pPr>
      <w:r>
        <w:rPr>
          <w:rFonts w:eastAsiaTheme="minorEastAsia"/>
          <w:bCs/>
          <w:color w:val="000000" w:themeColor="text1"/>
          <w:kern w:val="0"/>
          <w:sz w:val="24"/>
          <w:szCs w:val="24"/>
          <w14:textFill>
            <w14:solidFill>
              <w14:schemeClr w14:val="tx1"/>
            </w14:solidFill>
          </w14:textFill>
        </w:rPr>
        <w:t>本项目</w:t>
      </w:r>
      <w:r>
        <w:rPr>
          <w:rFonts w:hint="eastAsia" w:eastAsiaTheme="minorEastAsia"/>
          <w:bCs/>
          <w:color w:val="000000" w:themeColor="text1"/>
          <w:kern w:val="0"/>
          <w:sz w:val="24"/>
          <w:szCs w:val="24"/>
          <w14:textFill>
            <w14:solidFill>
              <w14:schemeClr w14:val="tx1"/>
            </w14:solidFill>
          </w14:textFill>
        </w:rPr>
        <w:t>一标段</w:t>
      </w:r>
      <w:r>
        <w:rPr>
          <w:rFonts w:eastAsiaTheme="minorEastAsia"/>
          <w:bCs/>
          <w:color w:val="000000" w:themeColor="text1"/>
          <w:kern w:val="0"/>
          <w:sz w:val="24"/>
          <w:szCs w:val="24"/>
          <w14:textFill>
            <w14:solidFill>
              <w14:schemeClr w14:val="tx1"/>
            </w14:solidFill>
          </w14:textFill>
        </w:rPr>
        <w:t>评分总分值为100分。</w:t>
      </w:r>
    </w:p>
    <w:tbl>
      <w:tblPr>
        <w:tblStyle w:val="26"/>
        <w:tblW w:w="90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682"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序号</w:t>
            </w:r>
          </w:p>
        </w:tc>
        <w:tc>
          <w:tcPr>
            <w:tcW w:w="152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评审因素</w:t>
            </w:r>
          </w:p>
        </w:tc>
        <w:tc>
          <w:tcPr>
            <w:tcW w:w="5899"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评审细则</w:t>
            </w:r>
          </w:p>
        </w:tc>
        <w:tc>
          <w:tcPr>
            <w:tcW w:w="94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526" w:type="dxa"/>
            <w:vAlign w:val="center"/>
          </w:tcPr>
          <w:p>
            <w:pPr>
              <w:adjustRightInd w:val="0"/>
              <w:spacing w:after="161" w:afterLines="50" w:line="360" w:lineRule="auto"/>
              <w:ind w:firstLine="228" w:firstLineChars="95"/>
              <w:rPr>
                <w:color w:val="000000" w:themeColor="text1"/>
                <w:kern w:val="0"/>
                <w:sz w:val="24"/>
                <w:szCs w:val="24"/>
                <w14:textFill>
                  <w14:solidFill>
                    <w14:schemeClr w14:val="tx1"/>
                  </w14:solidFill>
                </w14:textFill>
              </w:rPr>
            </w:pPr>
            <w:r>
              <w:rPr>
                <w:rFonts w:hint="eastAsia" w:ascii="宋体" w:hAnsi="宋体" w:cs="微软雅黑"/>
                <w:position w:val="6"/>
                <w:sz w:val="24"/>
                <w:szCs w:val="24"/>
              </w:rPr>
              <w:t>报价</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价格分采用低价优先法计算，即满足采购文件要求且投标价格最低的投标报价为评标基准价。</w:t>
            </w:r>
          </w:p>
          <w:p>
            <w:pPr>
              <w:shd w:val="clear" w:color="auto" w:fill="FFFFFF"/>
              <w:spacing w:line="360" w:lineRule="auto"/>
              <w:ind w:firstLine="480" w:firstLineChars="200"/>
              <w:rPr>
                <w:sz w:val="24"/>
                <w:szCs w:val="24"/>
              </w:rPr>
            </w:pPr>
            <w:r>
              <w:rPr>
                <w:rFonts w:hint="eastAsia" w:ascii="宋体" w:hAnsi="宋体" w:cs="微软雅黑"/>
                <w:position w:val="6"/>
                <w:sz w:val="24"/>
                <w:szCs w:val="24"/>
              </w:rPr>
              <w:t>投标报价得分=（评标基准价/投标报价）*40分，小数点后保留两位。</w:t>
            </w:r>
          </w:p>
        </w:tc>
        <w:tc>
          <w:tcPr>
            <w:tcW w:w="94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p>
        </w:tc>
        <w:tc>
          <w:tcPr>
            <w:tcW w:w="152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宋体"/>
                <w:bCs/>
                <w:sz w:val="24"/>
                <w:szCs w:val="24"/>
              </w:rPr>
              <w:t>技术参数响应</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1、技术参数响应</w:t>
            </w:r>
          </w:p>
          <w:p>
            <w:pPr>
              <w:spacing w:line="360" w:lineRule="auto"/>
              <w:ind w:firstLine="480" w:firstLineChars="200"/>
              <w:rPr>
                <w:sz w:val="24"/>
                <w:szCs w:val="24"/>
              </w:rPr>
            </w:pPr>
            <w:r>
              <w:rPr>
                <w:rFonts w:hint="eastAsia"/>
                <w:sz w:val="24"/>
                <w:szCs w:val="24"/>
              </w:rPr>
              <w:t>投标人所投货物完全响应或正偏离招标文件货物技术参数要求的得38分；打★号为实质性要求，不满足（负偏离）按废标处理；打▲号为重要指标，有一项负偏离扣3分；其他技术参数，有一项负偏离扣1分；扣完为止。</w:t>
            </w:r>
          </w:p>
          <w:p>
            <w:pPr>
              <w:spacing w:line="360" w:lineRule="auto"/>
              <w:ind w:firstLine="480" w:firstLineChars="200"/>
              <w:rPr>
                <w:sz w:val="24"/>
                <w:szCs w:val="24"/>
              </w:rPr>
            </w:pPr>
            <w:r>
              <w:rPr>
                <w:rFonts w:hint="eastAsia"/>
                <w:sz w:val="24"/>
                <w:szCs w:val="24"/>
              </w:rPr>
              <w:t>注：（1）以上“技术参数”响应情况均须在投标文件《投标产品技术参数偏离表》中逐条表述清楚，如表述不清，则按不满足（负偏离）处理。</w:t>
            </w:r>
          </w:p>
          <w:p>
            <w:pPr>
              <w:spacing w:line="360" w:lineRule="auto"/>
              <w:ind w:firstLine="480" w:firstLineChars="200"/>
              <w:rPr>
                <w:sz w:val="24"/>
                <w:szCs w:val="24"/>
              </w:rPr>
            </w:pPr>
            <w:r>
              <w:rPr>
                <w:rFonts w:hint="eastAsia"/>
                <w:sz w:val="24"/>
                <w:szCs w:val="24"/>
              </w:rPr>
              <w:t>（2）招标文件中要求提供证明材料的参数指标，需按照文件要求提供相关证明材料，并按照顺序排列、制作，便于评委评分，未按照要求提供材料的、提供的材料模糊不清无法辨认的，则按不满足（负偏离）处理。</w:t>
            </w:r>
          </w:p>
          <w:p>
            <w:pPr>
              <w:shd w:val="clear" w:color="auto" w:fill="FFFFFF"/>
              <w:spacing w:line="360" w:lineRule="auto"/>
              <w:rPr>
                <w:sz w:val="24"/>
                <w:szCs w:val="24"/>
              </w:rPr>
            </w:pPr>
            <w:r>
              <w:rPr>
                <w:rFonts w:hint="eastAsia"/>
                <w:sz w:val="24"/>
                <w:szCs w:val="24"/>
              </w:rPr>
              <w:t xml:space="preserve">    2、投标产品品牌选用招标参考品牌的，得1分；若选用非招标参考品牌，需提供相当于或优于招标参考品牌产品质量的相关佐证材料，经评审专家认可后得1分；未提供相关佐证材料的，不予得分。</w:t>
            </w:r>
          </w:p>
          <w:p>
            <w:pPr>
              <w:pStyle w:val="9"/>
              <w:ind w:firstLine="480"/>
              <w:rPr>
                <w:sz w:val="24"/>
                <w:szCs w:val="24"/>
              </w:rPr>
            </w:pPr>
            <w:r>
              <w:rPr>
                <w:rFonts w:hint="eastAsia" w:ascii="Times New Roman" w:eastAsia="宋体"/>
                <w:sz w:val="24"/>
                <w:szCs w:val="24"/>
              </w:rPr>
              <w:t>3、对投标产品的知名度、市场占有率、影响力及</w:t>
            </w:r>
          </w:p>
          <w:p>
            <w:pPr>
              <w:pStyle w:val="9"/>
              <w:ind w:firstLine="0" w:firstLineChars="0"/>
              <w:rPr>
                <w:sz w:val="24"/>
                <w:szCs w:val="24"/>
              </w:rPr>
            </w:pPr>
            <w:r>
              <w:rPr>
                <w:rFonts w:hint="eastAsia" w:ascii="Times New Roman" w:eastAsia="宋体"/>
                <w:sz w:val="24"/>
                <w:szCs w:val="24"/>
              </w:rPr>
              <w:t>产品先进性、可靠新、稳定性等方面进行综合评价，评分区间0.1-1分。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c>
          <w:tcPr>
            <w:tcW w:w="1526" w:type="dxa"/>
            <w:vAlign w:val="center"/>
          </w:tcPr>
          <w:p>
            <w:pPr>
              <w:spacing w:line="360" w:lineRule="auto"/>
              <w:jc w:val="center"/>
              <w:rPr>
                <w:color w:val="000000" w:themeColor="text1"/>
                <w:kern w:val="0"/>
                <w:sz w:val="24"/>
                <w:szCs w:val="24"/>
                <w14:textFill>
                  <w14:solidFill>
                    <w14:schemeClr w14:val="tx1"/>
                  </w14:solidFill>
                </w14:textFill>
              </w:rPr>
            </w:pPr>
            <w:r>
              <w:rPr>
                <w:rFonts w:hint="eastAsia" w:ascii="宋体" w:hAnsi="宋体" w:cs="微软雅黑"/>
                <w:position w:val="6"/>
                <w:sz w:val="24"/>
                <w:szCs w:val="24"/>
                <w:lang w:val="zh-CN"/>
              </w:rPr>
              <w:t>投标人业绩</w:t>
            </w:r>
          </w:p>
        </w:tc>
        <w:tc>
          <w:tcPr>
            <w:tcW w:w="5899" w:type="dxa"/>
            <w:vAlign w:val="center"/>
          </w:tcPr>
          <w:p>
            <w:pPr>
              <w:shd w:val="clear" w:color="auto" w:fill="FFFFFF"/>
              <w:spacing w:line="360" w:lineRule="auto"/>
              <w:ind w:firstLine="480" w:firstLineChars="200"/>
              <w:rPr>
                <w:sz w:val="24"/>
                <w:szCs w:val="24"/>
              </w:rPr>
            </w:pPr>
            <w:r>
              <w:rPr>
                <w:rFonts w:hint="eastAsia"/>
                <w:sz w:val="24"/>
                <w:szCs w:val="24"/>
              </w:rPr>
              <w:t>投标人自2019年1月1日以来（以合同签订时间为准），投标人承接过类似项目（钢琴）业绩的，有一个得2分，最多得10分（</w:t>
            </w:r>
            <w:r>
              <w:rPr>
                <w:rFonts w:hint="eastAsia"/>
                <w:b/>
                <w:bCs/>
                <w:sz w:val="24"/>
                <w:szCs w:val="24"/>
              </w:rPr>
              <w:t>以合同原件为准</w:t>
            </w:r>
            <w:r>
              <w:rPr>
                <w:rFonts w:hint="eastAsia"/>
                <w:sz w:val="24"/>
                <w:szCs w:val="24"/>
              </w:rPr>
              <w:t>，否则不得分）</w:t>
            </w:r>
            <w:r>
              <w:rPr>
                <w:rFonts w:hint="eastAsia" w:ascii="宋体" w:hAnsi="宋体" w:cs="微软雅黑"/>
                <w:position w:val="6"/>
                <w:sz w:val="24"/>
                <w:szCs w:val="24"/>
              </w:rPr>
              <w:t>。</w:t>
            </w:r>
          </w:p>
        </w:tc>
        <w:tc>
          <w:tcPr>
            <w:tcW w:w="946" w:type="dxa"/>
            <w:vAlign w:val="center"/>
          </w:tcPr>
          <w:p>
            <w:pPr>
              <w:widowControl/>
              <w:adjustRightInd w:val="0"/>
              <w:snapToGrid w:val="0"/>
              <w:spacing w:after="161" w:afterLines="50" w:line="360" w:lineRule="auto"/>
              <w:jc w:val="left"/>
              <w:textAlignment w:val="baseline"/>
              <w:rPr>
                <w:sz w:val="24"/>
                <w:szCs w:val="24"/>
              </w:rPr>
            </w:pPr>
            <w:r>
              <w:rPr>
                <w:rFonts w:hint="eastAsia"/>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p>
        </w:tc>
        <w:tc>
          <w:tcPr>
            <w:tcW w:w="152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宋体"/>
                <w:color w:val="000000"/>
                <w:sz w:val="24"/>
                <w:szCs w:val="24"/>
              </w:rPr>
              <w:t>安装实施组织方案及售后服务</w:t>
            </w:r>
          </w:p>
        </w:tc>
        <w:tc>
          <w:tcPr>
            <w:tcW w:w="5899" w:type="dxa"/>
            <w:vAlign w:val="center"/>
          </w:tcPr>
          <w:p>
            <w:pPr>
              <w:numPr>
                <w:ilvl w:val="0"/>
                <w:numId w:val="5"/>
              </w:numPr>
              <w:spacing w:line="360" w:lineRule="auto"/>
              <w:ind w:firstLine="480" w:firstLineChars="200"/>
              <w:rPr>
                <w:sz w:val="24"/>
                <w:szCs w:val="24"/>
              </w:rPr>
            </w:pPr>
            <w:r>
              <w:rPr>
                <w:rFonts w:hint="eastAsia"/>
                <w:sz w:val="24"/>
                <w:szCs w:val="24"/>
              </w:rPr>
              <w:t>根据投标人提供的项目实施方案是否细致全面、合理、完全响应需求，技术可行性强的，由评标委员会综合评审：项目实施方案全面合理、可操作性强得3分，项目实施方案较全面合理、可操作性较强得2分，项目实施方案较为简单、可操作性较差得1分，未提供方案不得分。</w:t>
            </w:r>
          </w:p>
          <w:p>
            <w:pPr>
              <w:spacing w:line="360" w:lineRule="auto"/>
              <w:ind w:firstLine="480" w:firstLineChars="200"/>
              <w:rPr>
                <w:sz w:val="24"/>
                <w:szCs w:val="24"/>
              </w:rPr>
            </w:pPr>
            <w:r>
              <w:rPr>
                <w:rFonts w:hint="eastAsia"/>
                <w:sz w:val="24"/>
                <w:szCs w:val="24"/>
              </w:rPr>
              <w:t>2.根据投标人提供的售后服务方案（服务体系、服务内容、故障解决方案、专业技术人员配备、调律次数等），售后服务方案全面详细、可操作性强得3分，售后服务方案较全面、详细、可操作性较好得2分，售后服务方案较简单、可操作性较差得1分，未提供售后服务方案不得分。</w:t>
            </w:r>
          </w:p>
          <w:p>
            <w:pPr>
              <w:pStyle w:val="9"/>
              <w:ind w:firstLine="480"/>
              <w:rPr>
                <w:sz w:val="24"/>
                <w:szCs w:val="24"/>
              </w:rPr>
            </w:pPr>
            <w:r>
              <w:rPr>
                <w:rFonts w:hint="eastAsia" w:ascii="Times New Roman" w:eastAsia="宋体"/>
                <w:sz w:val="24"/>
                <w:szCs w:val="24"/>
              </w:rPr>
              <w:t>3、</w:t>
            </w:r>
            <w:r>
              <w:rPr>
                <w:rFonts w:hint="eastAsia" w:ascii="Times New Roman" w:eastAsia="宋体" w:cs="宋体"/>
                <w:sz w:val="24"/>
                <w:szCs w:val="24"/>
              </w:rPr>
              <w:t>产品免费质保期为1年</w:t>
            </w:r>
            <w:r>
              <w:rPr>
                <w:rFonts w:ascii="Times New Roman" w:eastAsia="宋体" w:cs="宋体"/>
                <w:sz w:val="24"/>
                <w:szCs w:val="24"/>
              </w:rPr>
              <w:t>（含2次/年免费调</w:t>
            </w:r>
            <w:r>
              <w:rPr>
                <w:rFonts w:hint="eastAsia" w:ascii="Times New Roman" w:eastAsia="宋体" w:cs="宋体"/>
                <w:sz w:val="24"/>
                <w:szCs w:val="24"/>
              </w:rPr>
              <w:t>律</w:t>
            </w:r>
            <w:r>
              <w:rPr>
                <w:rFonts w:ascii="Times New Roman" w:eastAsia="宋体" w:cs="宋体"/>
                <w:sz w:val="24"/>
                <w:szCs w:val="24"/>
              </w:rPr>
              <w:t>保养）。达到此要求的基础上，每延长1年，加</w:t>
            </w:r>
            <w:r>
              <w:rPr>
                <w:rFonts w:hint="eastAsia" w:ascii="Times New Roman" w:eastAsia="宋体" w:cs="宋体"/>
                <w:sz w:val="24"/>
                <w:szCs w:val="24"/>
              </w:rPr>
              <w:t>2</w:t>
            </w:r>
            <w:r>
              <w:rPr>
                <w:rFonts w:ascii="Times New Roman" w:eastAsia="宋体" w:cs="宋体"/>
                <w:sz w:val="24"/>
                <w:szCs w:val="24"/>
              </w:rPr>
              <w:t>分，最多得4分。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10分</w:t>
            </w:r>
          </w:p>
        </w:tc>
      </w:tr>
    </w:tbl>
    <w:p>
      <w:pPr>
        <w:spacing w:line="440" w:lineRule="exact"/>
        <w:rPr>
          <w:rFonts w:eastAsiaTheme="minorEastAsia"/>
          <w:bCs/>
          <w:color w:val="000000" w:themeColor="text1"/>
          <w:kern w:val="0"/>
          <w:sz w:val="24"/>
          <w:szCs w:val="24"/>
          <w14:textFill>
            <w14:solidFill>
              <w14:schemeClr w14:val="tx1"/>
            </w14:solidFill>
          </w14:textFill>
        </w:rPr>
      </w:pPr>
    </w:p>
    <w:p>
      <w:pPr>
        <w:spacing w:line="440" w:lineRule="exact"/>
        <w:rPr>
          <w:rFonts w:eastAsiaTheme="minorEastAsia"/>
          <w:bCs/>
          <w:color w:val="000000" w:themeColor="text1"/>
          <w:kern w:val="0"/>
          <w:sz w:val="24"/>
          <w:szCs w:val="24"/>
          <w14:textFill>
            <w14:solidFill>
              <w14:schemeClr w14:val="tx1"/>
            </w14:solidFill>
          </w14:textFill>
        </w:rPr>
      </w:pPr>
    </w:p>
    <w:p>
      <w:pPr>
        <w:pStyle w:val="2"/>
      </w:pPr>
    </w:p>
    <w:p>
      <w:pPr>
        <w:spacing w:line="440" w:lineRule="exact"/>
        <w:rPr>
          <w:rFonts w:eastAsiaTheme="minorEastAsia"/>
          <w:b/>
          <w:color w:val="000000" w:themeColor="text1"/>
          <w:kern w:val="0"/>
          <w:sz w:val="24"/>
          <w:szCs w:val="24"/>
          <w14:textFill>
            <w14:solidFill>
              <w14:schemeClr w14:val="tx1"/>
            </w14:solidFill>
          </w14:textFill>
        </w:rPr>
      </w:pPr>
      <w:r>
        <w:rPr>
          <w:rFonts w:eastAsiaTheme="minorEastAsia"/>
          <w:b/>
          <w:color w:val="000000" w:themeColor="text1"/>
          <w:kern w:val="0"/>
          <w:sz w:val="24"/>
          <w:szCs w:val="24"/>
          <w14:textFill>
            <w14:solidFill>
              <w14:schemeClr w14:val="tx1"/>
            </w14:solidFill>
          </w14:textFill>
        </w:rPr>
        <w:t>本项目</w:t>
      </w:r>
      <w:r>
        <w:rPr>
          <w:rFonts w:hint="eastAsia" w:eastAsiaTheme="minorEastAsia"/>
          <w:b/>
          <w:color w:val="000000" w:themeColor="text1"/>
          <w:kern w:val="0"/>
          <w:sz w:val="24"/>
          <w:szCs w:val="24"/>
          <w14:textFill>
            <w14:solidFill>
              <w14:schemeClr w14:val="tx1"/>
            </w14:solidFill>
          </w14:textFill>
        </w:rPr>
        <w:t>二标段</w:t>
      </w:r>
      <w:r>
        <w:rPr>
          <w:rFonts w:eastAsiaTheme="minorEastAsia"/>
          <w:b/>
          <w:color w:val="000000" w:themeColor="text1"/>
          <w:kern w:val="0"/>
          <w:sz w:val="24"/>
          <w:szCs w:val="24"/>
          <w14:textFill>
            <w14:solidFill>
              <w14:schemeClr w14:val="tx1"/>
            </w14:solidFill>
          </w14:textFill>
        </w:rPr>
        <w:t>评分总分值为100分。</w:t>
      </w:r>
    </w:p>
    <w:p/>
    <w:tbl>
      <w:tblPr>
        <w:tblStyle w:val="26"/>
        <w:tblW w:w="90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682"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序号</w:t>
            </w:r>
          </w:p>
        </w:tc>
        <w:tc>
          <w:tcPr>
            <w:tcW w:w="152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评审因素</w:t>
            </w:r>
          </w:p>
        </w:tc>
        <w:tc>
          <w:tcPr>
            <w:tcW w:w="5899"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评审细则</w:t>
            </w:r>
          </w:p>
        </w:tc>
        <w:tc>
          <w:tcPr>
            <w:tcW w:w="94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526" w:type="dxa"/>
            <w:vAlign w:val="center"/>
          </w:tcPr>
          <w:p>
            <w:pPr>
              <w:adjustRightInd w:val="0"/>
              <w:spacing w:after="161" w:afterLines="50" w:line="360" w:lineRule="auto"/>
              <w:ind w:firstLine="228" w:firstLineChars="95"/>
              <w:rPr>
                <w:color w:val="000000" w:themeColor="text1"/>
                <w:kern w:val="0"/>
                <w:sz w:val="24"/>
                <w:szCs w:val="24"/>
                <w14:textFill>
                  <w14:solidFill>
                    <w14:schemeClr w14:val="tx1"/>
                  </w14:solidFill>
                </w14:textFill>
              </w:rPr>
            </w:pPr>
            <w:r>
              <w:rPr>
                <w:rFonts w:hint="eastAsia" w:ascii="宋体" w:hAnsi="宋体" w:cs="微软雅黑"/>
                <w:position w:val="6"/>
                <w:sz w:val="24"/>
                <w:szCs w:val="24"/>
              </w:rPr>
              <w:t>报价</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价格分采用低价优先法计算，即满足采购文件要求且投标价格最低的投标报价为评标基准价。</w:t>
            </w:r>
          </w:p>
          <w:p>
            <w:pPr>
              <w:shd w:val="clear" w:color="auto" w:fill="FFFFFF"/>
              <w:spacing w:line="360" w:lineRule="auto"/>
              <w:ind w:firstLine="480" w:firstLineChars="200"/>
              <w:rPr>
                <w:sz w:val="24"/>
                <w:szCs w:val="24"/>
              </w:rPr>
            </w:pPr>
            <w:r>
              <w:rPr>
                <w:rFonts w:hint="eastAsia" w:ascii="宋体" w:hAnsi="宋体" w:cs="微软雅黑"/>
                <w:position w:val="6"/>
                <w:sz w:val="24"/>
                <w:szCs w:val="24"/>
              </w:rPr>
              <w:t>投标报价得分=（评标基准价/投标报价）*40分，小数点后保留两位。</w:t>
            </w:r>
          </w:p>
        </w:tc>
        <w:tc>
          <w:tcPr>
            <w:tcW w:w="94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微软雅黑"/>
                <w:position w:val="6"/>
                <w:sz w:val="24"/>
                <w:szCs w:val="24"/>
              </w:rPr>
              <w:t>4</w:t>
            </w:r>
            <w:r>
              <w:rPr>
                <w:rFonts w:ascii="宋体" w:hAnsi="宋体" w:cs="微软雅黑"/>
                <w:position w:val="6"/>
                <w:sz w:val="24"/>
                <w:szCs w:val="24"/>
              </w:rPr>
              <w:t>0</w:t>
            </w:r>
            <w:r>
              <w:rPr>
                <w:rFonts w:hint="eastAsia" w:ascii="宋体" w:hAnsi="宋体" w:cs="微软雅黑"/>
                <w:position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p>
        </w:tc>
        <w:tc>
          <w:tcPr>
            <w:tcW w:w="152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宋体"/>
                <w:bCs/>
                <w:sz w:val="24"/>
                <w:szCs w:val="24"/>
              </w:rPr>
              <w:t>技术参数响应</w:t>
            </w:r>
          </w:p>
        </w:tc>
        <w:tc>
          <w:tcPr>
            <w:tcW w:w="5899" w:type="dxa"/>
            <w:vAlign w:val="center"/>
          </w:tcPr>
          <w:p>
            <w:pPr>
              <w:spacing w:line="360" w:lineRule="auto"/>
              <w:ind w:firstLine="480" w:firstLineChars="200"/>
              <w:rPr>
                <w:sz w:val="24"/>
                <w:szCs w:val="24"/>
              </w:rPr>
            </w:pPr>
            <w:r>
              <w:rPr>
                <w:rFonts w:hint="eastAsia"/>
                <w:sz w:val="24"/>
                <w:szCs w:val="24"/>
              </w:rPr>
              <w:t>1、投标人所投货物完全响应或正偏离招标文件货物技术参数要求的得35分；打★号为实质性要求，不满足（负偏离）按废标处理；打▲号为重要指标，有一项负偏离扣3分；其他技术参数，有一项负偏离扣1分；扣完为止。</w:t>
            </w:r>
          </w:p>
          <w:p>
            <w:pPr>
              <w:spacing w:line="360" w:lineRule="auto"/>
              <w:ind w:firstLine="480" w:firstLineChars="200"/>
              <w:rPr>
                <w:sz w:val="24"/>
                <w:szCs w:val="24"/>
              </w:rPr>
            </w:pPr>
            <w:r>
              <w:rPr>
                <w:rFonts w:hint="eastAsia"/>
                <w:sz w:val="24"/>
                <w:szCs w:val="24"/>
              </w:rPr>
              <w:t>注：（1）以上“技术参数”响应情况均须在投标文件《投标产品技术参数偏离表》中逐条表述清楚，如表述不清，则按不满足（负偏离）处理。</w:t>
            </w:r>
          </w:p>
          <w:p>
            <w:pPr>
              <w:shd w:val="clear" w:color="auto" w:fill="FFFFFF"/>
              <w:spacing w:line="360" w:lineRule="auto"/>
              <w:ind w:firstLine="240" w:firstLineChars="100"/>
              <w:rPr>
                <w:sz w:val="24"/>
                <w:szCs w:val="24"/>
              </w:rPr>
            </w:pPr>
            <w:r>
              <w:rPr>
                <w:rFonts w:hint="eastAsia"/>
                <w:sz w:val="24"/>
                <w:szCs w:val="24"/>
              </w:rPr>
              <w:t>（2）招标文件中要求提供证明材料的参数指标，需按照文件要求提供相关证明材料，并按照顺序排列、制作，便于评委评分，未按照要求提供材料的、提供的材料模糊不清无法辨认的，则按不满足（负偏离）处理。     2、各场馆投标产品品牌选用招标参考品牌的，得1分；若选用非招标参考品牌，需提供相当于或优于招标参考品牌产品质量的相关佐证材料，经评审专家认可后得1分；未提供相关佐证材料或各场馆非招标参考品牌佐证材料提供不全的，不予得分。上述评审项，舞蹈房、音乐教室合班教室、指挥教学实训室、化妆间，4个场馆满分4分。</w:t>
            </w:r>
          </w:p>
          <w:p>
            <w:pPr>
              <w:pStyle w:val="9"/>
              <w:ind w:left="420" w:firstLine="0" w:firstLineChars="0"/>
              <w:rPr>
                <w:sz w:val="24"/>
                <w:szCs w:val="24"/>
              </w:rPr>
            </w:pPr>
            <w:r>
              <w:rPr>
                <w:rFonts w:hint="eastAsia" w:ascii="Times New Roman" w:eastAsia="宋体"/>
                <w:sz w:val="24"/>
                <w:szCs w:val="24"/>
              </w:rPr>
              <w:t>3、对投标产品的知名度、市场占有率、影响力及</w:t>
            </w:r>
          </w:p>
          <w:p>
            <w:pPr>
              <w:pStyle w:val="9"/>
              <w:ind w:firstLine="0" w:firstLineChars="0"/>
              <w:rPr>
                <w:rFonts w:eastAsia="黑体"/>
              </w:rPr>
            </w:pPr>
            <w:r>
              <w:rPr>
                <w:rFonts w:hint="eastAsia" w:ascii="Times New Roman" w:eastAsia="宋体"/>
                <w:sz w:val="24"/>
                <w:szCs w:val="24"/>
              </w:rPr>
              <w:t>产品先进性、可靠新、稳定性等方面进行综合评价，评分区间0.1-1分。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9"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c>
          <w:tcPr>
            <w:tcW w:w="1526" w:type="dxa"/>
            <w:vAlign w:val="center"/>
          </w:tcPr>
          <w:p>
            <w:pPr>
              <w:spacing w:line="360" w:lineRule="auto"/>
              <w:jc w:val="center"/>
              <w:rPr>
                <w:color w:val="000000" w:themeColor="text1"/>
                <w:kern w:val="0"/>
                <w:sz w:val="24"/>
                <w:szCs w:val="24"/>
                <w14:textFill>
                  <w14:solidFill>
                    <w14:schemeClr w14:val="tx1"/>
                  </w14:solidFill>
                </w14:textFill>
              </w:rPr>
            </w:pPr>
            <w:r>
              <w:rPr>
                <w:rFonts w:hint="eastAsia" w:ascii="宋体" w:hAnsi="宋体" w:cs="微软雅黑"/>
                <w:position w:val="6"/>
                <w:sz w:val="24"/>
                <w:szCs w:val="24"/>
                <w:lang w:val="zh-CN"/>
              </w:rPr>
              <w:t>投标人业绩</w:t>
            </w:r>
          </w:p>
        </w:tc>
        <w:tc>
          <w:tcPr>
            <w:tcW w:w="5899" w:type="dxa"/>
            <w:vAlign w:val="center"/>
          </w:tcPr>
          <w:p>
            <w:pPr>
              <w:shd w:val="clear" w:color="auto" w:fill="FFFFFF"/>
              <w:spacing w:line="360" w:lineRule="auto"/>
              <w:ind w:firstLine="480" w:firstLineChars="200"/>
            </w:pPr>
            <w:r>
              <w:rPr>
                <w:rFonts w:hint="eastAsia"/>
                <w:sz w:val="24"/>
                <w:szCs w:val="24"/>
              </w:rPr>
              <w:t>投标人自2019年1月1日以来（以合同签订时间为准），投标人承接过类似项目（电教设备）业绩的，有一个得2分，最多得10分（</w:t>
            </w:r>
            <w:r>
              <w:rPr>
                <w:rFonts w:hint="eastAsia"/>
                <w:b/>
                <w:bCs/>
                <w:sz w:val="24"/>
                <w:szCs w:val="24"/>
              </w:rPr>
              <w:t>以合同原件为准</w:t>
            </w:r>
            <w:r>
              <w:rPr>
                <w:rFonts w:hint="eastAsia"/>
                <w:sz w:val="24"/>
                <w:szCs w:val="24"/>
              </w:rPr>
              <w:t>，否则不得分）。</w:t>
            </w:r>
          </w:p>
        </w:tc>
        <w:tc>
          <w:tcPr>
            <w:tcW w:w="94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p>
        </w:tc>
        <w:tc>
          <w:tcPr>
            <w:tcW w:w="152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实施组织方案及售后服务</w:t>
            </w:r>
          </w:p>
        </w:tc>
        <w:tc>
          <w:tcPr>
            <w:tcW w:w="5899" w:type="dxa"/>
            <w:vAlign w:val="center"/>
          </w:tcPr>
          <w:p>
            <w:pPr>
              <w:spacing w:line="360" w:lineRule="auto"/>
              <w:ind w:firstLine="480" w:firstLineChars="200"/>
              <w:rPr>
                <w:sz w:val="24"/>
                <w:szCs w:val="24"/>
              </w:rPr>
            </w:pPr>
            <w:r>
              <w:rPr>
                <w:rFonts w:hint="eastAsia"/>
                <w:sz w:val="24"/>
                <w:szCs w:val="24"/>
              </w:rPr>
              <w:t>1.根据投标人提供的项目实施方案（现场安装、进度安排、质量和现场管理方案等）是否细致全面、合理、完全响应需求，技术可行性强的，由评标委员会综合评审：项目实施方案全面合理、可操作性强得3分，项目实施方案较全面合理、可操作性较强得2分，项目实施方案较为简单、可操作性较差得1分，未提供方案不得分。</w:t>
            </w:r>
          </w:p>
          <w:p>
            <w:pPr>
              <w:spacing w:line="360" w:lineRule="auto"/>
              <w:ind w:firstLine="480" w:firstLineChars="200"/>
              <w:rPr>
                <w:sz w:val="24"/>
                <w:szCs w:val="24"/>
              </w:rPr>
            </w:pPr>
            <w:r>
              <w:rPr>
                <w:rFonts w:hint="eastAsia"/>
                <w:sz w:val="24"/>
                <w:szCs w:val="24"/>
              </w:rPr>
              <w:t>2.投标单位根据自身情况为招标人提供售后服务方案（包括人员配备、响应时间、响应程度、解决问题的能力、紧急故障处理预案等，以及维护期内外的后续技术支持和维护能力）进行打分，售后服务方案全面详细、可操作性强、维护能力强得3分，售后服务方案较全面、详细、可操作性较好、维护能力较强得2分，售后服务方案较简单、可操作性较差、维护能力较差得1分，未提供售后服务方案不得分。</w:t>
            </w:r>
          </w:p>
          <w:p>
            <w:pPr>
              <w:shd w:val="clear" w:color="auto" w:fill="FFFFFF"/>
              <w:spacing w:line="360" w:lineRule="auto"/>
              <w:ind w:firstLine="480" w:firstLineChars="200"/>
              <w:rPr>
                <w:rFonts w:ascii="宋体" w:hAnsi="宋体" w:cs="微软雅黑"/>
                <w:position w:val="6"/>
                <w:sz w:val="24"/>
                <w:szCs w:val="24"/>
              </w:rPr>
            </w:pPr>
            <w:r>
              <w:rPr>
                <w:rFonts w:hint="eastAsia"/>
                <w:sz w:val="24"/>
                <w:szCs w:val="24"/>
              </w:rPr>
              <w:t>3、</w:t>
            </w:r>
            <w:r>
              <w:rPr>
                <w:rFonts w:hint="eastAsia" w:cs="宋体"/>
                <w:sz w:val="24"/>
                <w:szCs w:val="24"/>
              </w:rPr>
              <w:t>产品免费质保期为1年</w:t>
            </w:r>
            <w:r>
              <w:rPr>
                <w:rFonts w:cs="宋体"/>
                <w:sz w:val="24"/>
                <w:szCs w:val="24"/>
              </w:rPr>
              <w:t>。达到此要求的基础上，每延长1年，加</w:t>
            </w:r>
            <w:r>
              <w:rPr>
                <w:rFonts w:hint="eastAsia" w:cs="宋体"/>
                <w:sz w:val="24"/>
                <w:szCs w:val="24"/>
              </w:rPr>
              <w:t>2</w:t>
            </w:r>
            <w:r>
              <w:rPr>
                <w:rFonts w:cs="宋体"/>
                <w:sz w:val="24"/>
                <w:szCs w:val="24"/>
              </w:rPr>
              <w:t>分，最多得4分。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10分</w:t>
            </w:r>
          </w:p>
        </w:tc>
      </w:tr>
    </w:tbl>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440" w:lineRule="exact"/>
        <w:rPr>
          <w:rFonts w:eastAsiaTheme="minorEastAsia"/>
          <w:b/>
          <w:color w:val="000000" w:themeColor="text1"/>
          <w:kern w:val="0"/>
          <w:sz w:val="24"/>
          <w:szCs w:val="24"/>
          <w14:textFill>
            <w14:solidFill>
              <w14:schemeClr w14:val="tx1"/>
            </w14:solidFill>
          </w14:textFill>
        </w:rPr>
      </w:pPr>
      <w:r>
        <w:rPr>
          <w:rFonts w:eastAsiaTheme="minorEastAsia"/>
          <w:b/>
          <w:color w:val="000000" w:themeColor="text1"/>
          <w:kern w:val="0"/>
          <w:sz w:val="24"/>
          <w:szCs w:val="24"/>
          <w14:textFill>
            <w14:solidFill>
              <w14:schemeClr w14:val="tx1"/>
            </w14:solidFill>
          </w14:textFill>
        </w:rPr>
        <w:t>本项目</w:t>
      </w:r>
      <w:r>
        <w:rPr>
          <w:rFonts w:hint="eastAsia" w:eastAsiaTheme="minorEastAsia"/>
          <w:b/>
          <w:color w:val="000000" w:themeColor="text1"/>
          <w:kern w:val="0"/>
          <w:sz w:val="24"/>
          <w:szCs w:val="24"/>
          <w14:textFill>
            <w14:solidFill>
              <w14:schemeClr w14:val="tx1"/>
            </w14:solidFill>
          </w14:textFill>
        </w:rPr>
        <w:t>三标段</w:t>
      </w:r>
      <w:r>
        <w:rPr>
          <w:rFonts w:eastAsiaTheme="minorEastAsia"/>
          <w:b/>
          <w:color w:val="000000" w:themeColor="text1"/>
          <w:kern w:val="0"/>
          <w:sz w:val="24"/>
          <w:szCs w:val="24"/>
          <w14:textFill>
            <w14:solidFill>
              <w14:schemeClr w14:val="tx1"/>
            </w14:solidFill>
          </w14:textFill>
        </w:rPr>
        <w:t>评分总分值为100分。</w:t>
      </w:r>
    </w:p>
    <w:p/>
    <w:tbl>
      <w:tblPr>
        <w:tblStyle w:val="26"/>
        <w:tblW w:w="90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682"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序号</w:t>
            </w:r>
          </w:p>
        </w:tc>
        <w:tc>
          <w:tcPr>
            <w:tcW w:w="152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评审因素</w:t>
            </w:r>
          </w:p>
        </w:tc>
        <w:tc>
          <w:tcPr>
            <w:tcW w:w="5899"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评审细则</w:t>
            </w:r>
          </w:p>
        </w:tc>
        <w:tc>
          <w:tcPr>
            <w:tcW w:w="94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526" w:type="dxa"/>
            <w:vAlign w:val="center"/>
          </w:tcPr>
          <w:p>
            <w:pPr>
              <w:adjustRightInd w:val="0"/>
              <w:spacing w:after="161" w:afterLines="50" w:line="360" w:lineRule="auto"/>
              <w:ind w:firstLine="228" w:firstLineChars="95"/>
              <w:rPr>
                <w:color w:val="000000" w:themeColor="text1"/>
                <w:kern w:val="0"/>
                <w:sz w:val="24"/>
                <w:szCs w:val="24"/>
                <w14:textFill>
                  <w14:solidFill>
                    <w14:schemeClr w14:val="tx1"/>
                  </w14:solidFill>
                </w14:textFill>
              </w:rPr>
            </w:pPr>
            <w:r>
              <w:rPr>
                <w:rFonts w:hint="eastAsia" w:ascii="宋体" w:hAnsi="宋体" w:cs="微软雅黑"/>
                <w:position w:val="6"/>
                <w:sz w:val="24"/>
                <w:szCs w:val="24"/>
              </w:rPr>
              <w:t>报价</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价格分采用低价优先法计算，即满足采购文件要求且投标价格最低的投标报价为评标基准价。</w:t>
            </w:r>
          </w:p>
          <w:p>
            <w:pPr>
              <w:shd w:val="clear" w:color="auto" w:fill="FFFFFF"/>
              <w:spacing w:line="360" w:lineRule="auto"/>
              <w:ind w:firstLine="480" w:firstLineChars="200"/>
              <w:rPr>
                <w:sz w:val="24"/>
                <w:szCs w:val="24"/>
              </w:rPr>
            </w:pPr>
            <w:r>
              <w:rPr>
                <w:rFonts w:hint="eastAsia" w:ascii="宋体" w:hAnsi="宋体" w:cs="微软雅黑"/>
                <w:position w:val="6"/>
                <w:sz w:val="24"/>
                <w:szCs w:val="24"/>
              </w:rPr>
              <w:t>投标报价得分=（评标基准价/投标报价）*40分，小数点后保留两位。</w:t>
            </w:r>
          </w:p>
        </w:tc>
        <w:tc>
          <w:tcPr>
            <w:tcW w:w="94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微软雅黑"/>
                <w:position w:val="6"/>
                <w:sz w:val="24"/>
                <w:szCs w:val="24"/>
              </w:rPr>
              <w:t>4</w:t>
            </w:r>
            <w:r>
              <w:rPr>
                <w:rFonts w:ascii="宋体" w:hAnsi="宋体" w:cs="微软雅黑"/>
                <w:position w:val="6"/>
                <w:sz w:val="24"/>
                <w:szCs w:val="24"/>
              </w:rPr>
              <w:t>0</w:t>
            </w:r>
            <w:r>
              <w:rPr>
                <w:rFonts w:hint="eastAsia" w:ascii="宋体" w:hAnsi="宋体" w:cs="微软雅黑"/>
                <w:position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p>
        </w:tc>
        <w:tc>
          <w:tcPr>
            <w:tcW w:w="152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宋体"/>
                <w:bCs/>
                <w:sz w:val="24"/>
                <w:szCs w:val="24"/>
              </w:rPr>
              <w:t>技术参数响应</w:t>
            </w:r>
          </w:p>
        </w:tc>
        <w:tc>
          <w:tcPr>
            <w:tcW w:w="5899" w:type="dxa"/>
            <w:vAlign w:val="center"/>
          </w:tcPr>
          <w:p>
            <w:pPr>
              <w:spacing w:line="360" w:lineRule="auto"/>
              <w:ind w:firstLine="480" w:firstLineChars="200"/>
              <w:rPr>
                <w:sz w:val="24"/>
                <w:szCs w:val="24"/>
              </w:rPr>
            </w:pPr>
            <w:r>
              <w:rPr>
                <w:rFonts w:hint="eastAsia"/>
                <w:sz w:val="24"/>
                <w:szCs w:val="24"/>
              </w:rPr>
              <w:t>1、投标人所投货物完全响应或正偏离招标文件货物技术参数要求的得38分；打★号为实质性要求，不满足（负偏离）按废标处理；打▲号为重要指标，有一项负偏离扣3分；其他技术参数，有一项负偏离扣1分；扣完为止。</w:t>
            </w:r>
          </w:p>
          <w:p>
            <w:pPr>
              <w:spacing w:line="360" w:lineRule="auto"/>
              <w:ind w:firstLine="480" w:firstLineChars="200"/>
              <w:rPr>
                <w:sz w:val="24"/>
                <w:szCs w:val="24"/>
              </w:rPr>
            </w:pPr>
            <w:r>
              <w:rPr>
                <w:rFonts w:hint="eastAsia"/>
                <w:sz w:val="24"/>
                <w:szCs w:val="24"/>
              </w:rPr>
              <w:t>注：（1）以上“技术参数”响应情况均须在投标文件《投标产品技术参数偏离表》中逐条表述清楚，如表述不清，则按不满足（负偏离）处理。</w:t>
            </w:r>
          </w:p>
          <w:p>
            <w:pPr>
              <w:shd w:val="clear" w:color="auto" w:fill="FFFFFF"/>
              <w:spacing w:line="360" w:lineRule="auto"/>
              <w:rPr>
                <w:sz w:val="24"/>
                <w:szCs w:val="24"/>
              </w:rPr>
            </w:pPr>
            <w:r>
              <w:rPr>
                <w:rFonts w:hint="eastAsia"/>
                <w:sz w:val="24"/>
                <w:szCs w:val="24"/>
              </w:rPr>
              <w:t>（2）招标文件中要求提供证明材料的参数指标，按照文件要求提供相关证明材料，并按照顺序排列、制作，便于评委评分，未按照要求提供材料的、提供的材料模糊不清无法辨认的，则按不满足（负偏离）处理。</w:t>
            </w:r>
          </w:p>
          <w:p>
            <w:pPr>
              <w:shd w:val="clear" w:color="auto" w:fill="FFFFFF"/>
              <w:spacing w:line="360" w:lineRule="auto"/>
              <w:ind w:firstLine="240" w:firstLineChars="100"/>
              <w:rPr>
                <w:sz w:val="24"/>
                <w:szCs w:val="24"/>
              </w:rPr>
            </w:pPr>
            <w:r>
              <w:rPr>
                <w:rFonts w:hint="eastAsia"/>
                <w:sz w:val="24"/>
                <w:szCs w:val="24"/>
              </w:rPr>
              <w:t>2、投标产品品牌选用招标参考品牌的，得1分；若选用非招标参考品牌，需提供相当于或优于招标参考品牌产品质量的相关佐证材料，经评审专家认可后得1分；未提供相关佐证材料或非招标参考品牌佐证材料提供不全的，不予得分。</w:t>
            </w:r>
          </w:p>
          <w:p>
            <w:pPr>
              <w:pStyle w:val="9"/>
              <w:ind w:left="420" w:firstLine="0" w:firstLineChars="0"/>
              <w:rPr>
                <w:sz w:val="24"/>
                <w:szCs w:val="24"/>
              </w:rPr>
            </w:pPr>
            <w:r>
              <w:rPr>
                <w:rFonts w:hint="eastAsia" w:ascii="Times New Roman" w:eastAsia="宋体"/>
                <w:sz w:val="24"/>
                <w:szCs w:val="24"/>
              </w:rPr>
              <w:t>3、对投标产品的知名度、市场占有率、影响力及</w:t>
            </w:r>
          </w:p>
          <w:p>
            <w:pPr>
              <w:pStyle w:val="9"/>
              <w:ind w:firstLine="0" w:firstLineChars="0"/>
              <w:rPr>
                <w:rFonts w:eastAsia="黑体"/>
              </w:rPr>
            </w:pPr>
            <w:r>
              <w:rPr>
                <w:rFonts w:hint="eastAsia" w:ascii="Times New Roman" w:eastAsia="宋体"/>
                <w:sz w:val="24"/>
                <w:szCs w:val="24"/>
              </w:rPr>
              <w:t>产品先进性、可靠新、稳定性等方面进行综合评价，评分区间0.1-1分。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9"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c>
          <w:tcPr>
            <w:tcW w:w="1526" w:type="dxa"/>
            <w:vAlign w:val="center"/>
          </w:tcPr>
          <w:p>
            <w:pPr>
              <w:spacing w:line="360" w:lineRule="auto"/>
              <w:jc w:val="center"/>
              <w:rPr>
                <w:color w:val="000000" w:themeColor="text1"/>
                <w:kern w:val="0"/>
                <w:sz w:val="24"/>
                <w:szCs w:val="24"/>
                <w14:textFill>
                  <w14:solidFill>
                    <w14:schemeClr w14:val="tx1"/>
                  </w14:solidFill>
                </w14:textFill>
              </w:rPr>
            </w:pPr>
            <w:r>
              <w:rPr>
                <w:rFonts w:hint="eastAsia" w:ascii="宋体" w:hAnsi="宋体" w:cs="微软雅黑"/>
                <w:position w:val="6"/>
                <w:sz w:val="24"/>
                <w:szCs w:val="24"/>
                <w:lang w:val="zh-CN"/>
              </w:rPr>
              <w:t>投标人业绩</w:t>
            </w:r>
          </w:p>
        </w:tc>
        <w:tc>
          <w:tcPr>
            <w:tcW w:w="5899" w:type="dxa"/>
            <w:vAlign w:val="center"/>
          </w:tcPr>
          <w:p>
            <w:pPr>
              <w:shd w:val="clear" w:color="auto" w:fill="FFFFFF"/>
              <w:spacing w:line="360" w:lineRule="auto"/>
              <w:ind w:firstLine="480" w:firstLineChars="200"/>
            </w:pPr>
            <w:r>
              <w:rPr>
                <w:rFonts w:hint="eastAsia"/>
                <w:sz w:val="24"/>
                <w:szCs w:val="24"/>
              </w:rPr>
              <w:t>投标人自2019年1月1日以来（以合同签订时间为准），投标人承接过类似项目（作品展陈柜）业绩的，有一个得2分，最多得10分（</w:t>
            </w:r>
            <w:r>
              <w:rPr>
                <w:rFonts w:hint="eastAsia"/>
                <w:b/>
                <w:bCs/>
                <w:sz w:val="24"/>
                <w:szCs w:val="24"/>
              </w:rPr>
              <w:t>以合同原件为准</w:t>
            </w:r>
            <w:r>
              <w:rPr>
                <w:rFonts w:hint="eastAsia"/>
                <w:sz w:val="24"/>
                <w:szCs w:val="24"/>
              </w:rPr>
              <w:t>，否则不得分）。</w:t>
            </w:r>
          </w:p>
        </w:tc>
        <w:tc>
          <w:tcPr>
            <w:tcW w:w="94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jc w:val="center"/>
        </w:trPr>
        <w:tc>
          <w:tcPr>
            <w:tcW w:w="682"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p>
        </w:tc>
        <w:tc>
          <w:tcPr>
            <w:tcW w:w="152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实施组织方案及售后服务</w:t>
            </w:r>
          </w:p>
        </w:tc>
        <w:tc>
          <w:tcPr>
            <w:tcW w:w="5899" w:type="dxa"/>
            <w:vAlign w:val="center"/>
          </w:tcPr>
          <w:p>
            <w:pPr>
              <w:spacing w:line="360" w:lineRule="auto"/>
              <w:ind w:firstLine="480" w:firstLineChars="200"/>
              <w:rPr>
                <w:sz w:val="24"/>
                <w:szCs w:val="24"/>
              </w:rPr>
            </w:pPr>
            <w:r>
              <w:rPr>
                <w:rFonts w:hint="eastAsia"/>
                <w:sz w:val="24"/>
                <w:szCs w:val="24"/>
              </w:rPr>
              <w:t>1.根据投标人提供的项目实施方案（现场安装、进度安排、质量和现场管理方案等）是否细致全面、合理、完全响应需求，技术可行性强的，由评标委员会综合评审：项目实施方案全面合理、可操作性强得3分，项目实施方案较全面合理、可操作性较强得2分，项目实施方案较为简单、可操作性较差得1分，未提供方案不得分。</w:t>
            </w:r>
          </w:p>
          <w:p>
            <w:pPr>
              <w:spacing w:line="360" w:lineRule="auto"/>
              <w:ind w:firstLine="480" w:firstLineChars="200"/>
              <w:rPr>
                <w:sz w:val="24"/>
                <w:szCs w:val="24"/>
              </w:rPr>
            </w:pPr>
            <w:r>
              <w:rPr>
                <w:rFonts w:hint="eastAsia"/>
                <w:sz w:val="24"/>
                <w:szCs w:val="24"/>
              </w:rPr>
              <w:t>2.投标单位根据自身情况为招标人提供售后服务方案（包括人员配备、响应时间、响应程度、解决问题的能力、紧急故障处理预案等，以及维护期内外的后续技术支持和维护能力）进行打分，售后服务方案全面详细、可操作性强、维护能力强得3分，售后服务方案较全面、详细、可操作性较好、维护能力较强得2分，售后服务方案较简单、可操作性较差、维护能力较差得1分，未提供售后服务方案不得分。</w:t>
            </w:r>
          </w:p>
          <w:p>
            <w:pPr>
              <w:shd w:val="clear" w:color="auto" w:fill="FFFFFF"/>
              <w:spacing w:line="360" w:lineRule="auto"/>
              <w:ind w:firstLine="480" w:firstLineChars="200"/>
              <w:rPr>
                <w:rFonts w:ascii="宋体" w:hAnsi="宋体" w:cs="微软雅黑"/>
                <w:position w:val="6"/>
                <w:sz w:val="24"/>
                <w:szCs w:val="24"/>
              </w:rPr>
            </w:pPr>
            <w:r>
              <w:rPr>
                <w:rFonts w:hint="eastAsia"/>
                <w:sz w:val="24"/>
                <w:szCs w:val="24"/>
              </w:rPr>
              <w:t>3、</w:t>
            </w:r>
            <w:r>
              <w:rPr>
                <w:rFonts w:hint="eastAsia" w:cs="宋体"/>
                <w:sz w:val="24"/>
                <w:szCs w:val="24"/>
              </w:rPr>
              <w:t>产品免费质保期为1年</w:t>
            </w:r>
            <w:r>
              <w:rPr>
                <w:rFonts w:cs="宋体"/>
                <w:sz w:val="24"/>
                <w:szCs w:val="24"/>
              </w:rPr>
              <w:t>。达到此要求的基础上，每延长1年，加</w:t>
            </w:r>
            <w:r>
              <w:rPr>
                <w:rFonts w:hint="eastAsia" w:cs="宋体"/>
                <w:sz w:val="24"/>
                <w:szCs w:val="24"/>
              </w:rPr>
              <w:t>2</w:t>
            </w:r>
            <w:r>
              <w:rPr>
                <w:rFonts w:cs="宋体"/>
                <w:sz w:val="24"/>
                <w:szCs w:val="24"/>
              </w:rPr>
              <w:t>分，最多得4分。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10分</w:t>
            </w:r>
          </w:p>
        </w:tc>
      </w:tr>
    </w:tbl>
    <w:p/>
    <w:p>
      <w:pPr>
        <w:pStyle w:val="53"/>
        <w:spacing w:line="360" w:lineRule="auto"/>
        <w:ind w:left="919" w:leftChars="208" w:hanging="482" w:hangingChars="200"/>
        <w:rPr>
          <w:rFonts w:hAnsi="宋体" w:cs="宋体"/>
          <w:b/>
          <w:bCs/>
          <w:kern w:val="2"/>
          <w:sz w:val="24"/>
          <w:szCs w:val="24"/>
        </w:rPr>
      </w:pPr>
      <w:r>
        <w:rPr>
          <w:rFonts w:hint="eastAsia" w:hAnsi="宋体" w:cs="宋体"/>
          <w:b/>
          <w:bCs/>
          <w:kern w:val="2"/>
          <w:sz w:val="24"/>
          <w:szCs w:val="24"/>
        </w:rPr>
        <w:t>注：评审中招标文件要求提供原件的必须按所投标段单独封装并与投标文件一</w:t>
      </w:r>
    </w:p>
    <w:p>
      <w:pPr>
        <w:pStyle w:val="53"/>
        <w:spacing w:line="360" w:lineRule="auto"/>
        <w:rPr>
          <w:rFonts w:hAnsi="宋体" w:cs="宋体"/>
          <w:kern w:val="2"/>
          <w:sz w:val="24"/>
          <w:szCs w:val="24"/>
        </w:rPr>
      </w:pPr>
      <w:r>
        <w:rPr>
          <w:rFonts w:hint="eastAsia" w:hAnsi="宋体" w:cs="宋体"/>
          <w:b/>
          <w:bCs/>
          <w:kern w:val="2"/>
          <w:sz w:val="24"/>
          <w:szCs w:val="24"/>
        </w:rPr>
        <w:t>起递交，评标结束后原件退回；未要求提供原件的提供复印件，原件自带备查。</w:t>
      </w:r>
    </w:p>
    <w:p>
      <w:pPr>
        <w:ind w:right="884" w:firstLine="1192" w:firstLineChars="298"/>
        <w:rPr>
          <w:rFonts w:eastAsia="黑体"/>
          <w:color w:val="000000" w:themeColor="text1"/>
          <w:sz w:val="40"/>
          <w:szCs w:val="40"/>
          <w14:textFill>
            <w14:solidFill>
              <w14:schemeClr w14:val="tx1"/>
            </w14:solidFill>
          </w14:textFill>
        </w:rPr>
      </w:pPr>
      <w:bookmarkStart w:id="133" w:name="_Toc108021877"/>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r>
        <w:rPr>
          <w:rFonts w:hint="eastAsia" w:eastAsia="黑体"/>
          <w:color w:val="000000" w:themeColor="text1"/>
          <w:sz w:val="40"/>
          <w:szCs w:val="40"/>
          <w14:textFill>
            <w14:solidFill>
              <w14:schemeClr w14:val="tx1"/>
            </w14:solidFill>
          </w14:textFill>
        </w:rPr>
        <w:t xml:space="preserve"> </w:t>
      </w: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r>
        <w:rPr>
          <w:rFonts w:eastAsia="黑体"/>
          <w:color w:val="000000" w:themeColor="text1"/>
          <w:sz w:val="40"/>
          <w:szCs w:val="40"/>
          <w14:textFill>
            <w14:solidFill>
              <w14:schemeClr w14:val="tx1"/>
            </w14:solidFill>
          </w14:textFill>
        </w:rPr>
        <w:t>第六章  投标文件的组成和格式</w:t>
      </w:r>
      <w:bookmarkEnd w:id="133"/>
    </w:p>
    <w:p>
      <w:pPr>
        <w:jc w:val="center"/>
        <w:rPr>
          <w:b/>
          <w:bCs/>
          <w:color w:val="000000" w:themeColor="text1"/>
          <w:sz w:val="72"/>
          <w:szCs w:val="72"/>
          <w14:textFill>
            <w14:solidFill>
              <w14:schemeClr w14:val="tx1"/>
            </w14:solidFill>
          </w14:textFill>
        </w:rPr>
      </w:pPr>
    </w:p>
    <w:p>
      <w:pPr>
        <w:jc w:val="center"/>
        <w:rPr>
          <w:b/>
          <w:bCs/>
          <w:color w:val="000000" w:themeColor="text1"/>
          <w:sz w:val="72"/>
          <w:szCs w:val="72"/>
          <w14:textFill>
            <w14:solidFill>
              <w14:schemeClr w14:val="tx1"/>
            </w14:solidFill>
          </w14:textFill>
        </w:rPr>
      </w:pPr>
      <w:r>
        <w:rPr>
          <w:b/>
          <w:bCs/>
          <w:color w:val="000000" w:themeColor="text1"/>
          <w:sz w:val="72"/>
          <w:szCs w:val="72"/>
          <w14:textFill>
            <w14:solidFill>
              <w14:schemeClr w14:val="tx1"/>
            </w14:solidFill>
          </w14:textFill>
        </w:rPr>
        <w:t>投标文件</w:t>
      </w:r>
    </w:p>
    <w:p>
      <w:pPr>
        <w:adjustRightInd w:val="0"/>
        <w:spacing w:before="120" w:after="120" w:line="360" w:lineRule="auto"/>
        <w:jc w:val="center"/>
        <w:textAlignment w:val="baseline"/>
        <w:rPr>
          <w:b/>
          <w:bCs/>
          <w:color w:val="000000" w:themeColor="text1"/>
          <w:kern w:val="0"/>
          <w:sz w:val="32"/>
          <w:szCs w:val="32"/>
          <w14:textFill>
            <w14:solidFill>
              <w14:schemeClr w14:val="tx1"/>
            </w14:solidFill>
          </w14:textFill>
        </w:rPr>
      </w:pPr>
    </w:p>
    <w:p>
      <w:pPr>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（正或副本）</w:t>
      </w:r>
    </w:p>
    <w:p>
      <w:pPr>
        <w:ind w:firstLine="1084"/>
        <w:rPr>
          <w:b/>
          <w:bCs/>
          <w:color w:val="000000" w:themeColor="text1"/>
          <w:sz w:val="36"/>
          <w:szCs w:val="36"/>
          <w14:textFill>
            <w14:solidFill>
              <w14:schemeClr w14:val="tx1"/>
            </w14:solidFill>
          </w14:textFill>
        </w:rPr>
      </w:pPr>
    </w:p>
    <w:p>
      <w:pPr>
        <w:ind w:firstLine="1084"/>
        <w:rPr>
          <w:b/>
          <w:bCs/>
          <w:color w:val="000000" w:themeColor="text1"/>
          <w:sz w:val="36"/>
          <w:szCs w:val="36"/>
          <w14:textFill>
            <w14:solidFill>
              <w14:schemeClr w14:val="tx1"/>
            </w14:solidFill>
          </w14:textFill>
        </w:rPr>
      </w:pPr>
    </w:p>
    <w:p>
      <w:pPr>
        <w:spacing w:before="323" w:beforeLines="100" w:after="323" w:afterLines="100"/>
        <w:ind w:firstLine="1083"/>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项 目 名 称：</w:t>
      </w:r>
    </w:p>
    <w:p>
      <w:pPr>
        <w:spacing w:before="323" w:beforeLines="100" w:after="323" w:afterLines="100"/>
        <w:ind w:firstLine="1083"/>
        <w:rPr>
          <w:b/>
          <w:bCs/>
          <w:color w:val="000000" w:themeColor="text1"/>
          <w:sz w:val="36"/>
          <w:szCs w:val="36"/>
          <w:u w:val="single"/>
          <w14:textFill>
            <w14:solidFill>
              <w14:schemeClr w14:val="tx1"/>
            </w14:solidFill>
          </w14:textFill>
        </w:rPr>
      </w:pPr>
      <w:r>
        <w:rPr>
          <w:b/>
          <w:bCs/>
          <w:color w:val="000000" w:themeColor="text1"/>
          <w:sz w:val="36"/>
          <w:szCs w:val="36"/>
          <w14:textFill>
            <w14:solidFill>
              <w14:schemeClr w14:val="tx1"/>
            </w14:solidFill>
          </w14:textFill>
        </w:rPr>
        <w:t>项 目 编 号：</w:t>
      </w:r>
    </w:p>
    <w:p>
      <w:pPr>
        <w:spacing w:before="323" w:beforeLines="100" w:after="323" w:afterLines="100"/>
        <w:ind w:firstLine="1083"/>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投标供应商名称：</w:t>
      </w:r>
    </w:p>
    <w:p>
      <w:pPr>
        <w:spacing w:before="323" w:beforeLines="100" w:after="323" w:afterLines="100"/>
        <w:ind w:firstLine="1083"/>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日       期：</w:t>
      </w:r>
    </w:p>
    <w:p>
      <w:pPr>
        <w:spacing w:line="440" w:lineRule="exact"/>
        <w:jc w:val="center"/>
        <w:rPr>
          <w:b/>
          <w:bCs/>
          <w:color w:val="000000" w:themeColor="text1"/>
          <w:sz w:val="28"/>
          <w:szCs w:val="28"/>
          <w14:textFill>
            <w14:solidFill>
              <w14:schemeClr w14:val="tx1"/>
            </w14:solidFill>
          </w14:textFill>
        </w:rPr>
      </w:pPr>
    </w:p>
    <w:p>
      <w:pPr>
        <w:spacing w:line="440" w:lineRule="exact"/>
        <w:jc w:val="center"/>
        <w:rPr>
          <w:b/>
          <w:bCs/>
          <w:color w:val="000000" w:themeColor="text1"/>
          <w:sz w:val="28"/>
          <w:szCs w:val="28"/>
          <w14:textFill>
            <w14:solidFill>
              <w14:schemeClr w14:val="tx1"/>
            </w14:solidFill>
          </w14:textFill>
        </w:rPr>
      </w:pPr>
    </w:p>
    <w:p>
      <w:pPr>
        <w:pStyle w:val="27"/>
        <w:rPr>
          <w:b/>
          <w:bCs/>
          <w:color w:val="000000" w:themeColor="text1"/>
          <w:sz w:val="28"/>
          <w:szCs w:val="28"/>
          <w14:textFill>
            <w14:solidFill>
              <w14:schemeClr w14:val="tx1"/>
            </w14:solidFill>
          </w14:textFill>
        </w:rPr>
      </w:pPr>
    </w:p>
    <w:p>
      <w:pPr>
        <w:pStyle w:val="27"/>
        <w:rPr>
          <w:b/>
          <w:bCs/>
          <w:color w:val="000000" w:themeColor="text1"/>
          <w:sz w:val="28"/>
          <w:szCs w:val="28"/>
          <w14:textFill>
            <w14:solidFill>
              <w14:schemeClr w14:val="tx1"/>
            </w14:solidFill>
          </w14:textFill>
        </w:rPr>
      </w:pPr>
    </w:p>
    <w:p>
      <w:pPr>
        <w:pStyle w:val="27"/>
        <w:rPr>
          <w:b/>
          <w:bCs/>
          <w:color w:val="000000" w:themeColor="text1"/>
          <w:sz w:val="28"/>
          <w:szCs w:val="28"/>
          <w14:textFill>
            <w14:solidFill>
              <w14:schemeClr w14:val="tx1"/>
            </w14:solidFill>
          </w14:textFill>
        </w:rPr>
      </w:pPr>
    </w:p>
    <w:p>
      <w:pPr>
        <w:widowControl/>
        <w:jc w:val="left"/>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p>
      <w:pPr>
        <w:spacing w:line="480" w:lineRule="exact"/>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投标文件主要目录</w:t>
      </w: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一、资信证明文件要求</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二、资格性审查响应对照表</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三、符合性检查响应对照表</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四、投标函</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五、开标一览表</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六、技术参数响应及偏离表</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七、商务条款响应及偏离表</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w:t>
      </w:r>
      <w:r>
        <w:rPr>
          <w:color w:val="000000" w:themeColor="text1"/>
          <w:sz w:val="24"/>
          <w:szCs w:val="24"/>
          <w14:textFill>
            <w14:solidFill>
              <w14:schemeClr w14:val="tx1"/>
            </w14:solidFill>
          </w14:textFill>
        </w:rPr>
        <w:t>、盐城市政府采购事前信用承诺书</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九、承诺书</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w:t>
      </w:r>
      <w:r>
        <w:rPr>
          <w:color w:val="000000" w:themeColor="text1"/>
          <w:sz w:val="24"/>
          <w:szCs w:val="24"/>
          <w14:textFill>
            <w14:solidFill>
              <w14:schemeClr w14:val="tx1"/>
            </w14:solidFill>
          </w14:textFill>
        </w:rPr>
        <w:t>、投标文件中规定要求提供的材料或投标供应商认为需要提供的其他材料</w:t>
      </w:r>
    </w:p>
    <w:p>
      <w:pPr>
        <w:pStyle w:val="12"/>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pacing w:line="500" w:lineRule="exact"/>
        <w:jc w:val="center"/>
        <w:rPr>
          <w:rFonts w:ascii="宋体"/>
          <w:b/>
          <w:sz w:val="24"/>
          <w:szCs w:val="24"/>
        </w:rPr>
      </w:pPr>
      <w:r>
        <w:rPr>
          <w:rFonts w:hint="eastAsia" w:ascii="宋体" w:hAnsi="宋体"/>
          <w:b/>
          <w:sz w:val="24"/>
          <w:szCs w:val="24"/>
        </w:rPr>
        <w:t>评分索引表</w:t>
      </w:r>
    </w:p>
    <w:tbl>
      <w:tblPr>
        <w:tblStyle w:val="25"/>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jc w:val="center"/>
              <w:rPr>
                <w:rFonts w:ascii="宋体"/>
                <w:b/>
                <w:bCs/>
                <w:szCs w:val="24"/>
                <w:lang w:eastAsia="zh-CN"/>
              </w:rPr>
            </w:pPr>
            <w:r>
              <w:rPr>
                <w:rFonts w:hint="eastAsia" w:ascii="宋体" w:hAnsi="宋体"/>
                <w:b/>
                <w:szCs w:val="24"/>
              </w:rPr>
              <w:t>评分项目</w:t>
            </w:r>
          </w:p>
        </w:tc>
        <w:tc>
          <w:tcPr>
            <w:tcW w:w="3570" w:type="dxa"/>
          </w:tcPr>
          <w:p>
            <w:pPr>
              <w:spacing w:line="500" w:lineRule="exact"/>
              <w:jc w:val="center"/>
              <w:rPr>
                <w:rFonts w:ascii="宋体"/>
                <w:b/>
                <w:sz w:val="24"/>
                <w:szCs w:val="24"/>
              </w:rPr>
            </w:pPr>
            <w:r>
              <w:rPr>
                <w:rFonts w:hint="eastAsia" w:ascii="宋体" w:hAnsi="宋体"/>
                <w:b/>
                <w:kern w:val="0"/>
                <w:sz w:val="24"/>
                <w:szCs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5670" w:type="dxa"/>
          </w:tcPr>
          <w:p>
            <w:pPr>
              <w:pStyle w:val="57"/>
              <w:shd w:val="clear" w:color="auto" w:fill="FFFFFF"/>
              <w:spacing w:line="500" w:lineRule="exact"/>
              <w:ind w:left="420"/>
              <w:jc w:val="both"/>
              <w:rPr>
                <w:rFonts w:ascii="宋体"/>
                <w:b/>
                <w:szCs w:val="24"/>
                <w:lang w:eastAsia="zh-CN"/>
              </w:rPr>
            </w:pPr>
          </w:p>
        </w:tc>
        <w:tc>
          <w:tcPr>
            <w:tcW w:w="3570" w:type="dxa"/>
          </w:tcPr>
          <w:p>
            <w:pPr>
              <w:spacing w:line="500" w:lineRule="exact"/>
              <w:rPr>
                <w:rFonts w:ascii="宋体"/>
                <w:b/>
                <w:kern w:val="0"/>
                <w:sz w:val="24"/>
                <w:szCs w:val="24"/>
              </w:rPr>
            </w:pPr>
          </w:p>
        </w:tc>
      </w:tr>
      <w:tr>
        <w:tblPrEx>
          <w:tblLayout w:type="fixed"/>
          <w:tblCellMar>
            <w:top w:w="0" w:type="dxa"/>
            <w:left w:w="108" w:type="dxa"/>
            <w:bottom w:w="0" w:type="dxa"/>
            <w:right w:w="108" w:type="dxa"/>
          </w:tblCellMar>
        </w:tblPrEx>
        <w:trPr>
          <w:trHeight w:val="300" w:hRule="atLeast"/>
          <w:jc w:val="center"/>
        </w:trPr>
        <w:tc>
          <w:tcPr>
            <w:tcW w:w="9240" w:type="dxa"/>
            <w:gridSpan w:val="2"/>
          </w:tcPr>
          <w:p>
            <w:pPr>
              <w:pStyle w:val="57"/>
              <w:shd w:val="clear" w:color="auto" w:fill="FFFFFF"/>
              <w:spacing w:line="500" w:lineRule="exac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9240" w:type="dxa"/>
            <w:gridSpan w:val="2"/>
          </w:tcPr>
          <w:p>
            <w:pPr>
              <w:pStyle w:val="57"/>
              <w:shd w:val="clear" w:color="auto" w:fill="FFFFFF"/>
              <w:spacing w:line="500" w:lineRule="exac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9240" w:type="dxa"/>
            <w:gridSpan w:val="2"/>
          </w:tcPr>
          <w:p>
            <w:pPr>
              <w:pStyle w:val="57"/>
              <w:shd w:val="clear" w:color="auto" w:fill="FFFFFF"/>
              <w:spacing w:line="500" w:lineRule="exac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b/>
                <w:bCs/>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b/>
                <w:bCs/>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9240" w:type="dxa"/>
            <w:gridSpan w:val="2"/>
          </w:tcPr>
          <w:p>
            <w:pPr>
              <w:pStyle w:val="57"/>
              <w:shd w:val="clear" w:color="auto" w:fill="FFFFFF"/>
              <w:spacing w:line="500" w:lineRule="exac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5670" w:type="dxa"/>
          </w:tcPr>
          <w:p>
            <w:pPr>
              <w:pStyle w:val="57"/>
              <w:shd w:val="clear" w:color="auto" w:fill="FFFFFF"/>
              <w:spacing w:line="500" w:lineRule="exact"/>
              <w:ind w:left="0" w:firstLine="480" w:firstLineChars="20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5670" w:type="dxa"/>
          </w:tcPr>
          <w:p>
            <w:pPr>
              <w:pStyle w:val="57"/>
              <w:shd w:val="clear" w:color="auto" w:fill="FFFFFF"/>
              <w:spacing w:line="500" w:lineRule="exact"/>
              <w:ind w:left="0" w:firstLine="480" w:firstLineChars="200"/>
              <w:rPr>
                <w:rFonts w:ascii="宋体"/>
                <w:szCs w:val="24"/>
                <w:lang w:eastAsia="zh-CN"/>
              </w:rPr>
            </w:pPr>
          </w:p>
        </w:tc>
        <w:tc>
          <w:tcPr>
            <w:tcW w:w="3570" w:type="dxa"/>
          </w:tcPr>
          <w:p>
            <w:pPr>
              <w:spacing w:line="500" w:lineRule="exact"/>
              <w:rPr>
                <w:rFonts w:ascii="宋体"/>
                <w:sz w:val="24"/>
                <w:szCs w:val="24"/>
              </w:rPr>
            </w:pPr>
          </w:p>
        </w:tc>
      </w:tr>
    </w:tbl>
    <w:p>
      <w:pPr>
        <w:spacing w:line="500" w:lineRule="exact"/>
        <w:rPr>
          <w:rFonts w:ascii="宋体"/>
          <w:sz w:val="24"/>
          <w:szCs w:val="24"/>
        </w:rPr>
      </w:pPr>
    </w:p>
    <w:p>
      <w:pPr>
        <w:widowControl/>
        <w:jc w:val="left"/>
        <w:rPr>
          <w:rFonts w:ascii="宋体"/>
          <w:sz w:val="24"/>
          <w:szCs w:val="24"/>
        </w:rPr>
      </w:pPr>
      <w:r>
        <w:rPr>
          <w:rFonts w:ascii="宋体"/>
          <w:sz w:val="24"/>
          <w:szCs w:val="24"/>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一、资信证明文件要求</w:t>
      </w:r>
    </w:p>
    <w:p>
      <w:pPr>
        <w:snapToGrid w:val="0"/>
        <w:spacing w:before="50" w:after="50" w:line="360" w:lineRule="auto"/>
        <w:rPr>
          <w:b/>
          <w:bCs/>
          <w:color w:val="000000" w:themeColor="text1"/>
          <w:sz w:val="24"/>
          <w:szCs w:val="24"/>
          <w14:textFill>
            <w14:solidFill>
              <w14:schemeClr w14:val="tx1"/>
            </w14:solidFill>
          </w14:textFill>
        </w:rPr>
      </w:pPr>
    </w:p>
    <w:p>
      <w:pPr>
        <w:snapToGrid w:val="0"/>
        <w:spacing w:line="440" w:lineRule="exact"/>
        <w:ind w:firstLine="482" w:firstLineChars="200"/>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1、实质性资格证明文件目录</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文件2  上一年度财务状况报表（复印件，成立不满一年不需提供）</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文件3  依法缴纳税收和社会保障资金的相关材料（复印件）</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文件4  具备履行合同所必需的设备和专业技术能力证明材料</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文件6 法人授权书</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440" w:lineRule="exact"/>
        <w:ind w:firstLine="480" w:firstLineChars="200"/>
        <w:rPr>
          <w:color w:val="000000" w:themeColor="text1"/>
          <w:sz w:val="24"/>
          <w:szCs w:val="24"/>
          <w14:textFill>
            <w14:solidFill>
              <w14:schemeClr w14:val="tx1"/>
            </w14:solidFill>
          </w14:textFill>
        </w:rPr>
      </w:pPr>
    </w:p>
    <w:p>
      <w:pPr>
        <w:snapToGrid w:val="0"/>
        <w:spacing w:line="440" w:lineRule="exact"/>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2、非实质性资信证明文件目录</w:t>
      </w:r>
    </w:p>
    <w:p>
      <w:pPr>
        <w:pStyle w:val="7"/>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格式1  《企业申明函》</w:t>
      </w:r>
    </w:p>
    <w:p>
      <w:pPr>
        <w:pStyle w:val="7"/>
        <w:spacing w:line="0" w:lineRule="atLeast"/>
        <w:rPr>
          <w:color w:val="000000" w:themeColor="text1"/>
          <w:sz w:val="24"/>
          <w:szCs w:val="24"/>
          <w14:textFill>
            <w14:solidFill>
              <w14:schemeClr w14:val="tx1"/>
            </w14:solidFill>
          </w14:textFill>
        </w:rPr>
      </w:pPr>
    </w:p>
    <w:p>
      <w:pPr>
        <w:pStyle w:val="7"/>
        <w:spacing w:line="0" w:lineRule="atLeast"/>
        <w:rPr>
          <w:color w:val="000000" w:themeColor="text1"/>
          <w:sz w:val="24"/>
          <w:szCs w:val="24"/>
          <w14:textFill>
            <w14:solidFill>
              <w14:schemeClr w14:val="tx1"/>
            </w14:solidFill>
          </w14:textFill>
        </w:rPr>
      </w:pPr>
    </w:p>
    <w:p>
      <w:pPr>
        <w:spacing w:line="480" w:lineRule="exact"/>
        <w:jc w:val="center"/>
        <w:rPr>
          <w:b/>
          <w:bCs/>
          <w:color w:val="000000" w:themeColor="text1"/>
          <w:sz w:val="32"/>
          <w:szCs w:val="32"/>
          <w14:textFill>
            <w14:solidFill>
              <w14:schemeClr w14:val="tx1"/>
            </w14:solidFill>
          </w14:textFill>
        </w:rPr>
      </w:pPr>
      <w:r>
        <w:rPr>
          <w:color w:val="000000" w:themeColor="text1"/>
          <w:sz w:val="24"/>
          <w:szCs w:val="24"/>
          <w14:textFill>
            <w14:solidFill>
              <w14:schemeClr w14:val="tx1"/>
            </w14:solidFill>
          </w14:textFill>
        </w:rPr>
        <w:br w:type="page"/>
      </w:r>
      <w:r>
        <w:rPr>
          <w:b/>
          <w:bCs/>
          <w:color w:val="000000" w:themeColor="text1"/>
          <w:sz w:val="32"/>
          <w:szCs w:val="32"/>
          <w14:textFill>
            <w14:solidFill>
              <w14:schemeClr w14:val="tx1"/>
            </w14:solidFill>
          </w14:textFill>
        </w:rPr>
        <w:t>具备履行合同所必需的设备和专业技术能力的书面声明</w:t>
      </w:r>
    </w:p>
    <w:p>
      <w:pPr>
        <w:spacing w:line="460" w:lineRule="exact"/>
        <w:ind w:firstLine="492"/>
        <w:rPr>
          <w:color w:val="000000" w:themeColor="text1"/>
          <w:sz w:val="24"/>
          <w:szCs w:val="24"/>
          <w14:textFill>
            <w14:solidFill>
              <w14:schemeClr w14:val="tx1"/>
            </w14:solidFill>
          </w14:textFill>
        </w:rPr>
      </w:pPr>
    </w:p>
    <w:p>
      <w:pPr>
        <w:spacing w:line="4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主要设备有：。</w:t>
      </w:r>
    </w:p>
    <w:p>
      <w:pPr>
        <w:spacing w:line="460" w:lineRule="exact"/>
        <w:ind w:firstLine="4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主要专业技术能力有：。</w:t>
      </w:r>
    </w:p>
    <w:p>
      <w:pPr>
        <w:spacing w:line="460" w:lineRule="exact"/>
        <w:ind w:firstLine="492"/>
        <w:rPr>
          <w:color w:val="000000" w:themeColor="text1"/>
          <w:sz w:val="24"/>
          <w:szCs w:val="24"/>
          <w14:textFill>
            <w14:solidFill>
              <w14:schemeClr w14:val="tx1"/>
            </w14:solidFill>
          </w14:textFill>
        </w:rPr>
      </w:pPr>
    </w:p>
    <w:p>
      <w:pPr>
        <w:spacing w:line="460" w:lineRule="exact"/>
        <w:ind w:firstLine="492"/>
        <w:rPr>
          <w:color w:val="000000" w:themeColor="text1"/>
          <w:sz w:val="24"/>
          <w:szCs w:val="24"/>
          <w14:textFill>
            <w14:solidFill>
              <w14:schemeClr w14:val="tx1"/>
            </w14:solidFill>
          </w14:textFill>
        </w:rPr>
      </w:pPr>
    </w:p>
    <w:p>
      <w:pPr>
        <w:spacing w:line="460" w:lineRule="exact"/>
        <w:ind w:firstLine="492"/>
        <w:rPr>
          <w:color w:val="000000" w:themeColor="text1"/>
          <w:sz w:val="24"/>
          <w:szCs w:val="24"/>
          <w14:textFill>
            <w14:solidFill>
              <w14:schemeClr w14:val="tx1"/>
            </w14:solidFill>
          </w14:textFill>
        </w:rPr>
      </w:pP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供应商名称（公章）：</w:t>
      </w:r>
    </w:p>
    <w:p>
      <w:pPr>
        <w:spacing w:line="460" w:lineRule="exact"/>
        <w:rPr>
          <w:color w:val="000000" w:themeColor="text1"/>
          <w:sz w:val="24"/>
          <w:szCs w:val="24"/>
          <w14:textFill>
            <w14:solidFill>
              <w14:schemeClr w14:val="tx1"/>
            </w14:solidFill>
          </w14:textFill>
        </w:rPr>
      </w:pP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日期：</w:t>
      </w:r>
      <w:r>
        <w:rPr>
          <w:color w:val="000000" w:themeColor="text1"/>
          <w:sz w:val="24"/>
          <w:szCs w:val="24"/>
          <w:u w:val="single"/>
          <w14:textFill>
            <w14:solidFill>
              <w14:schemeClr w14:val="tx1"/>
            </w14:solidFill>
          </w14:textFill>
        </w:rPr>
        <w:t>______</w:t>
      </w:r>
      <w:r>
        <w:rPr>
          <w:color w:val="000000" w:themeColor="text1"/>
          <w:sz w:val="24"/>
          <w:szCs w:val="24"/>
          <w14:textFill>
            <w14:solidFill>
              <w14:schemeClr w14:val="tx1"/>
            </w14:solidFill>
          </w14:textFill>
        </w:rPr>
        <w:t>年月日</w:t>
      </w:r>
    </w:p>
    <w:p>
      <w:pPr>
        <w:pStyle w:val="7"/>
        <w:ind w:firstLine="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480" w:lineRule="exact"/>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参加政府采购活动前3年内在经营活动中没有重大违法记录的书面声明</w:t>
      </w:r>
    </w:p>
    <w:p>
      <w:pPr>
        <w:spacing w:line="460" w:lineRule="exact"/>
        <w:rPr>
          <w:b/>
          <w:bCs/>
          <w:color w:val="000000" w:themeColor="text1"/>
          <w:sz w:val="44"/>
          <w:szCs w:val="44"/>
          <w14:textFill>
            <w14:solidFill>
              <w14:schemeClr w14:val="tx1"/>
            </w14:solidFill>
          </w14:textFill>
        </w:rPr>
      </w:pPr>
    </w:p>
    <w:p>
      <w:pPr>
        <w:spacing w:line="460" w:lineRule="exact"/>
        <w:jc w:val="center"/>
        <w:rPr>
          <w:b/>
          <w:bCs/>
          <w:color w:val="000000" w:themeColor="text1"/>
          <w:sz w:val="44"/>
          <w:szCs w:val="44"/>
          <w14:textFill>
            <w14:solidFill>
              <w14:schemeClr w14:val="tx1"/>
            </w14:solidFill>
          </w14:textFill>
        </w:rPr>
      </w:pPr>
      <w:r>
        <w:rPr>
          <w:b/>
          <w:bCs/>
          <w:color w:val="000000" w:themeColor="text1"/>
          <w:sz w:val="44"/>
          <w:szCs w:val="44"/>
          <w14:textFill>
            <w14:solidFill>
              <w14:schemeClr w14:val="tx1"/>
            </w14:solidFill>
          </w14:textFill>
        </w:rPr>
        <w:t>声  明</w:t>
      </w:r>
    </w:p>
    <w:p>
      <w:pPr>
        <w:spacing w:line="4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pStyle w:val="27"/>
      </w:pPr>
    </w:p>
    <w:p>
      <w:pPr>
        <w:pStyle w:val="27"/>
      </w:pP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供应商名称（公章）：</w:t>
      </w: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授权代表签字：</w:t>
      </w:r>
      <w:r>
        <w:rPr>
          <w:color w:val="000000" w:themeColor="text1"/>
          <w:sz w:val="24"/>
          <w:szCs w:val="24"/>
          <w:u w:val="single"/>
          <w14:textFill>
            <w14:solidFill>
              <w14:schemeClr w14:val="tx1"/>
            </w14:solidFill>
          </w14:textFill>
        </w:rPr>
        <w:t>_________________</w:t>
      </w: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日期：</w:t>
      </w:r>
      <w:r>
        <w:rPr>
          <w:color w:val="000000" w:themeColor="text1"/>
          <w:sz w:val="24"/>
          <w:szCs w:val="24"/>
          <w:u w:val="single"/>
          <w14:textFill>
            <w14:solidFill>
              <w14:schemeClr w14:val="tx1"/>
            </w14:solidFill>
          </w14:textFill>
        </w:rPr>
        <w:t>______</w:t>
      </w:r>
      <w:r>
        <w:rPr>
          <w:color w:val="000000" w:themeColor="text1"/>
          <w:sz w:val="24"/>
          <w:szCs w:val="24"/>
          <w14:textFill>
            <w14:solidFill>
              <w14:schemeClr w14:val="tx1"/>
            </w14:solidFill>
          </w14:textFill>
        </w:rPr>
        <w:t>年月日</w:t>
      </w:r>
    </w:p>
    <w:p>
      <w:pPr>
        <w:spacing w:line="460" w:lineRule="exact"/>
        <w:rPr>
          <w:color w:val="000000" w:themeColor="text1"/>
          <w:sz w:val="24"/>
          <w:szCs w:val="24"/>
          <w14:textFill>
            <w14:solidFill>
              <w14:schemeClr w14:val="tx1"/>
            </w14:solidFill>
          </w14:textFill>
        </w:rPr>
      </w:pPr>
    </w:p>
    <w:p>
      <w:pPr>
        <w:spacing w:line="460" w:lineRule="exact"/>
        <w:rPr>
          <w:color w:val="000000" w:themeColor="text1"/>
          <w:sz w:val="24"/>
          <w:szCs w:val="24"/>
          <w14:textFill>
            <w14:solidFill>
              <w14:schemeClr w14:val="tx1"/>
            </w14:solidFill>
          </w14:textFill>
        </w:rPr>
      </w:pPr>
    </w:p>
    <w:p>
      <w:pPr>
        <w:pStyle w:val="27"/>
      </w:pPr>
      <w:r>
        <w:br w:type="page"/>
      </w:r>
    </w:p>
    <w:p>
      <w:pPr>
        <w:spacing w:line="480" w:lineRule="exact"/>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法人授权书</w:t>
      </w:r>
    </w:p>
    <w:p>
      <w:pPr>
        <w:pStyle w:val="47"/>
        <w:spacing w:line="600" w:lineRule="auto"/>
        <w:ind w:firstLine="480"/>
        <w:rPr>
          <w:color w:val="000000" w:themeColor="text1"/>
          <w:sz w:val="24"/>
          <w:szCs w:val="24"/>
          <w14:textFill>
            <w14:solidFill>
              <w14:schemeClr w14:val="tx1"/>
            </w14:solidFill>
          </w14:textFill>
        </w:rPr>
      </w:pPr>
    </w:p>
    <w:p>
      <w:pPr>
        <w:pStyle w:val="47"/>
        <w:spacing w:line="60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本授权书声明：____________（供应商名称）授权________________（被授权人的姓名）为我方就</w:t>
      </w:r>
      <w:r>
        <w:rPr>
          <w:rFonts w:hint="eastAsia"/>
          <w:color w:val="000000" w:themeColor="text1"/>
          <w:sz w:val="24"/>
          <w:szCs w:val="24"/>
          <w:u w:val="single"/>
          <w14:textFill>
            <w14:solidFill>
              <w14:schemeClr w14:val="tx1"/>
            </w14:solidFill>
          </w14:textFill>
        </w:rPr>
        <w:t>YCYZ2022HW005</w:t>
      </w:r>
      <w:r>
        <w:rPr>
          <w:color w:val="000000" w:themeColor="text1"/>
          <w:sz w:val="24"/>
          <w:szCs w:val="24"/>
          <w14:textFill>
            <w14:solidFill>
              <w14:schemeClr w14:val="tx1"/>
            </w14:solidFill>
          </w14:textFill>
        </w:rPr>
        <w:t>号</w:t>
      </w:r>
      <w:r>
        <w:rPr>
          <w:color w:val="000000" w:themeColor="text1"/>
          <w:sz w:val="24"/>
          <w:szCs w:val="24"/>
          <w:u w:val="single"/>
          <w14:textFill>
            <w14:solidFill>
              <w14:schemeClr w14:val="tx1"/>
            </w14:solidFill>
          </w14:textFill>
        </w:rPr>
        <w:t>盐城幼儿师范高等专科学校</w:t>
      </w:r>
      <w:r>
        <w:rPr>
          <w:rFonts w:hint="eastAsia"/>
          <w:color w:val="000000" w:themeColor="text1"/>
          <w:sz w:val="24"/>
          <w:szCs w:val="24"/>
          <w:u w:val="single"/>
          <w14:textFill>
            <w14:solidFill>
              <w14:schemeClr w14:val="tx1"/>
            </w14:solidFill>
          </w14:textFill>
        </w:rPr>
        <w:t>艺术训练中心教学设备采购项目</w:t>
      </w:r>
      <w:r>
        <w:rPr>
          <w:color w:val="000000" w:themeColor="text1"/>
          <w:sz w:val="24"/>
          <w:szCs w:val="24"/>
          <w14:textFill>
            <w14:solidFill>
              <w14:schemeClr w14:val="tx1"/>
            </w14:solidFill>
          </w14:textFill>
        </w:rPr>
        <w:t>采购活动的合法代理人，以本公司名义全权处理一切与该项目采购有关的事务。</w:t>
      </w:r>
    </w:p>
    <w:p>
      <w:pPr>
        <w:pStyle w:val="47"/>
        <w:spacing w:line="60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本授权书于______年____月____日起生效，特此声明。</w:t>
      </w:r>
    </w:p>
    <w:p>
      <w:pPr>
        <w:pStyle w:val="47"/>
        <w:spacing w:line="600" w:lineRule="auto"/>
        <w:ind w:firstLine="0" w:firstLineChars="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代理人（被授权人）：_______________________</w:t>
      </w:r>
    </w:p>
    <w:p>
      <w:pPr>
        <w:pStyle w:val="47"/>
        <w:spacing w:line="600" w:lineRule="auto"/>
        <w:ind w:firstLine="0" w:firstLineChars="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单位名称：_____________________________________</w:t>
      </w:r>
    </w:p>
    <w:p>
      <w:pPr>
        <w:pStyle w:val="47"/>
        <w:spacing w:line="600" w:lineRule="auto"/>
        <w:ind w:firstLine="0" w:firstLineChars="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授权单位盖章：_________________________________</w:t>
      </w:r>
    </w:p>
    <w:p>
      <w:pPr>
        <w:pStyle w:val="47"/>
        <w:spacing w:line="60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单位名称：_____________________________________</w:t>
      </w:r>
    </w:p>
    <w:p>
      <w:pPr>
        <w:pStyle w:val="47"/>
        <w:spacing w:line="600" w:lineRule="auto"/>
        <w:ind w:firstLine="480"/>
        <w:rPr>
          <w:color w:val="000000" w:themeColor="text1"/>
          <w:sz w:val="24"/>
          <w:szCs w:val="24"/>
          <w:u w:val="single"/>
          <w14:textFill>
            <w14:solidFill>
              <w14:schemeClr w14:val="tx1"/>
            </w14:solidFill>
          </w14:textFill>
        </w:rPr>
      </w:pPr>
      <w:r>
        <w:rPr>
          <w:color w:val="000000" w:themeColor="text1"/>
          <w:sz w:val="24"/>
          <w:szCs w:val="24"/>
          <w14:textFill>
            <w14:solidFill>
              <w14:schemeClr w14:val="tx1"/>
            </w14:solidFill>
          </w14:textFill>
        </w:rPr>
        <w:t xml:space="preserve">      地址：</w:t>
      </w:r>
    </w:p>
    <w:p>
      <w:pPr>
        <w:pStyle w:val="47"/>
        <w:spacing w:line="60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日期：                    </w:t>
      </w: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spacing w:line="560" w:lineRule="exact"/>
        <w:jc w:val="center"/>
        <w:rPr>
          <w:rFonts w:ascii="宋体" w:hAnsi="宋体"/>
          <w:b/>
          <w:bCs/>
          <w:sz w:val="32"/>
          <w:szCs w:val="32"/>
        </w:rPr>
      </w:pPr>
      <w:r>
        <w:rPr>
          <w:rFonts w:hint="eastAsia" w:ascii="宋体" w:hAnsi="宋体"/>
          <w:b/>
          <w:bCs/>
          <w:sz w:val="32"/>
          <w:szCs w:val="32"/>
        </w:rPr>
        <w:t>中小企业声明函（货物）</w:t>
      </w:r>
    </w:p>
    <w:p>
      <w:pPr>
        <w:spacing w:line="560" w:lineRule="exact"/>
        <w:jc w:val="center"/>
        <w:rPr>
          <w:rFonts w:ascii="宋体" w:hAnsi="宋体"/>
          <w:b/>
          <w:bCs/>
          <w:sz w:val="32"/>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i/>
          <w:iCs/>
          <w:sz w:val="24"/>
          <w:u w:val="single"/>
        </w:rPr>
        <w:t>（单位名称）</w:t>
      </w:r>
      <w:r>
        <w:rPr>
          <w:rFonts w:hint="eastAsia" w:ascii="宋体" w:hAnsi="宋体" w:cs="宋体"/>
          <w:sz w:val="24"/>
        </w:rPr>
        <w:t>的</w:t>
      </w:r>
      <w:r>
        <w:rPr>
          <w:rFonts w:hint="eastAsia" w:ascii="宋体" w:hAnsi="宋体" w:cs="宋体"/>
          <w:i/>
          <w:iCs/>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numPr>
          <w:ilvl w:val="0"/>
          <w:numId w:val="6"/>
        </w:numPr>
        <w:spacing w:line="360" w:lineRule="auto"/>
        <w:ind w:firstLine="480" w:firstLineChars="200"/>
        <w:jc w:val="left"/>
        <w:rPr>
          <w:rFonts w:ascii="宋体" w:hAnsi="宋体" w:cs="宋体"/>
          <w:sz w:val="24"/>
        </w:rPr>
      </w:pP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pPr>
        <w:widowControl/>
        <w:spacing w:line="360" w:lineRule="auto"/>
        <w:ind w:firstLine="4080" w:firstLineChars="1700"/>
        <w:jc w:val="left"/>
        <w:rPr>
          <w:rFonts w:ascii="宋体" w:hAnsi="宋体" w:cs="宋体"/>
          <w:sz w:val="24"/>
        </w:rPr>
      </w:pPr>
      <w:r>
        <w:rPr>
          <w:rFonts w:hint="eastAsia" w:ascii="宋体" w:hAnsi="宋体" w:cs="宋体"/>
          <w:sz w:val="24"/>
        </w:rPr>
        <w:t>企业名称（盖章）：</w:t>
      </w:r>
    </w:p>
    <w:p>
      <w:pPr>
        <w:widowControl/>
        <w:spacing w:line="360" w:lineRule="auto"/>
        <w:ind w:firstLine="4080" w:firstLineChars="1700"/>
        <w:jc w:val="left"/>
        <w:rPr>
          <w:rFonts w:ascii="宋体" w:hAnsi="宋体" w:cs="宋体"/>
          <w:sz w:val="24"/>
        </w:rPr>
      </w:pPr>
      <w:r>
        <w:rPr>
          <w:rFonts w:hint="eastAsia" w:ascii="宋体" w:hAnsi="宋体" w:cs="宋体"/>
          <w:sz w:val="24"/>
        </w:rPr>
        <w:t>日期：</w:t>
      </w:r>
    </w:p>
    <w:p>
      <w:pPr>
        <w:spacing w:line="360" w:lineRule="auto"/>
        <w:jc w:val="center"/>
        <w:rPr>
          <w:rFonts w:ascii="宋体" w:hAnsi="宋体"/>
          <w:b/>
          <w:bCs/>
          <w:sz w:val="32"/>
          <w:szCs w:val="32"/>
        </w:rPr>
      </w:pPr>
      <w:r>
        <w:rPr>
          <w:rFonts w:hint="eastAsia" w:ascii="宋体" w:hAnsi="宋体"/>
          <w:b/>
          <w:bCs/>
        </w:rPr>
        <w:t>从业人员、营业收入、资产总额填报上一年度数据，无上一年度数据的新成立企业可不填报。</w:t>
      </w:r>
    </w:p>
    <w:p>
      <w:pPr>
        <w:spacing w:line="460" w:lineRule="exact"/>
        <w:rPr>
          <w:color w:val="000000" w:themeColor="text1"/>
          <w:sz w:val="24"/>
          <w:szCs w:val="24"/>
          <w14:textFill>
            <w14:solidFill>
              <w14:schemeClr w14:val="tx1"/>
            </w14:solidFill>
          </w14:textFill>
        </w:rPr>
      </w:pPr>
    </w:p>
    <w:p>
      <w:pPr>
        <w:snapToGrid w:val="0"/>
        <w:spacing w:line="360" w:lineRule="auto"/>
        <w:ind w:firstLine="482" w:firstLineChars="200"/>
        <w:jc w:val="left"/>
        <w:rPr>
          <w:rFonts w:ascii="宋体" w:hAnsi="宋体"/>
          <w:b/>
          <w:bCs/>
          <w:sz w:val="24"/>
          <w:szCs w:val="24"/>
          <w:lang w:eastAsia="zh-Hans"/>
        </w:rPr>
      </w:pPr>
    </w:p>
    <w:p>
      <w:pPr>
        <w:pStyle w:val="12"/>
        <w:rPr>
          <w:lang w:eastAsia="zh-Hans"/>
        </w:rPr>
      </w:pPr>
    </w:p>
    <w:p>
      <w:pPr>
        <w:snapToGrid w:val="0"/>
        <w:spacing w:line="360" w:lineRule="auto"/>
        <w:ind w:firstLine="482" w:firstLineChars="200"/>
        <w:jc w:val="left"/>
        <w:rPr>
          <w:rFonts w:ascii="宋体" w:hAnsi="宋体"/>
          <w:b/>
          <w:bCs/>
          <w:sz w:val="24"/>
          <w:szCs w:val="24"/>
          <w:lang w:eastAsia="zh-Hans"/>
        </w:rPr>
      </w:pPr>
      <w:r>
        <w:rPr>
          <w:rFonts w:hint="eastAsia" w:ascii="宋体" w:hAnsi="宋体"/>
          <w:b/>
          <w:bCs/>
          <w:sz w:val="24"/>
          <w:szCs w:val="24"/>
          <w:lang w:eastAsia="zh-Hans"/>
        </w:rPr>
        <w:t>注：采购标的的所属行业为</w:t>
      </w:r>
      <w:r>
        <w:rPr>
          <w:rFonts w:hint="eastAsia" w:ascii="宋体" w:hAnsi="宋体"/>
          <w:b/>
          <w:bCs/>
          <w:sz w:val="24"/>
          <w:szCs w:val="24"/>
          <w:u w:val="single"/>
          <w:lang w:eastAsia="zh-Hans"/>
        </w:rPr>
        <w:t xml:space="preserve"> </w:t>
      </w:r>
      <w:r>
        <w:rPr>
          <w:rFonts w:hint="eastAsia" w:ascii="宋体" w:hAnsi="宋体"/>
          <w:b/>
          <w:bCs/>
          <w:sz w:val="24"/>
          <w:szCs w:val="24"/>
          <w:u w:val="single"/>
        </w:rPr>
        <w:t xml:space="preserve">工业 </w:t>
      </w:r>
      <w:r>
        <w:rPr>
          <w:rFonts w:hint="eastAsia" w:ascii="宋体" w:hAnsi="宋体"/>
          <w:b/>
          <w:bCs/>
          <w:sz w:val="24"/>
          <w:szCs w:val="24"/>
          <w:lang w:eastAsia="zh-Hans"/>
        </w:rPr>
        <w:t>，根据《工业和信息化部、国家统计局、国家发展和改革委员会、财政部关于印发中小企业划型标准规定的通知》（工信部联企业[2011]300号）规定的划分标准填写；</w:t>
      </w:r>
    </w:p>
    <w:p>
      <w:pPr>
        <w:widowControl/>
        <w:jc w:val="left"/>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二、资格性审查响应对照表（格式）</w:t>
      </w:r>
    </w:p>
    <w:p>
      <w:pPr>
        <w:spacing w:before="323" w:beforeLines="100" w:after="161" w:afterLines="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投标人全称（加盖公章）：</w:t>
      </w:r>
    </w:p>
    <w:tbl>
      <w:tblPr>
        <w:tblStyle w:val="25"/>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是否响应</w:t>
            </w:r>
          </w:p>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投标文件中的</w:t>
            </w:r>
          </w:p>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bCs/>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bl>
    <w:p>
      <w:pPr>
        <w:spacing w:line="440" w:lineRule="exact"/>
        <w:ind w:firstLine="640" w:firstLineChars="200"/>
        <w:rPr>
          <w:rFonts w:eastAsia="黑体"/>
          <w:color w:val="000000" w:themeColor="text1"/>
          <w:sz w:val="32"/>
          <w:szCs w:val="32"/>
          <w14:textFill>
            <w14:solidFill>
              <w14:schemeClr w14:val="tx1"/>
            </w14:solidFill>
          </w14:textFill>
        </w:rPr>
      </w:pP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br w:type="page"/>
      </w:r>
      <w:r>
        <w:rPr>
          <w:rFonts w:eastAsia="黑体"/>
          <w:color w:val="000000" w:themeColor="text1"/>
          <w:sz w:val="32"/>
          <w:szCs w:val="32"/>
          <w14:textFill>
            <w14:solidFill>
              <w14:schemeClr w14:val="tx1"/>
            </w14:solidFill>
          </w14:textFill>
        </w:rPr>
        <w:t>三、符合性检查响应对照表（格式）</w:t>
      </w:r>
    </w:p>
    <w:p>
      <w:pPr>
        <w:spacing w:before="323" w:beforeLines="100" w:after="161" w:afterLines="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投标人全称（加盖公章）：</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是否响应</w:t>
            </w:r>
          </w:p>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投标文件中的</w:t>
            </w:r>
          </w:p>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bCs/>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5447" w:type="dxa"/>
            <w:tcBorders>
              <w:top w:val="single" w:color="auto" w:sz="4" w:space="0"/>
              <w:left w:val="nil"/>
              <w:bottom w:val="single" w:color="auto" w:sz="4" w:space="0"/>
              <w:right w:val="single" w:color="auto" w:sz="4" w:space="0"/>
            </w:tcBorders>
            <w:vAlign w:val="center"/>
          </w:tcPr>
          <w:p>
            <w:pPr>
              <w:snapToGri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bl>
    <w:p>
      <w:pPr>
        <w:snapToGrid w:val="0"/>
        <w:spacing w:before="50" w:after="50"/>
        <w:ind w:firstLine="600" w:firstLineChars="250"/>
        <w:rPr>
          <w:rFonts w:eastAsia="黑体"/>
          <w:color w:val="000000" w:themeColor="text1"/>
          <w:sz w:val="32"/>
          <w:szCs w:val="32"/>
          <w14:textFill>
            <w14:solidFill>
              <w14:schemeClr w14:val="tx1"/>
            </w14:solidFill>
          </w14:textFill>
        </w:rPr>
      </w:pPr>
      <w:r>
        <w:rPr>
          <w:rFonts w:hint="eastAsia"/>
          <w:color w:val="000000" w:themeColor="text1"/>
          <w:sz w:val="24"/>
          <w:szCs w:val="24"/>
          <w14:textFill>
            <w14:solidFill>
              <w14:schemeClr w14:val="tx1"/>
            </w14:solidFill>
          </w14:textFill>
        </w:rPr>
        <w:t>注：可对照评分标准。</w:t>
      </w:r>
      <w:r>
        <w:rPr>
          <w:rFonts w:eastAsia="黑体"/>
          <w:color w:val="000000" w:themeColor="text1"/>
          <w:sz w:val="32"/>
          <w:szCs w:val="32"/>
          <w14:textFill>
            <w14:solidFill>
              <w14:schemeClr w14:val="tx1"/>
            </w14:solidFill>
          </w14:textFill>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四、投标函（格式）</w:t>
      </w:r>
    </w:p>
    <w:p>
      <w:pPr>
        <w:pStyle w:val="45"/>
        <w:spacing w:before="0" w:after="0" w:line="420" w:lineRule="exact"/>
        <w:ind w:firstLine="0"/>
        <w:rPr>
          <w:rFonts w:ascii="Times New Roman" w:hAnsi="Times New Roman" w:cs="Times New Roman"/>
          <w:color w:val="000000" w:themeColor="text1"/>
          <w:kern w:val="2"/>
          <w14:textFill>
            <w14:solidFill>
              <w14:schemeClr w14:val="tx1"/>
            </w14:solidFill>
          </w14:textFill>
        </w:rPr>
      </w:pPr>
    </w:p>
    <w:p>
      <w:pPr>
        <w:pStyle w:val="45"/>
        <w:spacing w:before="0" w:after="0" w:line="440" w:lineRule="exact"/>
        <w:ind w:firstLine="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致：盐城幼儿师范高等专科学校</w:t>
      </w:r>
    </w:p>
    <w:p>
      <w:pPr>
        <w:pStyle w:val="45"/>
        <w:spacing w:before="0" w:after="0" w:line="440" w:lineRule="exact"/>
        <w:ind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根据贵方的号投标文件，正式授权下述签字人_________________(姓名)代表我方______________（投标人的名称），全权处理本次项目投标的有关事宜。</w:t>
      </w:r>
    </w:p>
    <w:p>
      <w:pPr>
        <w:pStyle w:val="45"/>
        <w:spacing w:before="0" w:after="0" w:line="440" w:lineRule="exact"/>
        <w:ind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据此函，__________签字人兹宣布同意如下：</w:t>
      </w:r>
    </w:p>
    <w:p>
      <w:pPr>
        <w:pStyle w:val="45"/>
        <w:spacing w:before="0" w:after="0" w:line="440" w:lineRule="exact"/>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1.按投标文件规定的各项要求，向买方提供所需货物与服务。</w:t>
      </w:r>
    </w:p>
    <w:p>
      <w:pPr>
        <w:pStyle w:val="45"/>
        <w:spacing w:before="0" w:after="0" w:line="440" w:lineRule="exact"/>
        <w:ind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2.我们完全理解贵方不一定将合同授予最低报价的投标人。</w:t>
      </w:r>
    </w:p>
    <w:p>
      <w:pPr>
        <w:pStyle w:val="45"/>
        <w:spacing w:before="0" w:after="0" w:line="440" w:lineRule="exact"/>
        <w:ind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3.我们已详细审核全部投标文件及其有效补充文件，我们知道必须放弃提出含糊不清或误解问题的权利。</w:t>
      </w:r>
    </w:p>
    <w:p>
      <w:pPr>
        <w:pStyle w:val="45"/>
        <w:spacing w:before="0" w:after="0" w:line="440" w:lineRule="exact"/>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4.我们同意从规定的开标日期起遵循本投标文件，并在规定的投标有效期期满之前均具有约束力。</w:t>
      </w:r>
    </w:p>
    <w:p>
      <w:pPr>
        <w:pStyle w:val="45"/>
        <w:spacing w:before="0" w:after="0" w:line="440" w:lineRule="exact"/>
        <w:jc w:val="both"/>
        <w:rPr>
          <w:rFonts w:ascii="Times New Roman" w:hAnsi="Times New Roman" w:cs="Times New Roman"/>
          <w:color w:val="000000" w:themeColor="text1"/>
          <w:kern w:val="2"/>
          <w14:textFill>
            <w14:solidFill>
              <w14:schemeClr w14:val="tx1"/>
            </w14:solidFill>
          </w14:textFill>
        </w:rPr>
      </w:pPr>
      <w:r>
        <w:rPr>
          <w:rFonts w:hint="eastAsia" w:ascii="Times New Roman" w:hAnsi="Times New Roman" w:cs="Times New Roman"/>
          <w:color w:val="000000" w:themeColor="text1"/>
          <w:kern w:val="2"/>
          <w14:textFill>
            <w14:solidFill>
              <w14:schemeClr w14:val="tx1"/>
            </w14:solidFill>
          </w14:textFill>
        </w:rPr>
        <w:t>5</w:t>
      </w:r>
      <w:r>
        <w:rPr>
          <w:rFonts w:ascii="Times New Roman" w:hAnsi="Times New Roman" w:cs="Times New Roman"/>
          <w:color w:val="000000" w:themeColor="text1"/>
          <w:kern w:val="2"/>
          <w14:textFill>
            <w14:solidFill>
              <w14:schemeClr w14:val="tx1"/>
            </w14:solidFill>
          </w14:textFill>
        </w:rPr>
        <w:t>.同意向贵方提供贵方可能另外要求的与投标有关的任何证据或资料，并保证我方已提供和将要提供的文件是真实的、准确的。</w:t>
      </w:r>
    </w:p>
    <w:p>
      <w:pPr>
        <w:pStyle w:val="45"/>
        <w:spacing w:before="0" w:after="0" w:line="440" w:lineRule="exact"/>
        <w:jc w:val="both"/>
        <w:rPr>
          <w:rFonts w:ascii="Times New Roman" w:hAnsi="Times New Roman" w:cs="Times New Roman"/>
          <w:color w:val="000000" w:themeColor="text1"/>
          <w:kern w:val="2"/>
          <w14:textFill>
            <w14:solidFill>
              <w14:schemeClr w14:val="tx1"/>
            </w14:solidFill>
          </w14:textFill>
        </w:rPr>
      </w:pPr>
      <w:r>
        <w:rPr>
          <w:rFonts w:hint="eastAsia" w:ascii="Times New Roman" w:hAnsi="Times New Roman" w:cs="Times New Roman"/>
          <w:color w:val="000000" w:themeColor="text1"/>
          <w:kern w:val="2"/>
          <w14:textFill>
            <w14:solidFill>
              <w14:schemeClr w14:val="tx1"/>
            </w14:solidFill>
          </w14:textFill>
        </w:rPr>
        <w:t>6</w:t>
      </w:r>
      <w:r>
        <w:rPr>
          <w:rFonts w:ascii="Times New Roman" w:hAnsi="Times New Roman" w:cs="Times New Roman"/>
          <w:color w:val="000000" w:themeColor="text1"/>
          <w:kern w:val="2"/>
          <w14:textFill>
            <w14:solidFill>
              <w14:schemeClr w14:val="tx1"/>
            </w14:solidFill>
          </w14:textFill>
        </w:rPr>
        <w:t>.一旦我方中标</w:t>
      </w:r>
      <w:r>
        <w:rPr>
          <w:rFonts w:hint="eastAsia" w:ascii="Times New Roman" w:hAnsi="Times New Roman" w:cs="Times New Roman"/>
          <w:color w:val="000000" w:themeColor="text1"/>
          <w:kern w:val="2"/>
          <w14:textFill>
            <w14:solidFill>
              <w14:schemeClr w14:val="tx1"/>
            </w14:solidFill>
          </w14:textFill>
        </w:rPr>
        <w:t>，</w:t>
      </w:r>
      <w:r>
        <w:rPr>
          <w:rFonts w:ascii="Times New Roman" w:hAnsi="Times New Roman" w:cs="Times New Roman"/>
          <w:color w:val="000000" w:themeColor="text1"/>
          <w:kern w:val="2"/>
          <w14:textFill>
            <w14:solidFill>
              <w14:schemeClr w14:val="tx1"/>
            </w14:solidFill>
          </w14:textFill>
        </w:rPr>
        <w:t>我方将根据招标文件的规定，严格履行合同的责任和义务,并保证在招标文件规定的时间完成项目，交付买方验收、使用。</w:t>
      </w:r>
    </w:p>
    <w:p>
      <w:pPr>
        <w:pStyle w:val="45"/>
        <w:spacing w:before="0" w:after="0" w:line="440" w:lineRule="exact"/>
        <w:ind w:left="425" w:firstLine="0"/>
        <w:jc w:val="both"/>
        <w:rPr>
          <w:rFonts w:ascii="Times New Roman" w:hAnsi="Times New Roman" w:cs="Times New Roman"/>
          <w:color w:val="000000" w:themeColor="text1"/>
          <w:kern w:val="2"/>
          <w14:textFill>
            <w14:solidFill>
              <w14:schemeClr w14:val="tx1"/>
            </w14:solidFill>
          </w14:textFill>
        </w:rPr>
      </w:pPr>
      <w:r>
        <w:rPr>
          <w:rFonts w:hint="eastAsia" w:ascii="Times New Roman" w:hAnsi="Times New Roman" w:cs="Times New Roman"/>
          <w:color w:val="000000" w:themeColor="text1"/>
          <w:kern w:val="2"/>
          <w14:textFill>
            <w14:solidFill>
              <w14:schemeClr w14:val="tx1"/>
            </w14:solidFill>
          </w14:textFill>
        </w:rPr>
        <w:t>7</w:t>
      </w:r>
      <w:r>
        <w:rPr>
          <w:rFonts w:ascii="Times New Roman" w:hAnsi="Times New Roman" w:cs="Times New Roman"/>
          <w:color w:val="000000" w:themeColor="text1"/>
          <w:kern w:val="2"/>
          <w14:textFill>
            <w14:solidFill>
              <w14:schemeClr w14:val="tx1"/>
            </w14:solidFill>
          </w14:textFill>
        </w:rPr>
        <w:t>.与本投标有关的正式通讯地址为：</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地          址：</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邮          编：</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电          话：</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传          真：</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投标人开户行：</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 xml:space="preserve">账          户： </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 xml:space="preserve">投标人授权代表姓名（签字）： </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 xml:space="preserve">投标人名称（公章）： </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日           期：________年____月____日</w:t>
      </w:r>
    </w:p>
    <w:p>
      <w:pPr>
        <w:jc w:val="center"/>
        <w:rPr>
          <w:color w:val="000000" w:themeColor="text1"/>
          <w:sz w:val="32"/>
          <w:szCs w:val="32"/>
          <w14:textFill>
            <w14:solidFill>
              <w14:schemeClr w14:val="tx1"/>
            </w14:solidFill>
          </w14:textFill>
        </w:rPr>
      </w:pPr>
    </w:p>
    <w:p>
      <w:pPr>
        <w:jc w:val="left"/>
        <w:rPr>
          <w:rFonts w:eastAsia="黑体"/>
          <w:color w:val="000000" w:themeColor="text1"/>
          <w:sz w:val="32"/>
          <w:szCs w:val="32"/>
          <w14:textFill>
            <w14:solidFill>
              <w14:schemeClr w14:val="tx1"/>
            </w14:solidFill>
          </w14:textFill>
        </w:rPr>
      </w:pPr>
      <w:r>
        <w:rPr>
          <w:rFonts w:eastAsia="黑体"/>
          <w:color w:val="000000" w:themeColor="text1"/>
          <w:szCs w:val="32"/>
          <w14:textFill>
            <w14:solidFill>
              <w14:schemeClr w14:val="tx1"/>
            </w14:solidFill>
          </w14:textFill>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五、开标一览表（格式）</w:t>
      </w:r>
    </w:p>
    <w:p>
      <w:pPr>
        <w:snapToGrid w:val="0"/>
        <w:spacing w:before="50" w:after="50"/>
        <w:jc w:val="center"/>
        <w:rPr>
          <w:color w:val="000000" w:themeColor="text1"/>
          <w:sz w:val="32"/>
          <w:szCs w:val="32"/>
          <w14:textFill>
            <w14:solidFill>
              <w14:schemeClr w14:val="tx1"/>
            </w14:solidFill>
          </w14:textFill>
        </w:rPr>
      </w:pPr>
    </w:p>
    <w:tbl>
      <w:tblPr>
        <w:tblStyle w:val="25"/>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 目 名 称</w:t>
            </w:r>
          </w:p>
        </w:tc>
        <w:tc>
          <w:tcPr>
            <w:tcW w:w="6499" w:type="dxa"/>
            <w:tcBorders>
              <w:top w:val="single" w:color="auto" w:sz="4" w:space="0"/>
              <w:left w:val="nil"/>
              <w:bottom w:val="single" w:color="auto" w:sz="4" w:space="0"/>
              <w:right w:val="single" w:color="auto" w:sz="4" w:space="0"/>
            </w:tcBorders>
            <w:vAlign w:val="center"/>
          </w:tcPr>
          <w:p>
            <w:pP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所 投 标 段</w:t>
            </w:r>
          </w:p>
        </w:tc>
        <w:tc>
          <w:tcPr>
            <w:tcW w:w="6499" w:type="dxa"/>
            <w:tcBorders>
              <w:top w:val="single" w:color="auto" w:sz="4" w:space="0"/>
              <w:left w:val="nil"/>
              <w:bottom w:val="single" w:color="auto" w:sz="4" w:space="0"/>
              <w:right w:val="single" w:color="auto" w:sz="4" w:space="0"/>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5"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w:t>
            </w:r>
            <w:r>
              <w:rPr>
                <w:rFonts w:hint="eastAsia"/>
                <w:color w:val="000000" w:themeColor="text1"/>
                <w:sz w:val="24"/>
                <w:szCs w:val="24"/>
                <w14:textFill>
                  <w14:solidFill>
                    <w14:schemeClr w14:val="tx1"/>
                  </w14:solidFill>
                </w14:textFill>
              </w:rPr>
              <w:t>报价（大写）</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 xml:space="preserve">                   （小写）:</w:t>
            </w:r>
          </w:p>
          <w:p/>
          <w:p>
            <w:pPr>
              <w:pStyle w:val="27"/>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是否提供《中小企业声明函》：  是/否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9199" w:type="dxa"/>
            <w:gridSpan w:val="2"/>
            <w:tcBorders>
              <w:top w:val="single" w:color="auto" w:sz="4" w:space="0"/>
              <w:left w:val="single" w:color="auto" w:sz="4" w:space="0"/>
              <w:bottom w:val="single" w:color="auto" w:sz="4" w:space="0"/>
              <w:right w:val="single" w:color="auto" w:sz="4" w:space="0"/>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9199" w:type="dxa"/>
            <w:gridSpan w:val="2"/>
            <w:tcBorders>
              <w:top w:val="single" w:color="auto" w:sz="4" w:space="0"/>
              <w:left w:val="single" w:color="auto" w:sz="4" w:space="0"/>
              <w:bottom w:val="single" w:color="auto" w:sz="4" w:space="0"/>
              <w:right w:val="single" w:color="auto" w:sz="4" w:space="0"/>
            </w:tcBorders>
          </w:tcPr>
          <w:p>
            <w:pPr>
              <w:rPr>
                <w:sz w:val="24"/>
                <w:szCs w:val="24"/>
              </w:rPr>
            </w:pPr>
          </w:p>
          <w:p>
            <w:pPr>
              <w:rPr>
                <w:sz w:val="24"/>
                <w:szCs w:val="24"/>
                <w:u w:val="single"/>
              </w:rPr>
            </w:pPr>
            <w:r>
              <w:rPr>
                <w:rFonts w:hint="eastAsia"/>
                <w:color w:val="000000" w:themeColor="text1"/>
                <w:sz w:val="24"/>
                <w:szCs w:val="24"/>
                <w14:textFill>
                  <w14:solidFill>
                    <w14:schemeClr w14:val="tx1"/>
                  </w14:solidFill>
                </w14:textFill>
              </w:rPr>
              <w:t>质保期：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p>
          <w:p>
            <w:pPr>
              <w:pStyle w:val="9"/>
              <w:ind w:firstLine="480"/>
              <w:rPr>
                <w:sz w:val="24"/>
                <w:szCs w:val="24"/>
              </w:rPr>
            </w:pPr>
          </w:p>
        </w:tc>
      </w:tr>
    </w:tbl>
    <w:p>
      <w:pPr>
        <w:spacing w:line="240" w:lineRule="atLeast"/>
        <w:rPr>
          <w:color w:val="000000" w:themeColor="text1"/>
          <w14:textFill>
            <w14:solidFill>
              <w14:schemeClr w14:val="tx1"/>
            </w14:solidFill>
          </w14:textFill>
        </w:rPr>
      </w:pPr>
      <w:r>
        <w:rPr>
          <w:color w:val="000000" w:themeColor="text1"/>
          <w14:textFill>
            <w14:solidFill>
              <w14:schemeClr w14:val="tx1"/>
            </w14:solidFill>
          </w14:textFill>
        </w:rPr>
        <w:t>填写说明：</w:t>
      </w:r>
    </w:p>
    <w:p>
      <w:pPr>
        <w:spacing w:line="240" w:lineRule="atLeast"/>
        <w:rPr>
          <w:color w:val="FF0000"/>
          <w:sz w:val="24"/>
          <w:szCs w:val="24"/>
        </w:rPr>
      </w:pPr>
      <w:r>
        <w:rPr>
          <w:rFonts w:hint="eastAsia"/>
          <w:color w:val="000000" w:themeColor="text1"/>
          <w:sz w:val="24"/>
          <w:szCs w:val="24"/>
          <w14:textFill>
            <w14:solidFill>
              <w14:schemeClr w14:val="tx1"/>
            </w14:solidFill>
          </w14:textFill>
        </w:rPr>
        <w:t xml:space="preserve">1. </w:t>
      </w:r>
      <w:r>
        <w:rPr>
          <w:color w:val="FF0000"/>
          <w:sz w:val="24"/>
          <w:szCs w:val="24"/>
        </w:rPr>
        <w:t>开标一览表不得填报选择性报价，否则将作为无效投标；</w:t>
      </w:r>
    </w:p>
    <w:p>
      <w:pPr>
        <w:spacing w:line="240" w:lineRule="atLeas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2. </w:t>
      </w:r>
      <w:r>
        <w:rPr>
          <w:color w:val="000000" w:themeColor="text1"/>
          <w:sz w:val="24"/>
          <w:szCs w:val="24"/>
          <w14:textFill>
            <w14:solidFill>
              <w14:schemeClr w14:val="tx1"/>
            </w14:solidFill>
          </w14:textFill>
        </w:rPr>
        <w:t>开标一览表中报价与投标分项明细报价表中不符时时，以开标一览表为准；</w:t>
      </w:r>
    </w:p>
    <w:p>
      <w:pPr>
        <w:spacing w:line="348" w:lineRule="auto"/>
        <w:ind w:firstLine="2850"/>
        <w:jc w:val="center"/>
        <w:rPr>
          <w:color w:val="000000" w:themeColor="text1"/>
          <w:sz w:val="24"/>
          <w:szCs w:val="24"/>
          <w14:textFill>
            <w14:solidFill>
              <w14:schemeClr w14:val="tx1"/>
            </w14:solidFill>
          </w14:textFill>
        </w:rPr>
      </w:pP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投标供应商（单位公章）：</w:t>
      </w: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法定代表人或授权代表（签字或盖章）：</w:t>
      </w: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日期：年月日</w:t>
      </w: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sectPr>
          <w:pgSz w:w="11906" w:h="16838"/>
          <w:pgMar w:top="1701" w:right="1587" w:bottom="1417" w:left="1587" w:header="1134" w:footer="1304" w:gutter="0"/>
          <w:cols w:space="0" w:num="1"/>
          <w:docGrid w:type="lines" w:linePitch="323" w:charSpace="0"/>
        </w:sectPr>
      </w:pPr>
    </w:p>
    <w:p>
      <w:pPr>
        <w:pStyle w:val="7"/>
        <w:numPr>
          <w:ilvl w:val="0"/>
          <w:numId w:val="7"/>
        </w:numPr>
        <w:spacing w:line="500" w:lineRule="exact"/>
        <w:ind w:firstLine="0"/>
        <w:jc w:val="center"/>
        <w:rPr>
          <w:rFonts w:ascii="宋体" w:hAnsi="宋体"/>
          <w:b/>
          <w:sz w:val="36"/>
          <w:szCs w:val="36"/>
        </w:rPr>
      </w:pPr>
      <w:r>
        <w:rPr>
          <w:rFonts w:hint="eastAsia" w:ascii="宋体" w:hAnsi="宋体"/>
          <w:b/>
          <w:sz w:val="36"/>
          <w:szCs w:val="36"/>
        </w:rPr>
        <w:t>报价清单（格式）</w:t>
      </w:r>
    </w:p>
    <w:p>
      <w:pPr>
        <w:pStyle w:val="7"/>
        <w:spacing w:line="500" w:lineRule="exact"/>
        <w:ind w:firstLine="0"/>
        <w:jc w:val="center"/>
        <w:rPr>
          <w:rFonts w:ascii="宋体" w:hAnsi="宋体"/>
          <w:b/>
          <w:sz w:val="36"/>
          <w:szCs w:val="36"/>
        </w:rPr>
      </w:pPr>
    </w:p>
    <w:p>
      <w:pPr>
        <w:pStyle w:val="14"/>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一标段产品报价：</w:t>
      </w:r>
    </w:p>
    <w:tbl>
      <w:tblPr>
        <w:tblStyle w:val="25"/>
        <w:tblW w:w="13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444"/>
        <w:gridCol w:w="5167"/>
        <w:gridCol w:w="605"/>
        <w:gridCol w:w="1055"/>
        <w:gridCol w:w="911"/>
        <w:gridCol w:w="1045"/>
        <w:gridCol w:w="1222"/>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970"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序号</w:t>
            </w:r>
          </w:p>
        </w:tc>
        <w:tc>
          <w:tcPr>
            <w:tcW w:w="1444"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名称</w:t>
            </w:r>
          </w:p>
        </w:tc>
        <w:tc>
          <w:tcPr>
            <w:tcW w:w="5167"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参数规格</w:t>
            </w:r>
          </w:p>
        </w:tc>
        <w:tc>
          <w:tcPr>
            <w:tcW w:w="605"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单位</w:t>
            </w:r>
          </w:p>
        </w:tc>
        <w:tc>
          <w:tcPr>
            <w:tcW w:w="1055"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单价（元）</w:t>
            </w:r>
          </w:p>
        </w:tc>
        <w:tc>
          <w:tcPr>
            <w:tcW w:w="911"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数量</w:t>
            </w:r>
          </w:p>
        </w:tc>
        <w:tc>
          <w:tcPr>
            <w:tcW w:w="1045"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总价（元）</w:t>
            </w:r>
          </w:p>
        </w:tc>
        <w:tc>
          <w:tcPr>
            <w:tcW w:w="1222"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参考品牌</w:t>
            </w:r>
          </w:p>
        </w:tc>
        <w:tc>
          <w:tcPr>
            <w:tcW w:w="1178"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52"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琴房 4平56间，8平56间</w:t>
            </w:r>
          </w:p>
        </w:tc>
        <w:tc>
          <w:tcPr>
            <w:tcW w:w="10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2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44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钢琴</w:t>
            </w:r>
          </w:p>
        </w:tc>
        <w:tc>
          <w:tcPr>
            <w:tcW w:w="5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  规格 高度≥ 118 cm</w:t>
            </w:r>
            <w:r>
              <w:rPr>
                <w:rFonts w:hint="eastAsia" w:cs="宋体"/>
                <w:kern w:val="0"/>
                <w:sz w:val="18"/>
                <w:szCs w:val="18"/>
              </w:rPr>
              <w:t>且</w:t>
            </w:r>
            <w:r>
              <w:rPr>
                <w:rFonts w:hint="eastAsia" w:cs="宋体"/>
                <w:color w:val="000000" w:themeColor="text1"/>
                <w:kern w:val="0"/>
                <w:sz w:val="18"/>
                <w:szCs w:val="18"/>
                <w14:textFill>
                  <w14:solidFill>
                    <w14:schemeClr w14:val="tx1"/>
                  </w14:solidFill>
                </w14:textFill>
              </w:rPr>
              <w:t>≤121 cm 立式钢琴 提供相应的产品检测报告复印件，并加盖厂家鲜章，</w:t>
            </w:r>
          </w:p>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声学品质 标准音a1为445Hz±0.5Hz范围内；音准稳定性（c1-b1）≤3音分。 </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p>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3  外观尺寸 长≥150cm，宽≥59cm，高≥118cm。 </w:t>
            </w:r>
            <w:r>
              <w:rPr>
                <w:rFonts w:hint="eastAsia" w:cs="宋体"/>
                <w:b/>
                <w:bCs/>
                <w:color w:val="000000" w:themeColor="text1"/>
                <w:kern w:val="0"/>
                <w:sz w:val="18"/>
                <w:szCs w:val="18"/>
                <w14:textFill>
                  <w14:solidFill>
                    <w14:schemeClr w14:val="tx1"/>
                  </w14:solidFill>
                </w14:textFill>
              </w:rPr>
              <w:t>承诺中标后提供提供加盖厂家鲜章的投标产品的技术参数确认函（中标后7个工作日内不能提供的，作为自动放弃处理）。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4  五金件 钢琴外观可见的五金件采用不易氧化的银色合金类金属。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5  外壳 板面粘贴防火板；油漆表面平整光亮；键盖商标使用镍片材质材料并封在油漆里。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6  上门 上门板固定卡扣采用精密模具加工的高分子材料固定件（非弹簧结构），结构牢固，安全耐用；上门板内侧安装金属长梁，能防止上门板长时间受温湿度变化影响导致的变形，且方便上门板拆装。  </w:t>
            </w:r>
            <w:r>
              <w:rPr>
                <w:rFonts w:hint="eastAsia" w:cs="宋体"/>
                <w:b/>
                <w:bCs/>
                <w:color w:val="000000" w:themeColor="text1"/>
                <w:kern w:val="0"/>
                <w:sz w:val="18"/>
                <w:szCs w:val="18"/>
                <w14:textFill>
                  <w14:solidFill>
                    <w14:schemeClr w14:val="tx1"/>
                  </w14:solidFill>
                </w14:textFill>
              </w:rPr>
              <w:t>承诺中标后提供提供加盖厂家鲜章的投标产品的技术参数确认函（中标后7个工作日内不能提供的，作为自动放弃处理）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7  谱架 采用实木制作。谱架铰链有插销固定结构，使谱架在闭合时可通过插销固定，防止时间长了之后铰链松动导致谱架闭合不紧，从而影响键盘盖关闭受阻。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8 </w:t>
            </w:r>
            <w:r>
              <w:rPr>
                <w:rFonts w:cs="宋体"/>
                <w:color w:val="000000" w:themeColor="text1"/>
                <w:kern w:val="0"/>
                <w:sz w:val="18"/>
                <w:szCs w:val="18"/>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 xml:space="preserve">铁板 翻砂工艺铸铁板;喷涂具有高抗氧化能力金葱粉漆。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  铁板高度 ≥109cm，</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10  琴弦 圆形弦（截面为正圆形）；采用镀锡方式防锈处理的钢线；最大有效弦长≥117cm。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11  音板 采用寒带地区缓慢生长的鱼鳞松制作；根据钢琴发声特点而设计的不等厚度的加强实木音板。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12  肋木 使用与音板相同材质木材，数量不少于11根。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13  弦轴板 由15-17层坚硬的榉木交错压榨制成。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14  弦码 中高音弦码采用弯压工艺，使用多层榉木层叠弯压成型，最大程度保留木材原有纹理，利于音的传递；低音弦码采用实木制作。</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15  背柱 实木制作，五根且不等距设计；中枋背柱上口截面尺寸不少于95*70mm；背柱整体严密牢固，无明显缝隙或粘贴痕迹。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16  键盘材质 有机玻璃白键片，黑黄檀木黑键键顶；键板采用寒带地区缓慢生长的鱼鳞松制作，含水率要求：6-12%。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17  键盘精度 八度音程白键宽度164-165mm范围内；白键前端长度51.5mm±0.3mm范围内；黑键上端面宽度9.5-10.0mm范围内；黑键底宽度11.5mm±0.2mm范围内；黑键长度95.0mm±0.2mm范围内；黑键前端距白键面高度11.0-12.5mm范围内；白键间隙0.7-1.0mm范围内；中盘底面距地面高度≥670mm。  </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18  中盘 使用稳定不易变形的木材制作而成。除螺丝外中盘上面不加装任何金属加固或金属链接结构。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19  弦槌 原装德国进口雷诺弦槌；红色内芯毡；鹅耳枥木槌芯；每个弦槌上有与钢琴品牌一致的logo标识。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20  击弦机木制部件 转击器、联动杆、制音杆、顶杆等运动部件要求使用鹅耳枥木制作，不采用ABS等塑料类材料；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21  调节档 鹅耳枥木实木（非多层）制作的调节档，不得有金属包裹。 </w:t>
            </w:r>
            <w:r>
              <w:rPr>
                <w:rFonts w:hint="eastAsia" w:cs="宋体"/>
                <w:b/>
                <w:bCs/>
                <w:color w:val="000000" w:themeColor="text1"/>
                <w:kern w:val="0"/>
                <w:sz w:val="18"/>
                <w:szCs w:val="18"/>
                <w14:textFill>
                  <w14:solidFill>
                    <w14:schemeClr w14:val="tx1"/>
                  </w14:solidFill>
                </w14:textFill>
              </w:rPr>
              <w:t>承诺中标后</w:t>
            </w:r>
            <w:r>
              <w:rPr>
                <w:rFonts w:hint="eastAsia" w:cs="宋体"/>
                <w:color w:val="000000" w:themeColor="text1"/>
                <w:kern w:val="0"/>
                <w:sz w:val="18"/>
                <w:szCs w:val="18"/>
                <w14:textFill>
                  <w14:solidFill>
                    <w14:schemeClr w14:val="tx1"/>
                  </w14:solidFill>
                </w14:textFill>
              </w:rPr>
              <w:t>提供加盖厂家鲜章的投标产品的技术参数确认函</w:t>
            </w:r>
            <w:r>
              <w:rPr>
                <w:rFonts w:hint="eastAsia" w:cs="宋体"/>
                <w:b/>
                <w:bCs/>
                <w:color w:val="000000" w:themeColor="text1"/>
                <w:kern w:val="0"/>
                <w:sz w:val="18"/>
                <w:szCs w:val="18"/>
                <w14:textFill>
                  <w14:solidFill>
                    <w14:schemeClr w14:val="tx1"/>
                  </w14:solidFill>
                </w14:textFill>
              </w:rPr>
              <w:t>（中标后7个工作日内不能提供的，作为自动放弃处理）。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22  制音器 采用纯羊毛制造制音毡，制音器木托为榉木实木。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★23  缓降功能 安装在钢琴侧臂内的隐藏式缓降器，非外露摆杆式。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FF"/>
                <w:kern w:val="0"/>
                <w:sz w:val="18"/>
                <w:szCs w:val="18"/>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24  演奏性能 白键下沉深度10.0mm±0.5mm范围内；琴键下降负荷0.50-0.65N范围内；回升负荷0.15-0.25N范围内；琴键负荷超标数为0；琴键运动灵敏、不相互摩擦；弱音踏瓣与延音踏瓣之间的负荷差值≤7.0N。 </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r>
              <w:rPr>
                <w:rFonts w:hint="eastAsia" w:cs="宋体"/>
                <w:color w:val="0000FF"/>
                <w:kern w:val="0"/>
                <w:sz w:val="18"/>
                <w:szCs w:val="18"/>
              </w:rPr>
              <w:t>。</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25  脚轮 采用双轮金属脚轮，转动灵活，稳定耐用。 </w:t>
            </w:r>
            <w:r>
              <w:rPr>
                <w:rFonts w:hint="eastAsia" w:cs="宋体"/>
                <w:b/>
                <w:bCs/>
                <w:color w:val="000000" w:themeColor="text1"/>
                <w:kern w:val="0"/>
                <w:sz w:val="18"/>
                <w:szCs w:val="18"/>
                <w14:textFill>
                  <w14:solidFill>
                    <w14:schemeClr w14:val="tx1"/>
                  </w14:solidFill>
                </w14:textFill>
              </w:rPr>
              <w:t>承诺中标后提供加盖厂家鲜章的投标产品的技术参数确认函（中标后7个工作日内不能提供的，作为自动放弃处理）</w:t>
            </w:r>
            <w:r>
              <w:rPr>
                <w:rFonts w:hint="eastAsia" w:cs="宋体"/>
                <w:color w:val="000000" w:themeColor="text1"/>
                <w:kern w:val="0"/>
                <w:sz w:val="18"/>
                <w:szCs w:val="18"/>
                <w14:textFill>
                  <w14:solidFill>
                    <w14:schemeClr w14:val="tx1"/>
                  </w14:solidFill>
                </w14:textFill>
              </w:rPr>
              <w:t>；提供产品该部位清晰的彩色特写照片</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 xml:space="preserve">26  执行标准 符合《钢琴》GB/T10159-2015标准。 </w:t>
            </w:r>
            <w:r>
              <w:rPr>
                <w:rFonts w:hint="eastAsia" w:cs="宋体"/>
                <w:b/>
                <w:bCs/>
                <w:color w:val="000000" w:themeColor="text1"/>
                <w:kern w:val="0"/>
                <w:sz w:val="18"/>
                <w:szCs w:val="18"/>
                <w14:textFill>
                  <w14:solidFill>
                    <w14:schemeClr w14:val="tx1"/>
                  </w14:solidFill>
                </w14:textFill>
              </w:rPr>
              <w:t>承诺中标后提供相应的产品检测报告复印件，并加盖厂家鲜章（中标后7个工作日内不能提供的，作为自动放弃处理）</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27     安全性要求：符合GB/T28489-2012《乐器有害物质限量》标准。提供相应产品检测报告复印件加盖投标人公章。</w:t>
            </w:r>
          </w:p>
          <w:p>
            <w:pPr>
              <w:widowControl/>
              <w:spacing w:line="240" w:lineRule="exact"/>
              <w:jc w:val="left"/>
              <w:rPr>
                <w:rFonts w:cs="宋体"/>
                <w:kern w:val="0"/>
                <w:sz w:val="18"/>
                <w:szCs w:val="18"/>
              </w:rPr>
            </w:pPr>
            <w:r>
              <w:rPr>
                <w:rFonts w:hint="eastAsia"/>
                <w:sz w:val="24"/>
                <w:szCs w:val="24"/>
              </w:rPr>
              <w:t>▲</w:t>
            </w:r>
            <w:r>
              <w:rPr>
                <w:rFonts w:hint="eastAsia" w:cs="宋体"/>
                <w:kern w:val="0"/>
                <w:sz w:val="18"/>
                <w:szCs w:val="18"/>
              </w:rPr>
              <w:t>2</w:t>
            </w:r>
            <w:r>
              <w:rPr>
                <w:rFonts w:hint="eastAsia" w:cs="宋体"/>
                <w:b/>
                <w:bCs/>
                <w:kern w:val="0"/>
                <w:sz w:val="18"/>
                <w:szCs w:val="18"/>
              </w:rPr>
              <w:t>8</w:t>
            </w:r>
            <w:r>
              <w:rPr>
                <w:rFonts w:hint="eastAsia" w:cs="宋体"/>
                <w:color w:val="0000FF"/>
                <w:kern w:val="0"/>
                <w:sz w:val="18"/>
                <w:szCs w:val="18"/>
              </w:rPr>
              <w:t xml:space="preserve">  </w:t>
            </w:r>
            <w:r>
              <w:rPr>
                <w:rFonts w:hint="eastAsia" w:cs="宋体"/>
                <w:kern w:val="0"/>
                <w:sz w:val="18"/>
                <w:szCs w:val="18"/>
              </w:rPr>
              <w:t>提供生产厂家有效期内ISO9001质量管理体系认证证书，须提供证书原件扫描件加盖投标人公章。</w:t>
            </w:r>
          </w:p>
          <w:p>
            <w:pPr>
              <w:widowControl/>
              <w:spacing w:line="240" w:lineRule="exact"/>
              <w:jc w:val="left"/>
              <w:rPr>
                <w:rFonts w:cs="宋体"/>
                <w:kern w:val="0"/>
                <w:sz w:val="18"/>
                <w:szCs w:val="18"/>
              </w:rPr>
            </w:pPr>
            <w:r>
              <w:rPr>
                <w:rFonts w:hint="eastAsia" w:cs="宋体"/>
                <w:kern w:val="0"/>
                <w:sz w:val="18"/>
                <w:szCs w:val="18"/>
              </w:rPr>
              <w:t>提供生产厂家有效期内ISO14001环境管理体系认证证书，须提供证书原件扫描件加盖投标人公章。</w:t>
            </w:r>
          </w:p>
          <w:p>
            <w:pPr>
              <w:widowControl/>
              <w:spacing w:line="240" w:lineRule="exact"/>
              <w:jc w:val="left"/>
              <w:rPr>
                <w:rFonts w:cs="宋体"/>
                <w:kern w:val="0"/>
                <w:sz w:val="18"/>
                <w:szCs w:val="18"/>
              </w:rPr>
            </w:pPr>
            <w:r>
              <w:rPr>
                <w:rFonts w:hint="eastAsia" w:cs="宋体"/>
                <w:kern w:val="0"/>
                <w:sz w:val="18"/>
                <w:szCs w:val="18"/>
              </w:rPr>
              <w:t>提供生产厂家有效期内ISO45001职业健康管理体系认证证书，须提供证书原件扫描件加盖投标人公章。</w:t>
            </w:r>
          </w:p>
          <w:p>
            <w:pPr>
              <w:widowControl/>
              <w:spacing w:line="240" w:lineRule="exact"/>
              <w:jc w:val="left"/>
              <w:rPr>
                <w:rFonts w:cs="宋体"/>
                <w:color w:val="000000" w:themeColor="text1"/>
                <w:kern w:val="0"/>
                <w:sz w:val="18"/>
                <w:szCs w:val="18"/>
                <w14:textFill>
                  <w14:solidFill>
                    <w14:schemeClr w14:val="tx1"/>
                  </w14:solidFill>
                </w14:textFill>
              </w:rPr>
            </w:pPr>
            <w:r>
              <w:rPr>
                <w:rFonts w:cs="宋体"/>
                <w:kern w:val="0"/>
                <w:sz w:val="18"/>
                <w:szCs w:val="18"/>
              </w:rPr>
              <w:t xml:space="preserve">29  </w:t>
            </w:r>
            <w:r>
              <w:rPr>
                <w:rFonts w:hint="eastAsia" w:cs="宋体"/>
                <w:kern w:val="0"/>
                <w:sz w:val="18"/>
                <w:szCs w:val="18"/>
                <w:lang w:eastAsia="zh-Hans"/>
              </w:rPr>
              <w:t>需在中国有独立品牌制造工厂</w:t>
            </w:r>
          </w:p>
        </w:tc>
        <w:tc>
          <w:tcPr>
            <w:tcW w:w="60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105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91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71</w:t>
            </w:r>
          </w:p>
        </w:tc>
        <w:tc>
          <w:tcPr>
            <w:tcW w:w="10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2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珠江、鲍德温、吉奥诺、卡瓦依</w:t>
            </w:r>
          </w:p>
        </w:tc>
        <w:tc>
          <w:tcPr>
            <w:tcW w:w="117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bl>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rFonts w:ascii="宋体" w:hAnsi="宋体" w:cs="宋体"/>
          <w:sz w:val="28"/>
          <w:szCs w:val="28"/>
        </w:rPr>
      </w:pPr>
    </w:p>
    <w:p>
      <w:pPr>
        <w:spacing w:line="360" w:lineRule="auto"/>
        <w:ind w:firstLine="630"/>
        <w:jc w:val="center"/>
        <w:rPr>
          <w:rFonts w:ascii="宋体" w:hAnsi="宋体" w:cs="宋体"/>
          <w:sz w:val="28"/>
          <w:szCs w:val="28"/>
        </w:rPr>
      </w:pPr>
      <w:r>
        <w:rPr>
          <w:rFonts w:hint="eastAsia" w:ascii="宋体" w:hAnsi="宋体" w:cs="宋体"/>
          <w:sz w:val="28"/>
          <w:szCs w:val="28"/>
        </w:rPr>
        <w:t xml:space="preserve">                          年  月  日</w:t>
      </w:r>
    </w:p>
    <w:p>
      <w:pPr>
        <w:pStyle w:val="2"/>
        <w:rPr>
          <w:rFonts w:ascii="宋体" w:hAnsi="宋体" w:cs="宋体"/>
          <w:sz w:val="28"/>
          <w:szCs w:val="28"/>
        </w:rPr>
      </w:pPr>
    </w:p>
    <w:p/>
    <w:p>
      <w:pPr>
        <w:pStyle w:val="14"/>
        <w:spacing w:line="560" w:lineRule="exact"/>
        <w:rPr>
          <w:rFonts w:ascii="Times New Roman" w:hAnsi="Times New Roman" w:eastAsia="黑体"/>
          <w:sz w:val="32"/>
          <w:szCs w:val="32"/>
        </w:rPr>
      </w:pPr>
      <w:r>
        <w:rPr>
          <w:rFonts w:hint="eastAsia" w:ascii="Times New Roman" w:hAnsi="Times New Roman" w:eastAsia="黑体"/>
          <w:sz w:val="32"/>
          <w:szCs w:val="32"/>
        </w:rPr>
        <w:t>二标段产品报价：</w:t>
      </w:r>
    </w:p>
    <w:tbl>
      <w:tblPr>
        <w:tblStyle w:val="25"/>
        <w:tblW w:w="12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67"/>
        <w:gridCol w:w="4847"/>
        <w:gridCol w:w="671"/>
        <w:gridCol w:w="978"/>
        <w:gridCol w:w="656"/>
        <w:gridCol w:w="1366"/>
        <w:gridCol w:w="116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阶梯教室4间</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投影显示系统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序号</w:t>
            </w:r>
          </w:p>
        </w:tc>
        <w:tc>
          <w:tcPr>
            <w:tcW w:w="12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名称</w:t>
            </w:r>
          </w:p>
        </w:tc>
        <w:tc>
          <w:tcPr>
            <w:tcW w:w="484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参数规格</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单位</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单价（元）</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数量</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总价（元）</w:t>
            </w: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参考品牌</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激光长焦高清投影机</w:t>
            </w:r>
          </w:p>
        </w:tc>
        <w:tc>
          <w:tcPr>
            <w:tcW w:w="4847" w:type="dxa"/>
            <w:shd w:val="clear" w:color="auto" w:fill="auto"/>
            <w:vAlign w:val="bottom"/>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1、纯激光光源，光源不含Hg（不接受混合光源）；2、标准分辨率：1920*1200或1920*1</w:t>
            </w:r>
            <w:r>
              <w:rPr>
                <w:rFonts w:cs="宋体"/>
                <w:color w:val="000000" w:themeColor="text1"/>
                <w:kern w:val="0"/>
                <w:sz w:val="18"/>
                <w:szCs w:val="18"/>
                <w14:textFill>
                  <w14:solidFill>
                    <w14:schemeClr w14:val="tx1"/>
                  </w14:solidFill>
                </w14:textFill>
              </w:rPr>
              <w:t>08</w:t>
            </w:r>
            <w:r>
              <w:rPr>
                <w:rFonts w:hint="eastAsia" w:cs="宋体"/>
                <w:color w:val="000000" w:themeColor="text1"/>
                <w:kern w:val="0"/>
                <w:sz w:val="18"/>
                <w:szCs w:val="18"/>
                <w14:textFill>
                  <w14:solidFill>
                    <w14:schemeClr w14:val="tx1"/>
                  </w14:solidFill>
                </w14:textFill>
              </w:rPr>
              <w:t>0，支持最大输入分辨率：3840*2160；</w:t>
            </w:r>
            <w:r>
              <w:rPr>
                <w:rFonts w:hint="eastAsia" w:cs="宋体"/>
                <w:color w:val="FF0000"/>
                <w:kern w:val="0"/>
                <w:sz w:val="18"/>
                <w:szCs w:val="18"/>
              </w:rPr>
              <w:br w:type="textWrapping"/>
            </w:r>
            <w:r>
              <w:rPr>
                <w:rFonts w:hint="eastAsia" w:cs="宋体"/>
                <w:color w:val="000000" w:themeColor="text1"/>
                <w:kern w:val="0"/>
                <w:sz w:val="18"/>
                <w:szCs w:val="18"/>
                <w14:textFill>
                  <w14:solidFill>
                    <w14:schemeClr w14:val="tx1"/>
                  </w14:solidFill>
                </w14:textFill>
              </w:rPr>
              <w:t>3、亮度：≥6200ANSI流明；</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4、对比度：≥600000：1（ISO21118标准）；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5、电动镜头，变焦比例≥1.6倍；</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6、色域：色域覆盖面积大于REC.709标准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7、自动垂直梯形矫正≥±40度；</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8、其他功能：DICOM模拟模式，360°投影，多种环境投影模式，梯形校正，7X24小时连续运行，亮度无极调整；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9、标准亮度模式光源寿命≥20000小时；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10、功耗：标准亮度模式工作功率≤385W，待机功率＜0.5W；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11、端口：≥1 个 VGA，≥2个HDMI，≥1 个HDBaseT， ≥1个A型USB（5V/2A），1个A型USB（无线投影）,1个B型USB(维修端口)，</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12、内置扬声器：≥10W；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13、3D技术：多种3D模式，支持DLP link3D;3DTVPLAY立体投影，支持蓝光3D视频播放，支持3D课堂；</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光峰、鸿合、NEC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267" w:type="dxa"/>
            <w:shd w:val="clear" w:color="auto" w:fill="auto"/>
            <w:vAlign w:val="center"/>
          </w:tcPr>
          <w:p>
            <w:pPr>
              <w:widowControl/>
              <w:spacing w:line="240" w:lineRule="exact"/>
              <w:jc w:val="left"/>
              <w:rPr>
                <w:rFonts w:cs="宋体"/>
                <w:kern w:val="0"/>
                <w:sz w:val="18"/>
                <w:szCs w:val="18"/>
              </w:rPr>
            </w:pPr>
            <w:r>
              <w:rPr>
                <w:rFonts w:hint="eastAsia" w:cs="宋体"/>
                <w:kern w:val="0"/>
                <w:sz w:val="18"/>
                <w:szCs w:val="18"/>
                <w:lang w:eastAsia="zh-Hans"/>
              </w:rPr>
              <w:t>电动幕布</w:t>
            </w:r>
          </w:p>
        </w:tc>
        <w:tc>
          <w:tcPr>
            <w:tcW w:w="4847" w:type="dxa"/>
            <w:shd w:val="clear" w:color="auto" w:fill="auto"/>
            <w:vAlign w:val="bottom"/>
          </w:tcPr>
          <w:p>
            <w:pPr>
              <w:widowControl/>
              <w:spacing w:line="240" w:lineRule="exact"/>
              <w:jc w:val="left"/>
              <w:rPr>
                <w:rFonts w:cs="宋体"/>
                <w:kern w:val="0"/>
                <w:sz w:val="18"/>
                <w:szCs w:val="18"/>
              </w:rPr>
            </w:pPr>
            <w:r>
              <w:rPr>
                <w:rFonts w:hint="eastAsia"/>
                <w:sz w:val="24"/>
                <w:szCs w:val="24"/>
              </w:rPr>
              <w:t>▲</w:t>
            </w:r>
            <w:r>
              <w:rPr>
                <w:rFonts w:hint="eastAsia" w:cs="宋体"/>
                <w:kern w:val="0"/>
                <w:sz w:val="18"/>
                <w:szCs w:val="18"/>
              </w:rPr>
              <w:t>1、 150寸电动幕布</w:t>
            </w:r>
            <w:r>
              <w:rPr>
                <w:rFonts w:cs="宋体"/>
                <w:kern w:val="0"/>
                <w:sz w:val="18"/>
                <w:szCs w:val="18"/>
              </w:rPr>
              <w:t>，可收放</w:t>
            </w:r>
          </w:p>
          <w:p>
            <w:pPr>
              <w:widowControl/>
              <w:spacing w:line="240" w:lineRule="exact"/>
              <w:jc w:val="left"/>
              <w:rPr>
                <w:rFonts w:cs="宋体"/>
                <w:kern w:val="0"/>
                <w:sz w:val="18"/>
                <w:szCs w:val="18"/>
              </w:rPr>
            </w:pPr>
            <w:r>
              <w:rPr>
                <w:rFonts w:hint="eastAsia" w:cs="宋体"/>
                <w:kern w:val="0"/>
                <w:sz w:val="18"/>
                <w:szCs w:val="18"/>
              </w:rPr>
              <w:t>2、玻珠幕布表面粘合有超细玻璃珠，玻璃珠细而匀，立体感强，彩质鲜艳，增益高，视角小。幕布亮度系数增益大于2.4倍，具有高分辨率、色彩还原性好、白昼成像清晰、画面有鲜明的焦点感和活力。具有防潮、防雾、阻燃、无异味等特性。</w:t>
            </w:r>
          </w:p>
        </w:tc>
        <w:tc>
          <w:tcPr>
            <w:tcW w:w="671"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978" w:type="dxa"/>
            <w:shd w:val="clear" w:color="auto" w:fill="auto"/>
            <w:vAlign w:val="center"/>
          </w:tcPr>
          <w:p>
            <w:pPr>
              <w:widowControl/>
              <w:spacing w:line="240" w:lineRule="exact"/>
              <w:rPr>
                <w:rFonts w:cs="宋体"/>
                <w:kern w:val="0"/>
                <w:sz w:val="18"/>
                <w:szCs w:val="18"/>
              </w:rPr>
            </w:pPr>
          </w:p>
        </w:tc>
        <w:tc>
          <w:tcPr>
            <w:tcW w:w="656"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1366" w:type="dxa"/>
            <w:shd w:val="clear" w:color="auto" w:fill="auto"/>
            <w:vAlign w:val="center"/>
          </w:tcPr>
          <w:p>
            <w:pPr>
              <w:widowControl/>
              <w:spacing w:line="240" w:lineRule="exact"/>
              <w:jc w:val="center"/>
              <w:rPr>
                <w:rFonts w:cs="宋体"/>
                <w:kern w:val="0"/>
                <w:sz w:val="18"/>
                <w:szCs w:val="18"/>
              </w:rPr>
            </w:pPr>
          </w:p>
        </w:tc>
        <w:tc>
          <w:tcPr>
            <w:tcW w:w="1167" w:type="dxa"/>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得力、莱特斯、小米</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267" w:type="dxa"/>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推拉绿板</w:t>
            </w:r>
          </w:p>
        </w:tc>
        <w:tc>
          <w:tcPr>
            <w:tcW w:w="4847" w:type="dxa"/>
            <w:shd w:val="clear" w:color="auto" w:fill="auto"/>
            <w:vAlign w:val="center"/>
          </w:tcPr>
          <w:p>
            <w:pPr>
              <w:widowControl/>
              <w:spacing w:line="240" w:lineRule="exact"/>
              <w:rPr>
                <w:rFonts w:cs="宋体"/>
                <w:kern w:val="0"/>
                <w:sz w:val="18"/>
                <w:szCs w:val="18"/>
              </w:rPr>
            </w:pPr>
            <w:r>
              <w:rPr>
                <w:rFonts w:hint="eastAsia" w:cs="宋体"/>
                <w:kern w:val="0"/>
                <w:sz w:val="18"/>
                <w:szCs w:val="18"/>
              </w:rPr>
              <w:t>基本尺寸：≥4500mm×2100mm。</w:t>
            </w:r>
          </w:p>
          <w:p>
            <w:pPr>
              <w:widowControl/>
              <w:spacing w:line="240" w:lineRule="exact"/>
              <w:rPr>
                <w:rFonts w:cs="宋体"/>
                <w:kern w:val="0"/>
                <w:sz w:val="18"/>
                <w:szCs w:val="18"/>
              </w:rPr>
            </w:pPr>
            <w:r>
              <w:rPr>
                <w:rFonts w:hint="eastAsia" w:cs="宋体"/>
                <w:kern w:val="0"/>
                <w:sz w:val="18"/>
                <w:szCs w:val="18"/>
              </w:rPr>
              <w:t>1、结构：由四块或两块同等大小的书写板组成，L座链轮和链条传动，升降平稳，走行无噪音，整板效果厚实精细，结合紧凑，高档豪华极具装饰效果</w:t>
            </w:r>
          </w:p>
          <w:p>
            <w:pPr>
              <w:widowControl/>
              <w:spacing w:line="240" w:lineRule="exact"/>
              <w:rPr>
                <w:rFonts w:cs="宋体"/>
                <w:kern w:val="0"/>
                <w:sz w:val="18"/>
                <w:szCs w:val="18"/>
              </w:rPr>
            </w:pPr>
            <w:r>
              <w:rPr>
                <w:rFonts w:hint="eastAsia" w:cs="宋体"/>
                <w:kern w:val="0"/>
                <w:sz w:val="18"/>
                <w:szCs w:val="18"/>
              </w:rPr>
              <w:t>2、书写板面：采用书写专用烤漆板面，墨绿色、亚光，厚度≥0.3mm，漆膜硬度9H，粗糙度Ra1.6-3.2um，光泽度≤6﹪，没有明显眩光，漆面附着牢固，耐磨擦，板面表面附有一层透明保护膜，符合GB/T 28231-2011《书写板安全卫生要求》。</w:t>
            </w:r>
          </w:p>
          <w:p>
            <w:pPr>
              <w:widowControl/>
              <w:spacing w:line="240" w:lineRule="exact"/>
              <w:rPr>
                <w:rFonts w:cs="宋体"/>
                <w:kern w:val="0"/>
                <w:sz w:val="18"/>
                <w:szCs w:val="18"/>
              </w:rPr>
            </w:pPr>
            <w:r>
              <w:rPr>
                <w:rFonts w:hint="eastAsia" w:cs="宋体"/>
                <w:kern w:val="0"/>
                <w:sz w:val="18"/>
                <w:szCs w:val="18"/>
              </w:rPr>
              <w:t>3、内芯材料：采用吸音、高强度、防潮、阻燃的聚苯乙烯板，厚度≥20mm。硬度高，消音环保，能极大的缓冲粉笔与板面的磨擦，具有防潮、吸音、挺度好、平压强度好的作用。</w:t>
            </w:r>
          </w:p>
          <w:p>
            <w:pPr>
              <w:widowControl/>
              <w:spacing w:line="240" w:lineRule="exact"/>
              <w:rPr>
                <w:rFonts w:cs="宋体"/>
                <w:kern w:val="0"/>
                <w:sz w:val="18"/>
                <w:szCs w:val="18"/>
              </w:rPr>
            </w:pPr>
            <w:r>
              <w:rPr>
                <w:rFonts w:hint="eastAsia" w:cs="宋体"/>
                <w:kern w:val="0"/>
                <w:sz w:val="18"/>
                <w:szCs w:val="18"/>
              </w:rPr>
              <w:t>4、背板：采用优质防锈热镀锌钢板，厚度≥0.25mm。边框：采用高强度铝合金型材，电泳香槟色；外立框规格90*70mm，外横框规格90*45mm，内框规格25*25mm，壁厚1mm，黑板边框下沿带有通长拉手槽，方便老师在任意位置推拉。</w:t>
            </w:r>
          </w:p>
          <w:p>
            <w:pPr>
              <w:widowControl/>
              <w:spacing w:line="240" w:lineRule="exact"/>
              <w:rPr>
                <w:rFonts w:cs="宋体"/>
                <w:kern w:val="0"/>
                <w:sz w:val="18"/>
                <w:szCs w:val="18"/>
              </w:rPr>
            </w:pPr>
            <w:r>
              <w:rPr>
                <w:rFonts w:hint="eastAsia" w:cs="宋体"/>
                <w:kern w:val="0"/>
                <w:sz w:val="18"/>
                <w:szCs w:val="18"/>
              </w:rPr>
              <w:t>5、包角材料：采用抗老化高强度ABS工程塑料注塑成型。圆角无尖角毛刺，符合JY0001-2003《教学仪器设备产品一般质量要求》。</w:t>
            </w:r>
          </w:p>
        </w:tc>
        <w:tc>
          <w:tcPr>
            <w:tcW w:w="671"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978"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 xml:space="preserve"> </w:t>
            </w:r>
          </w:p>
        </w:tc>
        <w:tc>
          <w:tcPr>
            <w:tcW w:w="656"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1366" w:type="dxa"/>
            <w:shd w:val="clear" w:color="auto" w:fill="auto"/>
            <w:vAlign w:val="center"/>
          </w:tcPr>
          <w:p>
            <w:pPr>
              <w:widowControl/>
              <w:spacing w:line="240" w:lineRule="exact"/>
              <w:jc w:val="center"/>
              <w:rPr>
                <w:rFonts w:cs="宋体"/>
                <w:kern w:val="0"/>
                <w:sz w:val="18"/>
                <w:szCs w:val="18"/>
              </w:rPr>
            </w:pPr>
          </w:p>
        </w:tc>
        <w:tc>
          <w:tcPr>
            <w:tcW w:w="1167" w:type="dxa"/>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蓝贝斯特、海捷、科达</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台式电脑</w:t>
            </w:r>
          </w:p>
        </w:tc>
        <w:tc>
          <w:tcPr>
            <w:tcW w:w="484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I5/8G/256 2G独立显卡 配套21寸以上显示器</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联想、惠普、三星</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控制系统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 </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多媒体智能终端</w:t>
            </w:r>
          </w:p>
        </w:tc>
        <w:tc>
          <w:tcPr>
            <w:tcW w:w="4847"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1.支持交互控制面板，具备系统锁定功能，系统锁定后面板任何按键操作无效，解锁后面板按键起作用；</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2.支持管理平台远程控制多媒体设备开关、信号切换、触控面板解锁、锁定等功能，具备计算机、笔记本、无线投屏音视频一键切换；一键开关系统；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3.视频信号模块：≧3路HDMI输入，≧4路HDMI输出；需支持4K高清信号传输；≧1路VGA输入，≧2路VGA输出；≧1路音频输入，≧2路音频输出，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智能控制模块：≧7路RS232通讯接口；≧1路RS485接口；≧8路IO接口；≧1路LAN网络接口，支持TCP/IP协议；≧1路读卡器接口，接口形式采用RJ45模块插孔，并为读卡器提供供电，支持插卡和刷卡模式读卡器。≧2路交互控制面板接口，接口形式采用RJ45模块插孔，并支持控制面板供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电源管理模块：≧3路220V可控电源插座；支持电压、电流检测；≧2路220V幕布控制端口，具备接地端子，可同步或异步控制两块幕布，≧4路220V继电器控制端口，提供产品图片佐证；设备电源总输入：≧220V\50Hz\10A，输出：≧220V \50Hz\9A，以3C证书为准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6.具备IC卡权限管理功能，具备IC卡数据存储，脱网状态下可以保存不少于4万张IC卡数据、4万条刷卡记录，断网状态不影响老师使用。联网后刷卡记录自动上传，IC卡授权数据自动下载。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7.支持本地课表存储，不少于180天课表授权数据存储。按课表自动执行系统开启和关闭，可脱网运行；</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具备交互提醒下课，下课时间到可通过计算机或交互控制面板弹出对话框及语音提示，询问老师是否继续使用多媒体，如果没有回复，系统在倒计时结束后，自动关闭系统；如继续使用，根据提示操作取消关机。可自定义倒计时时长。</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9.支持至少两台投影机状态检测和投影机灯泡时长采集，采集信息自动上传到管理平台；支持物联网环境数据采集功能，支持温度、湿度、CO2，PM2.5、PM10等环境数据的监测，监测数据自动上传到管理平台；</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10.支持EDID自动读取设置和手动读取设置，可以根据不同分辨率显示设备（投影机、显示器、触控屏等）设置EDID，要求支持4K、1080P、720P、1024*768多种分辨率；</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11.设置软件支持B/S界面，浏览器远程配置，设置软件支持终端设备IP地址、MAC地址扫描；支持网络远程设置功能键码、功能序列，需支持DHCP自动获取IP地址和静态IP地址设置。支持远程固件升级，支持云端配置数据备份</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万讯、ITC、鹏畅</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847" w:type="dxa"/>
            <w:shd w:val="clear" w:color="auto" w:fill="auto"/>
            <w:vAlign w:val="center"/>
          </w:tcPr>
          <w:p>
            <w:pPr>
              <w:widowControl/>
              <w:spacing w:line="220" w:lineRule="exact"/>
              <w:jc w:val="left"/>
              <w:rPr>
                <w:sz w:val="24"/>
                <w:szCs w:val="24"/>
              </w:rPr>
            </w:pP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交互控制面板</w:t>
            </w:r>
          </w:p>
        </w:tc>
        <w:tc>
          <w:tcPr>
            <w:tcW w:w="4847"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1.要求采用Android操作系统，电容触摸屏，尺寸≥7寸；分辨率≥1024×600；对比度≥800:1；具备以太网通讯端口、RS232接口。</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2.显示背景、操作界面和功能按键可根据用户需求自定义编程配置，支持联动控制编程，支持个性化图片、图标、颜色配置，支持锁屏背景图设置。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3.与多媒体智能终端配合，可以对录播、互动等设备进行管控，自定义界面和控制逻辑。支持融合第三方app应用程序，实现控制逻辑融合，简化老师操作。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4.集成千兆网卡，交互控制面板可以直接通过网络与管理平台通讯。实现远程配置，远程升级。</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5.支持管理平台向液晶控制面板推送动态二维码，二维码可用于手机扫码身份权限验证。</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6.支持时间及物联环境数据动态显示。支持语音识别及自定义语音控制指令，实现通过语音“上课”、“下课”、“开计算机”、“关计算机”等的日常多媒体教学过程的控制与操作；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7.具备下课交互提醒功能，下课时支持弹出对话框，询问老师是否继续使用设备，如继续使用，可根据提示操作取消关机。如果没有回复，倒计时结束后，自动关闭系统；</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8.交互控制面板通讯接口需支持RJ45模块方式，支持网线连接智能终端主机实现通讯与供电，不需配置单独电源，传输距离最长可达20米。</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万讯、ITC、鹏畅</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舞蹈教室   4间</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大屏显示系统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大屏电视</w:t>
            </w:r>
          </w:p>
        </w:tc>
        <w:tc>
          <w:tcPr>
            <w:tcW w:w="484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尺寸≧</w:t>
            </w:r>
            <w:r>
              <w:rPr>
                <w:rFonts w:cs="宋体"/>
                <w:color w:val="000000" w:themeColor="text1"/>
                <w:kern w:val="0"/>
                <w:sz w:val="18"/>
                <w:szCs w:val="18"/>
                <w14:textFill>
                  <w14:solidFill>
                    <w14:schemeClr w14:val="tx1"/>
                  </w14:solidFill>
                </w14:textFill>
              </w:rPr>
              <w:t>1</w:t>
            </w:r>
            <w:r>
              <w:rPr>
                <w:rFonts w:hint="eastAsia" w:cs="宋体"/>
                <w:color w:val="000000" w:themeColor="text1"/>
                <w:kern w:val="0"/>
                <w:sz w:val="18"/>
                <w:szCs w:val="18"/>
                <w14:textFill>
                  <w14:solidFill>
                    <w14:schemeClr w14:val="tx1"/>
                  </w14:solidFill>
                </w14:textFill>
              </w:rPr>
              <w:t>0</w:t>
            </w:r>
            <w:r>
              <w:rPr>
                <w:rFonts w:cs="宋体"/>
                <w:color w:val="000000" w:themeColor="text1"/>
                <w:kern w:val="0"/>
                <w:sz w:val="18"/>
                <w:szCs w:val="18"/>
                <w14:textFill>
                  <w14:solidFill>
                    <w14:schemeClr w14:val="tx1"/>
                  </w14:solidFill>
                </w14:textFill>
              </w:rPr>
              <w:t>0</w:t>
            </w:r>
            <w:r>
              <w:rPr>
                <w:rFonts w:hint="eastAsia" w:cs="宋体"/>
                <w:color w:val="000000" w:themeColor="text1"/>
                <w:kern w:val="0"/>
                <w:sz w:val="18"/>
                <w:szCs w:val="18"/>
                <w14:textFill>
                  <w14:solidFill>
                    <w14:schemeClr w14:val="tx1"/>
                  </w14:solidFill>
                </w14:textFill>
              </w:rPr>
              <w:t>英寸；MEMC运动补偿；4K超高清； 存储≧4GB+64GB</w:t>
            </w:r>
            <w:r>
              <w:rPr>
                <w:rFonts w:cs="宋体"/>
                <w:color w:val="000000" w:themeColor="text1"/>
                <w:kern w:val="0"/>
                <w:sz w:val="18"/>
                <w:szCs w:val="18"/>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支持VRR可变刷新率，支持HDR显示</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7</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TCL、创维、小米</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267" w:type="dxa"/>
            <w:shd w:val="clear" w:color="auto" w:fill="auto"/>
            <w:vAlign w:val="center"/>
          </w:tcPr>
          <w:p>
            <w:pPr>
              <w:widowControl/>
              <w:jc w:val="left"/>
              <w:textAlignment w:val="center"/>
              <w:rPr>
                <w:rFonts w:ascii="宋体" w:hAnsi="宋体" w:cs="宋体"/>
                <w:color w:val="000000"/>
                <w:sz w:val="22"/>
              </w:rPr>
            </w:pPr>
            <w:r>
              <w:rPr>
                <w:rFonts w:hint="eastAsia" w:cs="宋体"/>
                <w:color w:val="000000" w:themeColor="text1"/>
                <w:kern w:val="0"/>
                <w:sz w:val="18"/>
                <w:szCs w:val="18"/>
                <w14:textFill>
                  <w14:solidFill>
                    <w14:schemeClr w14:val="tx1"/>
                  </w14:solidFill>
                </w14:textFill>
              </w:rPr>
              <w:t>播放器</w:t>
            </w:r>
          </w:p>
        </w:tc>
        <w:tc>
          <w:tcPr>
            <w:tcW w:w="484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1、支持4K30HZ。</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2、支持U盘内容播放。</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美利多、小米、创维</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3</w:t>
            </w:r>
          </w:p>
        </w:tc>
        <w:tc>
          <w:tcPr>
            <w:tcW w:w="1267" w:type="dxa"/>
            <w:shd w:val="clear" w:color="auto" w:fill="auto"/>
            <w:vAlign w:val="center"/>
          </w:tcPr>
          <w:p>
            <w:pPr>
              <w:widowControl/>
              <w:jc w:val="left"/>
              <w:textAlignment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分配器</w:t>
            </w:r>
          </w:p>
        </w:tc>
        <w:tc>
          <w:tcPr>
            <w:tcW w:w="484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高清视频一进二出</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绿联、迈拓维矩、飞利浦</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音乐教室  5间</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显示系统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智能交互一体机</w:t>
            </w:r>
          </w:p>
        </w:tc>
        <w:tc>
          <w:tcPr>
            <w:tcW w:w="4847" w:type="dxa"/>
            <w:shd w:val="clear" w:color="auto" w:fill="auto"/>
            <w:vAlign w:val="center"/>
          </w:tcPr>
          <w:p>
            <w:pPr>
              <w:widowControl/>
              <w:numPr>
                <w:ilvl w:val="0"/>
                <w:numId w:val="3"/>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硬件配置</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1.屏幕尺寸≥86英寸，LED液晶屏体：A规屏；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2.显示比例16:9，物理分辨率：3840×2160，最大可视角度≥178度，灰阶等级≥256；</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3.支持双系统下10点同时触控及书写,响应时间≤8ms；定位精度：±0.1mm；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4.屏幕表面采用防眩目钢化玻璃，防撞防划，表面硬度不低于7H,透光率≥90%，雾度≤8%；</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5.前置接口采用隐藏式防护盖板设计，保证用户使用安全的同时，也可防止前置接口粉尘堆积；</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6为了方便老师快速的接入各种硬件教学设备，交互平板前置面板具有以下输入接口：≥2路双通道USB3.0接口，≥1路全功能通道（Type-C）接口，≥1路HDMI接口；可实现音视频、触控输入等。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 交互平板屏体具有防蓝光功能，达到蓝光防护效果；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 在传统推拉式黑板和智能交互平板结合应用的教学场景下，关闭推拉黑板，可自动进入黑屏节能模式；</w:t>
            </w:r>
            <w:r>
              <w:rPr>
                <w:rFonts w:cs="宋体"/>
                <w:color w:val="000000" w:themeColor="text1"/>
                <w:kern w:val="0"/>
                <w:sz w:val="18"/>
                <w:szCs w:val="18"/>
                <w14:textFill>
                  <w14:solidFill>
                    <w14:schemeClr w14:val="tx1"/>
                  </w14:solidFill>
                </w14:textFill>
              </w:rPr>
              <w:t xml:space="preserve"> </w:t>
            </w:r>
          </w:p>
          <w:p>
            <w:pPr>
              <w:widowControl/>
              <w:numPr>
                <w:ilvl w:val="0"/>
                <w:numId w:val="3"/>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配套开放式OPS接口，需与触摸一体机开发式插拔使用：CPU≥Intel 九代 I5以上配置；内存≥8G DDR4；硬盘≥256G固态硬盘；具有视频输出接口： HDMI 1个或以上，USB接口3个或以上，其中至少2个为USB3.0接口；WIN10操作系统及以上；</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希沃、鸿合、东方中原</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书写绿板</w:t>
            </w:r>
          </w:p>
        </w:tc>
        <w:tc>
          <w:tcPr>
            <w:tcW w:w="4847" w:type="dxa"/>
            <w:shd w:val="clear" w:color="auto" w:fill="auto"/>
            <w:vAlign w:val="bottom"/>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1、根据大屏尺寸定制</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2、左右推拉，书写绿板与智能交互一体机整体含框。</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定制</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3</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显示器</w:t>
            </w:r>
          </w:p>
        </w:tc>
        <w:tc>
          <w:tcPr>
            <w:tcW w:w="484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21寸以上</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联想、惠普、三星</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扩声系统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 </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数字红外无线麦克风</w:t>
            </w:r>
          </w:p>
        </w:tc>
        <w:tc>
          <w:tcPr>
            <w:tcW w:w="4847" w:type="dxa"/>
            <w:shd w:val="clear" w:color="auto" w:fill="auto"/>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1.红外麦克风在不同教室之间使用，无需对频，即开即用，简单方便；不受高频驱动光源干扰，可正常工作于阳光下的环境；</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2.扩展性能强，支持外部音频输入（Ø 3.5 mm AUDIO IN），与其它音频设备（如MP3、手机等）组合，传输更随意；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3.需具有麦克风音量调节、话筒频点设定及话筒灵敏度设置；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4.当发言者在设定时间内无发言时，自动关闭红外信号发射，达到智能管理电量；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5.为了满足互动教学，需支持按住一键开启话筒，松开后话筒即关闭；可实现远程控制PPT翻页及内置激光笔功能；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6.轻巧美观，多种使用方式灵活选择：可手持或颈挂；发射角度：垂直0°～90°，水平120°；</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7.内置可充电锂电池，持续发言时间≥7小时；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8.具有良好的对灯光的抗干扰性；测量数字红外无线麦克风对节能灯灯光的抗干扰。提供国家认可的权威机构出具的检测报告扫描件加盖公章。</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9.需支持USB口充电（兼容手机充电器）和插入充电座充电;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10.无线麦克风自带电子锁锁口，可搭配电子锁底座进行话筒安全管理；提供蓝牙扫码开锁手机App（含Android和IOS）软件著作权证书复印件加盖公章。</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数字红外接收器</w:t>
            </w:r>
          </w:p>
        </w:tc>
        <w:tc>
          <w:tcPr>
            <w:tcW w:w="4847" w:type="dxa"/>
            <w:shd w:val="clear" w:color="auto" w:fill="auto"/>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1.数字红外音频传输及控制技术；不受高频驱动光源干扰，可正常工作于阳光下的环境；</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2.接收频点可调；接收角度：垂直：150° (±75°)，水平：360°; </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3.辐射距离≥25米；用麦克风在距离数字红外接收器25米处发言.</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4.≥1个RJ45接口，用于连接RJ45延长网线。</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3 </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有线麦克风</w:t>
            </w:r>
          </w:p>
        </w:tc>
        <w:tc>
          <w:tcPr>
            <w:tcW w:w="4847" w:type="dxa"/>
            <w:shd w:val="clear" w:color="auto" w:fill="auto"/>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1.可拆卸麦克风，麦克风长度可选；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2.需内置充电底座，可对2支无线麦克风同时充电；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3.需带1根音频用于连接主机/控制盒传输音频；</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4.需具有1个麦克风开/关按键；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5.具有1个USB接口，可使用适配器为充电座供电；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★提供制造厂家售后服务承诺函及原厂印刷的产品介绍彩页</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4 </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数字红外无线教学扩声系统主机</w:t>
            </w:r>
          </w:p>
        </w:tc>
        <w:tc>
          <w:tcPr>
            <w:tcW w:w="4847" w:type="dxa"/>
            <w:shd w:val="clear" w:color="auto" w:fill="auto"/>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1.具有国家质量认证中心国家强制性3认证；</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2.≥2个RJ45接口，用于连接数字红外接收器，内置功放，可直接连接音箱，输出功率≥60 W×2只（8 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3.≥2路线路输入，2路输入音量大小可调；≥1路线路输出；≥2路USB接口，一路USB口用于连接麦克风充电座，一路通过USB线连接到电脑，可配合数字红外无线麦克风实现PPT翻页功能；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4.具有啸叫抑制、频点选择、话筒低切等功能，可通过拨码开关设置；为了更清楚的表现出主体声音，需具有线路声音自动衰减功能开关，即麦克风有声音触发时，背景声音降低；</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5.频率响应（麦克风-主机）100Hz～20kHz；信噪比（麦克风-主机）≥90 dBA；总谐波失真（麦克风-主机）≤0.05%；动态范围（麦克风-主机）≥85dB；</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6．具有过压保护，欠压保护，过温压限，过温关机，过流压限，过流关机，直流保护，输出短路保护，线性温控风扇。</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5 </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壁挂式音箱</w:t>
            </w:r>
          </w:p>
        </w:tc>
        <w:tc>
          <w:tcPr>
            <w:tcW w:w="484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1.两路低音反射式扬声系统，高强度注膜树脂壳体；</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2.技术参数要求：频率响应： 65 Hz-20 kHz；定阻输入：8 Ω；额定功率：≥30 W；灵敏度：≥</w:t>
            </w:r>
            <w:r>
              <w:rPr>
                <w:rFonts w:cs="宋体"/>
                <w:color w:val="000000" w:themeColor="text1"/>
                <w:kern w:val="0"/>
                <w:sz w:val="18"/>
                <w:szCs w:val="18"/>
                <w14:textFill>
                  <w14:solidFill>
                    <w14:schemeClr w14:val="tx1"/>
                  </w14:solidFill>
                </w14:textFill>
              </w:rPr>
              <w:t>88</w:t>
            </w:r>
            <w:r>
              <w:rPr>
                <w:rFonts w:hint="eastAsia" w:cs="宋体"/>
                <w:color w:val="000000" w:themeColor="text1"/>
                <w:kern w:val="0"/>
                <w:sz w:val="18"/>
                <w:szCs w:val="18"/>
                <w14:textFill>
                  <w14:solidFill>
                    <w14:schemeClr w14:val="tx1"/>
                  </w14:solidFill>
                </w14:textFill>
              </w:rPr>
              <w:t>dB；</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3.可垂直及水平安装，配备安装支架；</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配套设备</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讲台</w:t>
            </w:r>
          </w:p>
        </w:tc>
        <w:tc>
          <w:tcPr>
            <w:tcW w:w="4847" w:type="dxa"/>
            <w:shd w:val="clear" w:color="auto" w:fill="auto"/>
            <w:vAlign w:val="center"/>
          </w:tcPr>
          <w:p>
            <w:pPr>
              <w:widowControl/>
              <w:numPr>
                <w:ilvl w:val="0"/>
                <w:numId w:val="4"/>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盖门采取翻转方式。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2、合理的尺寸设计，合理的设备安排，国标19英寸机架，真正做到防盗功能。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3、钢木结合材料一体成型；木质扶手；桌面木质花纹转印技术；全封闭式结构，保障了多媒体设备的安全性。</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4、普通锁</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5、液晶显示器采用开放式，关闭后所有设备都隐藏在讲台内。</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6、整体采用分体式结构，上下两部分采用分体组装。</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7、键盘采用翻转式操作，显示器、中央控制系统、键盘互不影响独立操作。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8、右侧采用隐藏抽拉式设计，安装视频展示台。9、讲台尺寸：长1100mm*宽720mm*高1070mm。10、颜色由甲方确认。</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蓝贝斯特、海捷、点圆</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桌椅</w:t>
            </w:r>
          </w:p>
        </w:tc>
        <w:tc>
          <w:tcPr>
            <w:tcW w:w="484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移动桌椅（50人1间、40人4间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2人</w:t>
            </w:r>
            <w:r>
              <w:rPr>
                <w:rFonts w:hint="eastAsia" w:cs="宋体"/>
                <w:color w:val="000000" w:themeColor="text1"/>
                <w:kern w:val="0"/>
                <w:sz w:val="18"/>
                <w:szCs w:val="18"/>
                <w:lang w:eastAsia="zh-Hans"/>
                <w14:textFill>
                  <w14:solidFill>
                    <w14:schemeClr w14:val="tx1"/>
                  </w14:solidFill>
                </w14:textFill>
              </w:rPr>
              <w:t>或</w:t>
            </w:r>
            <w:r>
              <w:rPr>
                <w:rFonts w:cs="宋体"/>
                <w:color w:val="000000" w:themeColor="text1"/>
                <w:kern w:val="0"/>
                <w:sz w:val="18"/>
                <w:szCs w:val="18"/>
                <w:lang w:eastAsia="zh-Hans"/>
                <w14:textFill>
                  <w14:solidFill>
                    <w14:schemeClr w14:val="tx1"/>
                  </w14:solidFill>
                </w14:textFill>
              </w:rPr>
              <w:t>1</w:t>
            </w:r>
            <w:r>
              <w:rPr>
                <w:rFonts w:hint="eastAsia" w:cs="宋体"/>
                <w:color w:val="000000" w:themeColor="text1"/>
                <w:kern w:val="0"/>
                <w:sz w:val="18"/>
                <w:szCs w:val="18"/>
                <w:lang w:eastAsia="zh-Hans"/>
                <w14:textFill>
                  <w14:solidFill>
                    <w14:schemeClr w14:val="tx1"/>
                  </w14:solidFill>
                </w14:textFill>
              </w:rPr>
              <w:t>人</w:t>
            </w:r>
            <w:r>
              <w:rPr>
                <w:rFonts w:hint="eastAsia" w:cs="宋体"/>
                <w:color w:val="000000" w:themeColor="text1"/>
                <w:kern w:val="0"/>
                <w:sz w:val="18"/>
                <w:szCs w:val="18"/>
                <w14:textFill>
                  <w14:solidFill>
                    <w14:schemeClr w14:val="tx1"/>
                  </w14:solidFill>
                </w14:textFill>
              </w:rPr>
              <w:t>长条桌：1、桌面：E1级高密度板台面，厚度为25MM，内材经过防虫、防腐的化学处理，强度高、钢性好、不变形、比重合理；封边：PVC胶边；游离甲醛释放量优于国家标准，密度750公斤/立方米，游离甲醛含量8mg/100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2、桌架：1.5mm厚蛋管冷轧钢立柱，1.2mm冷轧钢横梁，表面高温静电喷涂；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3、书网：材料为0.8mm冷轧钢架，表面高温静电喷涂；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4、挡板：挡板E1级高密度板采用12MM，内材经过防虫、防腐的化学处理，强度高、钢性好、不变形、比重合理；封边：PVC胶边；游离甲醛释放量优于国家标准，密度700公斤/立方米，游离甲醛含量8mg/100g。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5、脚轮：可调节高低，两个带刹车轮，两个不带刹车，方便用户随时调节桌面平整；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6、折叠：整个桌子可90度折叠，节省空间。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7、木板颜色：多色可选或提供样品色定制；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8、平衡码： 1）可固定拼接、整体移动，2）可固定桌面平整；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四轮转椅：1、面料：采用优质颐达网布面料，防磨防污性好；颜色可选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2、辅料：采用优于或等于45#高密度、高弹力定型海绵，可防氧化、防碎，软硬适中，回弹性良好，不易变形；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3、架子：1.4mm厚钢制电镀脚架。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4、功能：座板可翻起、扶手可前后调整、可折叠</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5、铝合金链接件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6、整体尺寸：580mm*580mm*850mm</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位</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r>
              <w:rPr>
                <w:rFonts w:cs="宋体"/>
                <w:color w:val="000000" w:themeColor="text1"/>
                <w:kern w:val="0"/>
                <w:sz w:val="18"/>
                <w:szCs w:val="18"/>
                <w14:textFill>
                  <w14:solidFill>
                    <w14:schemeClr w14:val="tx1"/>
                  </w14:solidFill>
                </w14:textFill>
              </w:rPr>
              <w:t>1</w:t>
            </w:r>
            <w:r>
              <w:rPr>
                <w:rFonts w:hint="eastAsia" w:cs="宋体"/>
                <w:color w:val="000000" w:themeColor="text1"/>
                <w:kern w:val="0"/>
                <w:sz w:val="18"/>
                <w:szCs w:val="18"/>
                <w14:textFill>
                  <w14:solidFill>
                    <w14:schemeClr w14:val="tx1"/>
                  </w14:solidFill>
                </w14:textFill>
              </w:rPr>
              <w:t>0</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定制</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集成费用</w:t>
            </w:r>
          </w:p>
        </w:tc>
        <w:tc>
          <w:tcPr>
            <w:tcW w:w="4847"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设备的施工安装集成费用</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间</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13</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34" w:type="dxa"/>
            <w:gridSpan w:val="3"/>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电声设备</w:t>
            </w:r>
          </w:p>
        </w:tc>
        <w:tc>
          <w:tcPr>
            <w:tcW w:w="67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97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656"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366"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话筒</w:t>
            </w:r>
          </w:p>
        </w:tc>
        <w:tc>
          <w:tcPr>
            <w:tcW w:w="4847"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音频输入电平：增益位置0dB</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-20dBV   -10dB</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-10dBV；</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发射机发射功率：10mW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外观尺寸：224mm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53mm直径</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电源要求：2节LR6五号电池，1.5伏，碱性电池</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w:t>
            </w:r>
          </w:p>
        </w:tc>
        <w:tc>
          <w:tcPr>
            <w:tcW w:w="978"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舒尔、得胜、JBL</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调音台</w:t>
            </w:r>
          </w:p>
        </w:tc>
        <w:tc>
          <w:tcPr>
            <w:tcW w:w="4847"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尺寸：244×71×294；</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功耗：22.9W；</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无线接收器</w:t>
            </w:r>
          </w:p>
        </w:tc>
        <w:tc>
          <w:tcPr>
            <w:tcW w:w="4847" w:type="dxa"/>
            <w:shd w:val="clear" w:color="auto" w:fill="auto"/>
          </w:tcPr>
          <w:p>
            <w:pPr>
              <w:widowControl/>
              <w:spacing w:line="220" w:lineRule="exac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话筒数量</w:t>
            </w:r>
            <w:r>
              <w:rPr>
                <w:rFonts w:cs="宋体"/>
                <w:color w:val="000000" w:themeColor="text1"/>
                <w:kern w:val="0"/>
                <w:sz w:val="18"/>
                <w:szCs w:val="18"/>
                <w:lang w:eastAsia="zh-Hans"/>
                <w14:textFill>
                  <w14:solidFill>
                    <w14:schemeClr w14:val="tx1"/>
                  </w14:solidFill>
                </w14:textFill>
              </w:rPr>
              <w:t>：4</w:t>
            </w:r>
          </w:p>
          <w:p>
            <w:pPr>
              <w:widowControl/>
              <w:spacing w:line="220" w:lineRule="exac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工作范围：</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91米（300英尺）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频率响应：50到1500HZ</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动态范围：≦100dB,A-加权，典型</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尺寸：40mm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388mm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116mm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输出阻抗：XLR接头：200，6.35毫米</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舒尔、得胜、JBL</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音频线材</w:t>
            </w:r>
          </w:p>
        </w:tc>
        <w:tc>
          <w:tcPr>
            <w:tcW w:w="4847"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双声道6.3插头转6.3插头</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根</w:t>
            </w:r>
          </w:p>
        </w:tc>
        <w:tc>
          <w:tcPr>
            <w:tcW w:w="978"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功放机</w:t>
            </w:r>
          </w:p>
        </w:tc>
        <w:tc>
          <w:tcPr>
            <w:tcW w:w="4847"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声道：2；</w:t>
            </w:r>
          </w:p>
          <w:p>
            <w:pPr>
              <w:widowControl/>
              <w:spacing w:line="220" w:lineRule="exac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HDAM</w:t>
            </w:r>
            <w:r>
              <w:rPr>
                <w:rFonts w:hint="eastAsia" w:cs="宋体"/>
                <w:color w:val="000000" w:themeColor="text1"/>
                <w:kern w:val="0"/>
                <w:sz w:val="18"/>
                <w:szCs w:val="18"/>
                <w:lang w:eastAsia="zh-Hans"/>
                <w14:textFill>
                  <w14:solidFill>
                    <w14:schemeClr w14:val="tx1"/>
                  </w14:solidFill>
                </w14:textFill>
              </w:rPr>
              <w:t>版本</w:t>
            </w:r>
            <w:r>
              <w:rPr>
                <w:rFonts w:cs="宋体"/>
                <w:color w:val="000000" w:themeColor="text1"/>
                <w:kern w:val="0"/>
                <w:sz w:val="18"/>
                <w:szCs w:val="18"/>
                <w:lang w:eastAsia="zh-Hans"/>
                <w14:textFill>
                  <w14:solidFill>
                    <w14:schemeClr w14:val="tx1"/>
                  </w14:solidFill>
                </w14:textFill>
              </w:rPr>
              <w:t>：SA2,SA3</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功率输出：40W/50W；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信噪比：103dB(2V输出)；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440×370×105；</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监听音响</w:t>
            </w:r>
          </w:p>
        </w:tc>
        <w:tc>
          <w:tcPr>
            <w:tcW w:w="4847"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系统类型：有源超低音音箱；</w:t>
            </w:r>
          </w:p>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频率响应</w:t>
            </w:r>
            <w:r>
              <w:rPr>
                <w:rFonts w:cs="宋体"/>
                <w:color w:val="000000" w:themeColor="text1"/>
                <w:kern w:val="0"/>
                <w:sz w:val="18"/>
                <w:szCs w:val="18"/>
                <w:lang w:eastAsia="zh-Hans"/>
                <w14:textFill>
                  <w14:solidFill>
                    <w14:schemeClr w14:val="tx1"/>
                  </w14:solidFill>
                </w14:textFill>
              </w:rPr>
              <w:t>：22Hz-160kHz</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输出功率：150W；</w:t>
            </w:r>
          </w:p>
          <w:p>
            <w:pPr>
              <w:widowControl/>
              <w:spacing w:line="220" w:lineRule="exact"/>
              <w:rPr>
                <w:rFonts w:ascii="宋体" w:hAnsi="宋体"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输入接口</w:t>
            </w:r>
            <w:r>
              <w:rPr>
                <w:rFonts w:cs="宋体"/>
                <w:color w:val="000000" w:themeColor="text1"/>
                <w:kern w:val="0"/>
                <w:sz w:val="18"/>
                <w:szCs w:val="18"/>
                <w:lang w:eastAsia="zh-Hans"/>
                <w14:textFill>
                  <w14:solidFill>
                    <w14:schemeClr w14:val="tx1"/>
                  </w14:solidFill>
                </w14:textFill>
              </w:rPr>
              <w:t>：XLR3-31</w:t>
            </w:r>
            <w:r>
              <w:rPr>
                <w:rFonts w:hint="eastAsia" w:cs="宋体"/>
                <w:color w:val="000000" w:themeColor="text1"/>
                <w:kern w:val="0"/>
                <w:sz w:val="18"/>
                <w:szCs w:val="18"/>
                <w:lang w:eastAsia="zh-Hans"/>
                <w14:textFill>
                  <w14:solidFill>
                    <w14:schemeClr w14:val="tx1"/>
                  </w14:solidFill>
                </w14:textFill>
              </w:rPr>
              <w:t>型</w:t>
            </w:r>
            <w:r>
              <w:rPr>
                <w:rFonts w:cs="宋体"/>
                <w:color w:val="000000" w:themeColor="text1"/>
                <w:kern w:val="0"/>
                <w:sz w:val="18"/>
                <w:szCs w:val="18"/>
                <w:lang w:eastAsia="zh-Hans"/>
                <w14:textFill>
                  <w14:solidFill>
                    <w14:schemeClr w14:val="tx1"/>
                  </w14:solidFill>
                </w14:textFill>
              </w:rPr>
              <w:t>（</w:t>
            </w:r>
            <w:r>
              <w:rPr>
                <w:rFonts w:hint="eastAsia" w:cs="宋体"/>
                <w:color w:val="000000" w:themeColor="text1"/>
                <w:kern w:val="0"/>
                <w:sz w:val="18"/>
                <w:szCs w:val="18"/>
                <w:lang w:eastAsia="zh-Hans"/>
                <w14:textFill>
                  <w14:solidFill>
                    <w14:schemeClr w14:val="tx1"/>
                  </w14:solidFill>
                </w14:textFill>
              </w:rPr>
              <w:t>平衡</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2</w:t>
            </w:r>
          </w:p>
          <w:p>
            <w:pPr>
              <w:widowControl/>
              <w:spacing w:line="220" w:lineRule="exact"/>
              <w:ind w:firstLine="900" w:firstLineChars="500"/>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PHONE（</w:t>
            </w:r>
            <w:r>
              <w:rPr>
                <w:rFonts w:hint="eastAsia" w:cs="宋体"/>
                <w:color w:val="000000" w:themeColor="text1"/>
                <w:kern w:val="0"/>
                <w:sz w:val="18"/>
                <w:szCs w:val="18"/>
                <w:lang w:eastAsia="zh-Hans"/>
                <w14:textFill>
                  <w14:solidFill>
                    <w14:schemeClr w14:val="tx1"/>
                  </w14:solidFill>
                </w14:textFill>
              </w:rPr>
              <w:t>平衡</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2</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300×350×389.</w:t>
            </w:r>
          </w:p>
          <w:p>
            <w:pPr>
              <w:widowControl/>
              <w:spacing w:line="220" w:lineRule="exac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重量</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12</w:t>
            </w:r>
            <w:r>
              <w:rPr>
                <w:rFonts w:hint="eastAsia" w:ascii="宋体" w:hAnsi="宋体" w:cs="宋体"/>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5kg</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对</w:t>
            </w:r>
          </w:p>
        </w:tc>
        <w:tc>
          <w:tcPr>
            <w:tcW w:w="978" w:type="dxa"/>
            <w:shd w:val="clear" w:color="auto" w:fill="auto"/>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2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指挥教室 1间</w:t>
            </w:r>
          </w:p>
        </w:tc>
        <w:tc>
          <w:tcPr>
            <w:tcW w:w="1366" w:type="dxa"/>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指挥台</w:t>
            </w:r>
          </w:p>
        </w:tc>
        <w:tc>
          <w:tcPr>
            <w:tcW w:w="4847" w:type="dxa"/>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1.谱台板尺寸 67×44cm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2.二层台板尺寸 45×30cm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3.谱台板高度 80-120cm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4.护栏高度高100cm 宽85cm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5.站台尺寸 125×100×28cm</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820"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67"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谱架</w:t>
            </w:r>
          </w:p>
        </w:tc>
        <w:tc>
          <w:tcPr>
            <w:tcW w:w="4847" w:type="dxa"/>
            <w:vMerge w:val="restart"/>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1.材质：金属管体架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2.旋钮：高强度精美旋钮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3.规格：最高170cm，最低96cm，话筒夹3.1cm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4.重量：3.5kg</w:t>
            </w:r>
          </w:p>
        </w:tc>
        <w:tc>
          <w:tcPr>
            <w:tcW w:w="67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架</w:t>
            </w:r>
          </w:p>
        </w:tc>
        <w:tc>
          <w:tcPr>
            <w:tcW w:w="978"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50</w:t>
            </w:r>
          </w:p>
        </w:tc>
        <w:tc>
          <w:tcPr>
            <w:tcW w:w="1366"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劳伦斯、银鱼、VELMER</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6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847" w:type="dxa"/>
            <w:vMerge w:val="continue"/>
            <w:vAlign w:val="center"/>
          </w:tcPr>
          <w:p>
            <w:pPr>
              <w:widowControl/>
              <w:spacing w:line="220" w:lineRule="exact"/>
              <w:jc w:val="left"/>
              <w:rPr>
                <w:rFonts w:cs="宋体"/>
                <w:color w:val="000000" w:themeColor="text1"/>
                <w:kern w:val="0"/>
                <w:sz w:val="18"/>
                <w:szCs w:val="18"/>
                <w14:textFill>
                  <w14:solidFill>
                    <w14:schemeClr w14:val="tx1"/>
                  </w14:solidFill>
                </w14:textFill>
              </w:rPr>
            </w:pPr>
          </w:p>
        </w:tc>
        <w:tc>
          <w:tcPr>
            <w:tcW w:w="67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36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6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75"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排练椅</w:t>
            </w:r>
          </w:p>
        </w:tc>
        <w:tc>
          <w:tcPr>
            <w:tcW w:w="4847" w:type="dxa"/>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1.材质：尼龙外框，透气网布，金属椅脚</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2.承重：约400kg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3.尺寸：总高86cm，侧宽57cm，正面宽49cm,坐高45cm，靠背宽43cm，座深48cm，坐宽45cm。</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把</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100</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820" w:type="dxa"/>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4</w:t>
            </w:r>
          </w:p>
        </w:tc>
        <w:tc>
          <w:tcPr>
            <w:tcW w:w="1267" w:type="dxa"/>
            <w:vAlign w:val="center"/>
          </w:tcPr>
          <w:p>
            <w:pPr>
              <w:widowControl/>
              <w:spacing w:line="240" w:lineRule="exact"/>
              <w:jc w:val="lef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器材损耗</w:t>
            </w:r>
          </w:p>
        </w:tc>
        <w:tc>
          <w:tcPr>
            <w:tcW w:w="4847" w:type="dxa"/>
            <w:vAlign w:val="center"/>
          </w:tcPr>
          <w:p>
            <w:pPr>
              <w:widowControl/>
              <w:spacing w:line="240" w:lineRule="exact"/>
              <w:jc w:val="lef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哨片</w:t>
            </w:r>
            <w:r>
              <w:rPr>
                <w:rFonts w:cs="宋体"/>
                <w:color w:val="000000" w:themeColor="text1"/>
                <w:kern w:val="0"/>
                <w:sz w:val="18"/>
                <w:szCs w:val="18"/>
                <w:lang w:eastAsia="zh-Hans"/>
                <w14:textFill>
                  <w14:solidFill>
                    <w14:schemeClr w14:val="tx1"/>
                  </w14:solidFill>
                </w14:textFill>
              </w:rPr>
              <w:t>、</w:t>
            </w:r>
            <w:r>
              <w:rPr>
                <w:rFonts w:hint="eastAsia" w:cs="宋体"/>
                <w:color w:val="000000" w:themeColor="text1"/>
                <w:kern w:val="0"/>
                <w:sz w:val="18"/>
                <w:szCs w:val="18"/>
                <w:lang w:eastAsia="zh-Hans"/>
                <w14:textFill>
                  <w14:solidFill>
                    <w14:schemeClr w14:val="tx1"/>
                  </w14:solidFill>
                </w14:textFill>
              </w:rPr>
              <w:t>弦等</w:t>
            </w:r>
          </w:p>
        </w:tc>
        <w:tc>
          <w:tcPr>
            <w:tcW w:w="671"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78"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56"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366" w:type="dxa"/>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75"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化妆间  2间</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1170"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六门柜子</w:t>
            </w:r>
          </w:p>
        </w:tc>
        <w:tc>
          <w:tcPr>
            <w:tcW w:w="4847"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1.产品：纯白色更衣柜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2.材料：冷轧钢板</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3.调节：多层隔板可调节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4.配置：钥匙锁设计</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5.尺寸：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长900mm，宽500mm，高1850mm</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化妆台</w:t>
            </w:r>
          </w:p>
        </w:tc>
        <w:tc>
          <w:tcPr>
            <w:tcW w:w="4847"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1.镜子：水银镜子代智补光灯</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2.桌面：环保生态板烤漆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3.桌脚：双重烤漆工艺、防滑脚垫</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4.座椅：绒布材质</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5.尺寸：镜/桌长120cm，镜高80cm，桌宽40cm,桌高75cm</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bl>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rFonts w:ascii="宋体" w:hAnsi="宋体" w:cs="宋体"/>
          <w:sz w:val="28"/>
          <w:szCs w:val="28"/>
        </w:rPr>
      </w:pPr>
      <w:r>
        <w:rPr>
          <w:rFonts w:hint="eastAsia" w:ascii="宋体" w:hAnsi="宋体" w:cs="宋体"/>
          <w:sz w:val="28"/>
          <w:szCs w:val="28"/>
        </w:rPr>
        <w:t xml:space="preserve">                          年  月  日</w:t>
      </w:r>
    </w:p>
    <w:p>
      <w:pPr>
        <w:snapToGrid w:val="0"/>
        <w:spacing w:before="50" w:after="50"/>
        <w:jc w:val="center"/>
        <w:rPr>
          <w:color w:val="000000" w:themeColor="text1"/>
          <w:sz w:val="32"/>
          <w:szCs w:val="32"/>
          <w14:textFill>
            <w14:solidFill>
              <w14:schemeClr w14:val="tx1"/>
            </w14:solidFill>
          </w14:textFill>
        </w:rPr>
      </w:pPr>
    </w:p>
    <w:p>
      <w:pPr>
        <w:pStyle w:val="2"/>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pStyle w:val="14"/>
        <w:spacing w:line="560" w:lineRule="exact"/>
        <w:rPr>
          <w:rFonts w:ascii="Times New Roman" w:hAnsi="Times New Roman" w:eastAsia="黑体"/>
          <w:sz w:val="32"/>
          <w:szCs w:val="32"/>
        </w:rPr>
      </w:pPr>
      <w:r>
        <w:rPr>
          <w:rFonts w:hint="eastAsia" w:ascii="Times New Roman" w:hAnsi="Times New Roman" w:eastAsia="黑体"/>
          <w:sz w:val="32"/>
          <w:szCs w:val="32"/>
        </w:rPr>
        <w:t>三标段产品报价：</w:t>
      </w:r>
    </w:p>
    <w:tbl>
      <w:tblPr>
        <w:tblStyle w:val="25"/>
        <w:tblW w:w="139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820"/>
        <w:gridCol w:w="6966"/>
        <w:gridCol w:w="778"/>
        <w:gridCol w:w="1100"/>
        <w:gridCol w:w="633"/>
        <w:gridCol w:w="1056"/>
        <w:gridCol w:w="105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3936" w:type="dxa"/>
            <w:gridSpan w:val="9"/>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美术展厅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序号</w:t>
            </w:r>
          </w:p>
        </w:tc>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名称</w:t>
            </w:r>
          </w:p>
        </w:tc>
        <w:tc>
          <w:tcPr>
            <w:tcW w:w="6966" w:type="dxa"/>
            <w:shd w:val="clear" w:color="000000" w:fill="FFFFFF"/>
            <w:vAlign w:val="center"/>
          </w:tcPr>
          <w:p>
            <w:pPr>
              <w:widowControl/>
              <w:spacing w:line="240" w:lineRule="exact"/>
              <w:jc w:val="center"/>
              <w:rPr>
                <w:sz w:val="24"/>
                <w:szCs w:val="24"/>
              </w:rPr>
            </w:pPr>
            <w:r>
              <w:rPr>
                <w:rFonts w:hint="eastAsia" w:cs="宋体"/>
                <w:b/>
                <w:bCs/>
                <w:color w:val="000000" w:themeColor="text1"/>
                <w:kern w:val="0"/>
                <w:sz w:val="18"/>
                <w:szCs w:val="18"/>
                <w14:textFill>
                  <w14:solidFill>
                    <w14:schemeClr w14:val="tx1"/>
                  </w14:solidFill>
                </w14:textFill>
              </w:rPr>
              <w:t>参数规格</w:t>
            </w:r>
          </w:p>
        </w:tc>
        <w:tc>
          <w:tcPr>
            <w:tcW w:w="7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单位</w:t>
            </w:r>
          </w:p>
        </w:tc>
        <w:tc>
          <w:tcPr>
            <w:tcW w:w="110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单价（元）</w:t>
            </w:r>
          </w:p>
        </w:tc>
        <w:tc>
          <w:tcPr>
            <w:tcW w:w="63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数量</w:t>
            </w:r>
          </w:p>
        </w:tc>
        <w:tc>
          <w:tcPr>
            <w:tcW w:w="10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总价（元）</w:t>
            </w:r>
          </w:p>
        </w:tc>
        <w:tc>
          <w:tcPr>
            <w:tcW w:w="10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参考品牌</w:t>
            </w:r>
          </w:p>
        </w:tc>
        <w:tc>
          <w:tcPr>
            <w:tcW w:w="110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820"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升降平台移动式电动升降机</w:t>
            </w:r>
          </w:p>
        </w:tc>
        <w:tc>
          <w:tcPr>
            <w:tcW w:w="6966" w:type="dxa"/>
            <w:shd w:val="clear" w:color="000000" w:fill="FFFFFF"/>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1.升高4米，载重≥500KG</w:t>
            </w:r>
          </w:p>
        </w:tc>
        <w:tc>
          <w:tcPr>
            <w:tcW w:w="778"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1100"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3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056"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056"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爵力、三足鼎、扬子</w:t>
            </w:r>
          </w:p>
        </w:tc>
        <w:tc>
          <w:tcPr>
            <w:tcW w:w="1103"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2.台面尺寸：2100cm*830cm，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3.外形尺寸：2250cm*950cm*1200cm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4.设备重量：880KG</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液压起重，辅助登高车，铝合金双柱剪叉式升降梯。</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配备220V电池，配备外围保护护栏，</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抛丸静电喷漆、液压泵站，油缸密封圈、配电箱、辅助行走、发动机驱动、实心轮胎、拓展伸展台面、手压泵升降、防爆电器；</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安全防护措施：</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1.双重限位开关保护</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2.防止液压管路破裂的防爆装置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3.漏电保护装置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4过载安全保护装置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5.停电情况下的应急下降装置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6.电机过热、过流保护装置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7.超载保护装置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（负责安装到位）</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820"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交互智能平板（含原厂移动支架）</w:t>
            </w:r>
          </w:p>
        </w:tc>
        <w:tc>
          <w:tcPr>
            <w:tcW w:w="6966" w:type="dxa"/>
            <w:shd w:val="clear" w:color="000000" w:fill="FFFFFF"/>
            <w:vAlign w:val="center"/>
          </w:tcPr>
          <w:p>
            <w:pPr>
              <w:widowControl/>
              <w:numPr>
                <w:ilvl w:val="0"/>
                <w:numId w:val="3"/>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硬件配置</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1.屏幕尺寸≥86英寸，LED液晶屏体：A规屏；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2.显示比例16:9，物理分辨率：3840×2160，最大可视角度≥178度，灰阶等级≥256；</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3.支持双系统下10点同时触控及书写,响应时间≤8ms；定位精度：±0.1mm；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4.屏幕表面采用防眩目钢化玻璃，防撞防划，表面硬度不低于7H,透光率≥90%，雾度≤8%；</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5.前置接口采用隐藏式防护盖板设计，保证用户使用安全的同时，也可防止前置接口粉尘堆积；</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6为了方便老师快速的接入各种硬件教学设备，交互平板前置面板具有以下输入接口：≥2路双通道USB3.0接口，≥1路全功能通道（Type-C）接口，≥1路HDMI接口；可实现音视频、触控输入等。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 交互平板屏体具有防蓝光功能，达到蓝光防护效果；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 在传统推拉式黑板和智能交互平板结合应用的教学场景下，关闭推拉黑板，可自动进入黑屏节能模式；</w:t>
            </w:r>
            <w:r>
              <w:rPr>
                <w:rFonts w:cs="宋体"/>
                <w:color w:val="000000" w:themeColor="text1"/>
                <w:kern w:val="0"/>
                <w:sz w:val="18"/>
                <w:szCs w:val="18"/>
                <w14:textFill>
                  <w14:solidFill>
                    <w14:schemeClr w14:val="tx1"/>
                  </w14:solidFill>
                </w14:textFill>
              </w:rPr>
              <w:t xml:space="preserve"> </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配套开放式OPS接口，需与触摸一体机开发式插拔使用：CPU≥Intel 九代 I5以上配置；内存≥8G DDR4；硬盘≥256G固态硬盘；具有视频输出接口： HDMI 1个或以上，USB接口3个或以上，其中至少2个为USB3.0接口；WIN10操作系统及以上；</w:t>
            </w:r>
          </w:p>
        </w:tc>
        <w:tc>
          <w:tcPr>
            <w:tcW w:w="7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110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33"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0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056"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希沃、华为、联想</w:t>
            </w:r>
          </w:p>
        </w:tc>
        <w:tc>
          <w:tcPr>
            <w:tcW w:w="1103"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42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820"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激光水平仪</w:t>
            </w: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1.5线水平仪，激光高精度强绿光细线自动打线</w:t>
            </w:r>
          </w:p>
        </w:tc>
        <w:tc>
          <w:tcPr>
            <w:tcW w:w="778"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1100"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33"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056"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056"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得力、博世、东成</w:t>
            </w:r>
          </w:p>
        </w:tc>
        <w:tc>
          <w:tcPr>
            <w:tcW w:w="1103"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2.激光波长：512mm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3激光等级：3R级</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4.水平线精度：5m处±1mm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5.垂线精度：5m处±1mm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6.线宽：5m处2.5mm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7.水平自动调整范围：±3°超范围自动闪烁和鸣叫提示</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8.水平自动调时间：≤5s</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9.水平射角：≥120°</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10.电源4.0V/4.4Ah</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11.净重1.2kg</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1.5米超强全铝材架身，两节可加长。配有伸缩杆、升降手轮、水平泡、固定螺扭、升降卡、固定拨片；</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1.伸缩杆：通过升降手轮的摇动高低伸缩；</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2.升降手轮：通过旋转调节升降高度；</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3.水平泡：当三脚架发生倾斜时，水平泡中气泡向水平4.仪升高的一端移动，从而确定水平面的位置，气泡移动至红色圈中间位置即为水平。</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5.固定螺扭：用于固定上下调节高度的枝干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6.升降卡：用于缩放支架架腿的作用</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7.固定拨片：开启可调节支架长度，关闭可固定支架</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手推车</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加长轻音款平板抽推车</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辆</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搬运宝、杜邦、得力</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尺寸100cm*60cm（±5cm）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承重＞400KG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车把离地：85cm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车板高度：18cm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整车自重：12KG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脚轮标配：5寸橡胶脚轮</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脚轮安装：2个万向2个定向</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车把结构：可折叠车把，将手推车放平，用脚踩下铁杆，向下推扶手，完成折叠。</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配备防滑波纹车板，全新尼龙塑料注塑而成，韧性好，抗压能力强。表面带有防滑波纹。车把表面喷塑处理，抗氧化。加高扶手受力顶针设计，扶手加入焊接受力顶针，防止钢管挤扁。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5</w:t>
            </w:r>
          </w:p>
        </w:tc>
        <w:tc>
          <w:tcPr>
            <w:tcW w:w="820"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音响套装</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专业音响套装：功放+调音台+音箱2只+四个无线话筒+接收机+四个旋转升降式麦克风支架+ 50米电源线</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威斯汀、雅马哈、飞利浦</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1.功放：大环牛变压器；立体声桥接模式转换；8Ω输出功率：1000W+1000W；4Ω输出功率：1500W+1500W；输入灵敏度与阻抗：1V RMS；机身尺寸：482*432*100（mm）；材质：铝合金材质；频率响应：10Hz-40KHz；信噪比：＞103dB；总谐波失真：＜0.01%；冷却系统：双风扇两段速度及散热器；电源输入：210-230V±10%50-60Hz;</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专业舞台演出多功能调音台：多路音频输入，高中低音调节48V幻象电源；高中低音独立调整；主声道七段均衡器，调音台带监听耳机插孔，接入耳机可实时监听个声道的声音，以及录音回放；尺寸：380*290*82（mm）频率响应：20Hz-20KHz（=1，-3db）；总谐波失真：＜%1（额定条件：20Hz-20KHz）；等效输入噪音：≤-110dBm；低频：80Hz/±15dB；中频：0.25-6.0kh/±15dB；高频：≥20dB；线路输入时的大增益：12KHz/±15dB；传声器输入时的大增益：＞50dB；话筒输入：≥1.0Ω；磁带输入：47kΩ；线路输出：≥10kΩ；效果激励器输入：20kΩ；左总输出：≤300Ω；右总输出：≤300Ω；监听总输出：≤300Ω；卡式输出：≤10kΩ；效果激励器输出：≤10kΩ；转换器：24-BIT SIGMA-DELTA；效果种类：32种效果；采样速：48KHz；整机功率：≤40W；电源：AC220V 50HZ；</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音箱：材质：高密度纤维板多层箱体板材，防潮浮点烤漆；钛合金加厚网罩；内部吸音棉；防震脚垫；频率响应：50Hz-20000Hz；灵敏度：97dB；阻抗：4Ω；喇叭单元：双15英寸全频喇叭+10英寸号角高音；额定功率：600-800W；峰值功率：1400W；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4. UHF调频专业无线话筒：U段可调无线手持话筒，DPLL，数字锁相环多信道频率合成技术，UHF红外线对频（640-690MHz）；接收机震荡方式：锁相环；射频功率：10mV-30mV；音频频响：40-18000Hz；失真度：≤0.3%（1KHz）；电池规格：1.5V AA 碱性电池：自动，手持选择频率；指向性：心型；频道总数：200个频点；灵敏度：-105dB；音频输出电平：XLR接口（连接600Ω负载）-13dBu；增益调整范围：5dB-10dB；射频稳定度：±0.005%（-5-50°C）；发射频率：640-690MHz（0-199Ch）；调制方式：FM；发射功率：3-10mW；频率稳定度：±0.005%以内；频偏：＞±45kHz；频率响应：40Hz-15KHz；动态范围：100dB。</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5.接收机：类型：外差二次变频；频率范围：UHF红外线对频（640-690MHz）；频道数：200；灵敏度：-105dBm（1KHz，22dBV，40dB SINAD）失真度：0.5%max（1khHz，-22DBV）；非平衡输出：20mv-1V；天线接口：BNC（50Ω）；输出电压：AC100V-240V 50/60HZ；输出电压：DC 12V 1200mA</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6.配套落地旋转式升降麦克风支架，钢制架身，横向长度70cm可自由调节；纵向高矮调节可调80-150cm。可折叠收纳，底座三脚设计，稳固不易倒；金属支撑杆，稳固不摇晃；主杆可自由伸缩，可180度旋转。</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7.接线盘：四位50米工程接线盘；增加防触电保护门；内部采用0.7mm优质磷青铜，插拔手感和导电性佳；配一体式支架（三脚架底座，稳定性好，安放稳妥）；面板采用新国标4位10A五孔；全长：50m；产品尺寸：400*305*153mm；功能：过热保护：执行标准：GB/19637-2017：接接线规格：3*1.5mm</w:t>
            </w:r>
            <w:r>
              <w:rPr>
                <w:rFonts w:hint="eastAsia" w:cs="宋体"/>
                <w:kern w:val="0"/>
                <w:sz w:val="18"/>
                <w:szCs w:val="18"/>
                <w:vertAlign w:val="superscript"/>
              </w:rPr>
              <w:t xml:space="preserve">2 </w:t>
            </w:r>
            <w:r>
              <w:rPr>
                <w:rFonts w:hint="eastAsia" w:cs="宋体"/>
                <w:kern w:val="0"/>
                <w:sz w:val="18"/>
                <w:szCs w:val="18"/>
              </w:rPr>
              <w:t>；完全盘卷最大负载：1000W；完全退卷最大负载2500W；</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6</w:t>
            </w:r>
          </w:p>
        </w:tc>
        <w:tc>
          <w:tcPr>
            <w:tcW w:w="820"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作品展陈柜套组</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 作品展示柜（大号）</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5</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斧墨、OIMG、拙治</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整体尺寸：300cm*50cm*95cm（±5cm）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300cm*50cm*70cm；玻璃罩使用钢化玻璃，安全不易碎，玻璃罩尺寸：300cm*50cm*25cm。使用液压开启，更好的防尘和美观。锁要安全、防盗、不易生锈、开关便捷。并配备长续航可充电LED灯条。电池容量≥2200mAh，贴合在玻璃罩棱角处，能够照展台上的作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2.作品展示柜（中号）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整体尺寸：200cm*50cm*95cm（±5cm）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200cm*50cm*70cm，玻璃使用钢化玻璃，安全不易碎，玻璃罩尺寸：200cm*50cm*25cm。使用液压开启，更好的防尘和美观。锁要安全、防盗、不易生锈、开关便捷。并配备长续航可充电LED灯条。电池容量≥2200mAh，贴合在玻璃罩棱角处，能够照展台上的作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3.作品展示柜（小号）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整体尺寸：150cm*50cm*95cm（±5cm）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150cm*50cm*70cm，玻璃使用钢化玻璃，安全不易碎，玻璃罩尺寸：150cm*50cm*25cm。使用液压开启，更好的防尘和美观。锁要安全、防盗、不易生锈、开关便捷。并配备长续航可充电LED灯条。电池容量≥2200mAh，贴合在玻璃罩棱角处，能够照展台上的作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7</w:t>
            </w:r>
          </w:p>
        </w:tc>
        <w:tc>
          <w:tcPr>
            <w:tcW w:w="820"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立式作品展陈柜</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 作品展示柜（大号）</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5</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斧墨、OIMG、拙治</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整体尺寸：60cm*60cm*180cm（±5cm）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90cm。灯箱帽尺寸：60cm*60cm*10cm；玻璃罩侧面打开玻璃门，方便拿取物品，锁扣位于玻璃门下方，锁要安全、防盗、不易生锈、开关便捷。灯箱配备长续航可充电LED照灯。电池容量≥2200mAh。</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 作品展示柜（中号）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整体尺寸：60cm*60cm*180cm（±5cm）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90cm。灯箱帽尺寸：60cm*60cm*10cm；玻璃罩侧面打开玻璃门，方便拿取物品，锁扣位于玻璃门下方，锁要安全、防盗、不易生锈、开关便捷。灯箱配备长续航可充电LED照灯。电池容量≥2200mAh。</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 作品展示柜（中号）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整体尺寸：60cm*60cm*160cm（±5cm）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70cm。灯箱帽尺寸：60cm*60cm*10cm；玻璃罩侧面打开玻璃门，方便拿取物品，锁扣位于玻璃门下方，锁要安全、防盗、不易生锈、开关便捷。灯箱配备长续航可充电LED照灯。电池容量≥2200mAh。</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 作品展示柜（小号）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整体尺寸：60cm*60cm*120cm（±5cm）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5cm）；玻璃罩使用钢化玻璃，安全不易碎，玻璃罩尺寸：60cm*60cm*70cm（±5cm）；使用液压开启，更好的防尘和美观。锁要安全、防盗、不易生锈、开关便捷。并配备长续航可充电LED灯条。电池容量≥2200mAh，贴合在玻璃罩棱角处，能够照展台上的作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8</w:t>
            </w:r>
          </w:p>
        </w:tc>
        <w:tc>
          <w:tcPr>
            <w:tcW w:w="820"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踏步梯</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铝合金踏步梯（大）：五阶梯，高150cm、宽60cm、跨度120.3cm、平台尺寸60cm*40.3cm、踏板尺寸60cm*20cm、踏板间距30cm（相关尺寸±5cm）；顶部配有三面护栏；两个定向轮，橡胶材质；踏板为凹槽设计，增大防滑摩擦力；承重＞150KG</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金扎特、奥尤莱、慕栢森</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2.铝合金踏步梯（中）：三阶梯，高90cm、宽60cm、跨度80.3cm、平台尺寸60cm*40.3cm、踏板尺寸60cm*20cm、踏板间距30cm（上述相关尺寸±5cm）；底部配有橡胶材质防滑垫；踏板为凹槽设计，增大防滑摩擦力；承重＞150KG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3.铝合金踏步梯（小）：二阶梯，高60cm、宽60cm、跨度60.3cm、平台尺寸60cm*40.3cm、踏板尺寸60cm*20cm、踏板间距30cm（相关尺寸±5cm）；底部配有橡胶材质防滑垫；踏板为凹槽设计，增大防滑摩擦力；承重＞150KG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9</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人字梯</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铝合金冲压人字梯（大）：九步梯，展开垂直高度253cm，前腿间距65cm，前后腿间距150cm，阶梯间距25cm（相关尺寸±5cm）；梯子顶端设有大关节卡扣，梯子使用加厚铝材，防腐蚀、老化，使用防滑踏板，加宽加厚，使用碳钢固定铆钉；梯子底部，设有三脚防晃支撑，梯脚为防滑脚底。</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杜邦、巴芬、镁多力</w:t>
            </w:r>
          </w:p>
        </w:tc>
        <w:tc>
          <w:tcPr>
            <w:tcW w:w="1103" w:type="dxa"/>
            <w:vMerge w:val="continue"/>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铝合金冲压人字梯（大）：九步梯，展开垂直高度176cm，前腿间距65cm，前后腿间距120cm，阶梯间距25cm（相关尺寸±5cm）；梯子顶端设有大关节卡扣，梯子使用加厚铝材，防腐蚀、老化，使用防滑踏板，加宽加厚，使用碳钢固定铆钉；梯子底部，设有三脚防晃支撑，梯脚为防滑脚底。</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3.铝合金冲压人字梯（大）：五步梯，展开垂直高度142cm，前腿间距65cm，前后腿间距100cm，阶梯间距25cm（相关尺寸±5cm）；梯子顶端设有大关节卡扣，梯子使用加厚铝材，防腐蚀、老化，使用防滑踏板，加宽加厚，使用碳钢固定铆钉；梯子底部，设有三脚防晃支撑，梯脚为防滑脚底。</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10</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展厅挂钩</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3米S形挂钩套组</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个</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500</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　</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配备：1条钢丝绳+1个调节器+1个固定钩</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材质：铁+锌合金+不锈钢</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承重：＞40KG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1.5mm钢丝绳，光滑无毛刺，不伤身和画具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调节器：按下弹簧开关可上下调节</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11</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主持台</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简约现代会议发言台</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尊阁、乐威轩、爵彩</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材质：木质台面、铁烤漆台身</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桌面形状：一字型</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尺寸：高113cm；台面长58cm、宽46cm（相关尺寸±5cm）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中心支柱采用曲线设计，弧形底座，更加稳固</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12</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塑料椅</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现代简约塑料加厚靠背椅</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把</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40</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　</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材质：PP+L.G.F</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颜色：暖白色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座面大小44*41cm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椅身总高：72cm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椅腿高度42cm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左右前腿距离：47cm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前后腿距离：49cm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原料采用PP工程聚丙，在保证产品稳定性的同时也要保证产品对人体无害，满足儿童出口级标准，采用BA.YERS色母粒，色泽鲜艳、填充力强，具有良好的抗紫外线特点，椅子边缘圆弧设计，符合人体工学设计，全体采用一体成型设计，边缘经过多次打磨，致使整体光滑无毛边；腿部整体加粗设计；底部采用PVC硅胶耐磨底脚。</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13</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立式存放架</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立式垂直存放板材储存系统（大）</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颐爵、威耐斯、美亦家</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整体尺寸:长5米*宽1.5米*高1.5米（±5cm）；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隔间＞20格</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材质：钢；</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承重：5000KG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多层抽屉式框架，独立存放，每个抽拉格间距为20cm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每个隔间托底配备橡胶滑轮，方便抽插。</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顶部为开放式，便于大尺寸作品存放</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立式垂直存放板材储存系统（大）</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整体尺寸:长3米*宽1.5米*高1.5米；（小）</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隔间＞12格</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材质：钢；</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承重：3000KG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多层抽屉式框架，独立存放，每个抽拉格间距为20cm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每个隔间托底配备橡胶滑轮，方便抽插。</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顶部为开放式，便于大尺寸作品存放</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14</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置物架</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白色置物架（主架）</w:t>
            </w:r>
          </w:p>
        </w:tc>
        <w:tc>
          <w:tcPr>
            <w:tcW w:w="778"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组</w:t>
            </w:r>
          </w:p>
        </w:tc>
        <w:tc>
          <w:tcPr>
            <w:tcW w:w="1100" w:type="dxa"/>
            <w:vMerge w:val="restart"/>
            <w:shd w:val="clear" w:color="auto" w:fill="auto"/>
            <w:vAlign w:val="center"/>
          </w:tcPr>
          <w:p>
            <w:pPr>
              <w:widowControl/>
              <w:spacing w:line="240" w:lineRule="exact"/>
              <w:jc w:val="center"/>
              <w:rPr>
                <w:rFonts w:cs="宋体"/>
                <w:kern w:val="0"/>
                <w:sz w:val="18"/>
                <w:szCs w:val="18"/>
              </w:rPr>
            </w:pPr>
          </w:p>
        </w:tc>
        <w:tc>
          <w:tcPr>
            <w:tcW w:w="633"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6</w:t>
            </w:r>
          </w:p>
        </w:tc>
        <w:tc>
          <w:tcPr>
            <w:tcW w:w="1056" w:type="dxa"/>
            <w:vMerge w:val="restart"/>
            <w:shd w:val="clear" w:color="auto" w:fill="auto"/>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苏美特、凯琦、储博士</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尺寸：200cm*50cm*200cm（±5cm）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材质：加厚SPCCL冷轧钢板</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单层载重：≥280KG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共四层，使用蝴蝶卡扣，斜撑使用三角设计，层板下带有加强筋，无磷静电环保喷塑</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bl>
    <w:p>
      <w:pPr>
        <w:widowControl/>
        <w:spacing w:line="240" w:lineRule="exact"/>
        <w:rPr>
          <w:rFonts w:ascii="黑体" w:hAnsi="黑体" w:eastAsia="黑体" w:cs="宋体"/>
          <w:kern w:val="0"/>
          <w:sz w:val="18"/>
          <w:szCs w:val="18"/>
        </w:rPr>
      </w:pPr>
    </w:p>
    <w:p/>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color w:val="000000" w:themeColor="text1"/>
          <w:sz w:val="32"/>
          <w:szCs w:val="32"/>
          <w14:textFill>
            <w14:solidFill>
              <w14:schemeClr w14:val="tx1"/>
            </w14:solidFill>
          </w14:textFill>
        </w:rPr>
      </w:pPr>
      <w:r>
        <w:rPr>
          <w:rFonts w:hint="eastAsia" w:ascii="宋体" w:hAnsi="宋体" w:cs="宋体"/>
          <w:sz w:val="28"/>
          <w:szCs w:val="28"/>
        </w:rPr>
        <w:t xml:space="preserve">                          年  月  日</w:t>
      </w:r>
    </w:p>
    <w:p>
      <w:pPr>
        <w:pStyle w:val="2"/>
        <w:sectPr>
          <w:headerReference r:id="rId6" w:type="default"/>
          <w:footerReference r:id="rId7" w:type="default"/>
          <w:pgSz w:w="16838" w:h="11906" w:orient="landscape"/>
          <w:pgMar w:top="1587" w:right="1701" w:bottom="1417" w:left="1417" w:header="1134" w:footer="1304" w:gutter="0"/>
          <w:cols w:space="0" w:num="1"/>
          <w:docGrid w:type="lines" w:linePitch="323" w:charSpace="0"/>
        </w:sectPr>
      </w:pPr>
    </w:p>
    <w:p>
      <w:pPr>
        <w:snapToGrid w:val="0"/>
        <w:spacing w:before="50" w:after="50"/>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六</w:t>
      </w:r>
      <w:r>
        <w:rPr>
          <w:rFonts w:eastAsia="黑体"/>
          <w:color w:val="000000" w:themeColor="text1"/>
          <w:sz w:val="32"/>
          <w:szCs w:val="32"/>
          <w14:textFill>
            <w14:solidFill>
              <w14:schemeClr w14:val="tx1"/>
            </w14:solidFill>
          </w14:textFill>
        </w:rPr>
        <w:t>、技术参数响应及偏离表</w:t>
      </w:r>
    </w:p>
    <w:p>
      <w:pPr>
        <w:spacing w:before="161" w:beforeLines="50" w:after="161" w:afterLines="50"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参加投标供应商全称（加盖公章）：</w:t>
      </w:r>
    </w:p>
    <w:tbl>
      <w:tblPr>
        <w:tblStyle w:val="2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rFonts w:ascii="宋体" w:hAnsi="宋体"/>
                <w:sz w:val="24"/>
                <w:szCs w:val="24"/>
              </w:rPr>
            </w:pPr>
            <w:r>
              <w:rPr>
                <w:rFonts w:hint="eastAsia" w:ascii="宋体" w:hAnsi="宋体"/>
                <w:sz w:val="24"/>
                <w:szCs w:val="24"/>
              </w:rPr>
              <w:t>序号</w:t>
            </w:r>
          </w:p>
        </w:tc>
        <w:tc>
          <w:tcPr>
            <w:tcW w:w="2852" w:type="dxa"/>
            <w:vAlign w:val="center"/>
          </w:tcPr>
          <w:p>
            <w:pPr>
              <w:rPr>
                <w:rFonts w:ascii="宋体" w:hAnsi="宋体"/>
                <w:sz w:val="24"/>
                <w:szCs w:val="24"/>
              </w:rPr>
            </w:pPr>
            <w:r>
              <w:rPr>
                <w:rFonts w:hint="eastAsia" w:ascii="宋体" w:hAnsi="宋体"/>
                <w:sz w:val="24"/>
                <w:szCs w:val="24"/>
              </w:rPr>
              <w:t>招标要求</w:t>
            </w:r>
          </w:p>
        </w:tc>
        <w:tc>
          <w:tcPr>
            <w:tcW w:w="2852" w:type="dxa"/>
            <w:vAlign w:val="center"/>
          </w:tcPr>
          <w:p>
            <w:pPr>
              <w:rPr>
                <w:rFonts w:ascii="宋体" w:hAnsi="宋体"/>
                <w:sz w:val="24"/>
                <w:szCs w:val="24"/>
              </w:rPr>
            </w:pPr>
            <w:r>
              <w:rPr>
                <w:rFonts w:hint="eastAsia" w:ascii="宋体" w:hAnsi="宋体"/>
                <w:sz w:val="24"/>
                <w:szCs w:val="24"/>
              </w:rPr>
              <w:t>投标响应</w:t>
            </w:r>
          </w:p>
        </w:tc>
        <w:tc>
          <w:tcPr>
            <w:tcW w:w="1308" w:type="dxa"/>
            <w:vAlign w:val="center"/>
          </w:tcPr>
          <w:p>
            <w:pPr>
              <w:rPr>
                <w:rFonts w:ascii="宋体" w:hAnsi="宋体"/>
                <w:sz w:val="24"/>
                <w:szCs w:val="24"/>
              </w:rPr>
            </w:pPr>
            <w:r>
              <w:rPr>
                <w:rFonts w:hint="eastAsia" w:ascii="宋体" w:hAnsi="宋体"/>
                <w:sz w:val="24"/>
                <w:szCs w:val="24"/>
              </w:rPr>
              <w:t>超出、符合或偏离</w:t>
            </w:r>
          </w:p>
        </w:tc>
        <w:tc>
          <w:tcPr>
            <w:tcW w:w="1173" w:type="dxa"/>
            <w:vAlign w:val="center"/>
          </w:tcPr>
          <w:p>
            <w:pPr>
              <w:jc w:val="center"/>
              <w:rPr>
                <w:rFonts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bl>
    <w:p>
      <w:pPr>
        <w:pStyle w:val="2"/>
      </w:pP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法定代表人或授权代表（签字或盖章）</w:t>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日期：     年    月     日</w:t>
      </w:r>
    </w:p>
    <w:p>
      <w:pPr>
        <w:spacing w:line="360" w:lineRule="auto"/>
        <w:rPr>
          <w:b/>
          <w:bCs/>
          <w:color w:val="000000" w:themeColor="text1"/>
          <w:sz w:val="24"/>
          <w:szCs w:val="24"/>
          <w14:textFill>
            <w14:solidFill>
              <w14:schemeClr w14:val="tx1"/>
            </w14:solidFill>
          </w14:textFill>
        </w:rPr>
      </w:pPr>
    </w:p>
    <w:p>
      <w:pPr>
        <w:spacing w:line="360" w:lineRule="auto"/>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注：</w:t>
      </w:r>
      <w:r>
        <w:rPr>
          <w:color w:val="000000" w:themeColor="text1"/>
          <w:sz w:val="24"/>
          <w:szCs w:val="24"/>
          <w14:textFill>
            <w14:solidFill>
              <w14:schemeClr w14:val="tx1"/>
            </w14:solidFill>
          </w14:textFill>
        </w:rPr>
        <w:t>1、按照基本技术要求详细填列；</w:t>
      </w:r>
    </w:p>
    <w:p>
      <w:pPr>
        <w:spacing w:line="36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2、行数不够，可自行添加。</w:t>
      </w:r>
    </w:p>
    <w:p>
      <w:pPr>
        <w:spacing w:line="36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3、技术偏离表应针对项目需求逐条应答。</w:t>
      </w:r>
    </w:p>
    <w:p>
      <w:pPr>
        <w:pStyle w:val="2"/>
      </w:pPr>
      <w:r>
        <w:rPr>
          <w:rFonts w:hint="eastAsia"/>
          <w:color w:val="000000" w:themeColor="text1"/>
          <w:sz w:val="24"/>
          <w:szCs w:val="24"/>
          <w14:textFill>
            <w14:solidFill>
              <w14:schemeClr w14:val="tx1"/>
            </w14:solidFill>
          </w14:textFill>
        </w:rPr>
        <w:t xml:space="preserve">    </w:t>
      </w: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spacing w:line="360" w:lineRule="auto"/>
        <w:jc w:val="center"/>
        <w:rPr>
          <w:b/>
          <w:bCs/>
          <w:color w:val="000000" w:themeColor="text1"/>
          <w:sz w:val="32"/>
          <w:szCs w:val="32"/>
          <w14:textFill>
            <w14:solidFill>
              <w14:schemeClr w14:val="tx1"/>
            </w14:solidFill>
          </w14:textFill>
        </w:rPr>
      </w:pPr>
    </w:p>
    <w:p>
      <w:pPr>
        <w:widowControl/>
        <w:jc w:val="lef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七</w:t>
      </w:r>
      <w:r>
        <w:rPr>
          <w:rFonts w:eastAsia="黑体"/>
          <w:color w:val="000000" w:themeColor="text1"/>
          <w:sz w:val="32"/>
          <w:szCs w:val="32"/>
          <w14:textFill>
            <w14:solidFill>
              <w14:schemeClr w14:val="tx1"/>
            </w14:solidFill>
          </w14:textFill>
        </w:rPr>
        <w:t>、商务条款响应及偏离表</w:t>
      </w:r>
    </w:p>
    <w:p>
      <w:pPr>
        <w:spacing w:before="161" w:beforeLines="50" w:after="161" w:afterLines="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参加投标供应商全称（加盖公章）：        项目名称：</w:t>
      </w:r>
    </w:p>
    <w:tbl>
      <w:tblPr>
        <w:tblStyle w:val="2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61" w:beforeLines="5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项目</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投标文件要求</w:t>
            </w: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是否响应</w:t>
            </w: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投标供应商的承诺或说明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质保期</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售后技术服务要求</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交货时间及地点</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（合同签订后天内）交货；地点：</w:t>
            </w: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ind w:left="43"/>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ind w:left="43"/>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付款条件</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备品备件及耗材等要求</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其他</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bl>
    <w:p>
      <w:pPr>
        <w:spacing w:before="161" w:beforeLines="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法定代表人或授权代表签字： </w:t>
      </w:r>
    </w:p>
    <w:p>
      <w:pPr>
        <w:snapToGrid w:val="0"/>
        <w:spacing w:line="560" w:lineRule="exact"/>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八</w:t>
      </w:r>
      <w:r>
        <w:rPr>
          <w:rFonts w:eastAsia="黑体"/>
          <w:color w:val="000000" w:themeColor="text1"/>
          <w:sz w:val="32"/>
          <w:szCs w:val="32"/>
          <w14:textFill>
            <w14:solidFill>
              <w14:schemeClr w14:val="tx1"/>
            </w14:solidFill>
          </w14:textFill>
        </w:rPr>
        <w:t>、盐城市政府采购事前信用承诺书</w:t>
      </w:r>
    </w:p>
    <w:p>
      <w:pPr>
        <w:spacing w:line="500" w:lineRule="exact"/>
        <w:ind w:firstLine="640" w:firstLineChars="200"/>
        <w:jc w:val="left"/>
        <w:rPr>
          <w:rFonts w:eastAsia="方正仿宋_GBK"/>
          <w:color w:val="000000" w:themeColor="text1"/>
          <w:kern w:val="0"/>
          <w:sz w:val="32"/>
          <w:szCs w:val="32"/>
          <w14:textFill>
            <w14:solidFill>
              <w14:schemeClr w14:val="tx1"/>
            </w14:solidFill>
          </w14:textFill>
        </w:rPr>
      </w:pP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（三）严格依照国家和省、市关于政府采购的法律、法规、规章、规范性文件，参加政府采购投标活动；积极履行社会责任，促进廉政建设；</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（四）严格遵守即时信息公示规定，及时维护和更新维护和更新盐城市政府采购网中与本单位相关的信息；</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（六）自觉接受政府、行业组织、社会公众、新闻舆论的监督；</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（八）本人已认真阅读了上述承诺，并向本单位员工作了宣传教育。</w:t>
      </w:r>
    </w:p>
    <w:p>
      <w:pPr>
        <w:spacing w:line="500" w:lineRule="exact"/>
        <w:jc w:val="left"/>
        <w:rPr>
          <w:color w:val="000000" w:themeColor="text1"/>
          <w:sz w:val="24"/>
          <w14:textFill>
            <w14:solidFill>
              <w14:schemeClr w14:val="tx1"/>
            </w14:solidFill>
          </w14:textFill>
        </w:rPr>
      </w:pPr>
    </w:p>
    <w:p>
      <w:pPr>
        <w:pStyle w:val="27"/>
      </w:pPr>
    </w:p>
    <w:p>
      <w:pPr>
        <w:spacing w:line="50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法定代表人签名：</w:t>
      </w:r>
    </w:p>
    <w:p>
      <w:pPr>
        <w:spacing w:line="50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单位名称（盖章）：</w:t>
      </w:r>
    </w:p>
    <w:p>
      <w:pPr>
        <w:spacing w:line="50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p>
      <w:pPr>
        <w:rPr>
          <w:color w:val="000000" w:themeColor="text1"/>
          <w14:textFill>
            <w14:solidFill>
              <w14:schemeClr w14:val="tx1"/>
            </w14:solidFill>
          </w14:textFill>
        </w:rPr>
      </w:pPr>
    </w:p>
    <w:p>
      <w:pPr>
        <w:pStyle w:val="27"/>
        <w:rPr>
          <w:color w:val="C0504D" w:themeColor="accent2"/>
          <w14:textFill>
            <w14:solidFill>
              <w14:schemeClr w14:val="accent2"/>
            </w14:solidFill>
          </w14:textFill>
        </w:rPr>
      </w:pPr>
    </w:p>
    <w:p>
      <w:pPr>
        <w:pStyle w:val="27"/>
        <w:rPr>
          <w:color w:val="C0504D" w:themeColor="accent2"/>
          <w14:textFill>
            <w14:solidFill>
              <w14:schemeClr w14:val="accent2"/>
            </w14:solidFill>
          </w14:textFill>
        </w:rPr>
      </w:pPr>
    </w:p>
    <w:p>
      <w:pPr>
        <w:pStyle w:val="27"/>
        <w:rPr>
          <w:color w:val="C0504D" w:themeColor="accent2"/>
          <w14:textFill>
            <w14:solidFill>
              <w14:schemeClr w14:val="accent2"/>
            </w14:solidFill>
          </w14:textFill>
        </w:rPr>
      </w:pPr>
    </w:p>
    <w:p>
      <w:pPr>
        <w:pStyle w:val="27"/>
        <w:rPr>
          <w:color w:val="C0504D" w:themeColor="accent2"/>
          <w14:textFill>
            <w14:solidFill>
              <w14:schemeClr w14:val="accent2"/>
            </w14:solidFill>
          </w14:textFill>
        </w:rPr>
      </w:pPr>
    </w:p>
    <w:p>
      <w:pPr>
        <w:snapToGrid w:val="0"/>
        <w:spacing w:line="560" w:lineRule="exact"/>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十</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14:textFill>
            <w14:solidFill>
              <w14:schemeClr w14:val="tx1"/>
            </w14:solidFill>
          </w14:textFill>
        </w:rPr>
        <w:t>招</w:t>
      </w:r>
      <w:r>
        <w:rPr>
          <w:rFonts w:eastAsia="黑体"/>
          <w:color w:val="000000" w:themeColor="text1"/>
          <w:sz w:val="32"/>
          <w:szCs w:val="32"/>
          <w14:textFill>
            <w14:solidFill>
              <w14:schemeClr w14:val="tx1"/>
            </w14:solidFill>
          </w14:textFill>
        </w:rPr>
        <w:t>标文件中规定要求提供的材料或投标供应商认为需要提供的其他材料</w:t>
      </w:r>
    </w:p>
    <w:p>
      <w:pPr>
        <w:snapToGrid w:val="0"/>
        <w:spacing w:before="50" w:after="50"/>
        <w:jc w:val="center"/>
        <w:rPr>
          <w:color w:val="000000" w:themeColor="text1"/>
          <w:sz w:val="32"/>
          <w:szCs w:val="32"/>
          <w14:textFill>
            <w14:solidFill>
              <w14:schemeClr w14:val="tx1"/>
            </w14:solidFill>
          </w14:textFill>
        </w:rPr>
      </w:pPr>
    </w:p>
    <w:p>
      <w:pPr>
        <w:pStyle w:val="27"/>
        <w:rPr>
          <w:color w:val="C0504D" w:themeColor="accent2"/>
          <w14:textFill>
            <w14:solidFill>
              <w14:schemeClr w14:val="accent2"/>
            </w14:solidFill>
          </w14:textFill>
        </w:rPr>
      </w:pPr>
    </w:p>
    <w:sectPr>
      <w:pgSz w:w="11906" w:h="16838"/>
      <w:pgMar w:top="1701" w:right="1417" w:bottom="1417" w:left="1587" w:header="1134" w:footer="1304"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仿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4094"/>
    </w:sdtPr>
    <w:sdtContent>
      <w:p>
        <w:pPr>
          <w:pStyle w:val="17"/>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6240437"/>
    </w:sdtPr>
    <w:sdtContent>
      <w:p>
        <w:pPr>
          <w:pStyle w:val="17"/>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ascii="宋体" w:hAnsi="宋体"/>
        <w:sz w:val="18"/>
        <w:szCs w:val="18"/>
      </w:rPr>
    </w:pPr>
    <w:r>
      <w:rPr>
        <w:rFonts w:hint="eastAsia" w:ascii="宋体" w:hAnsi="宋体" w:cs="宋体"/>
        <w:color w:val="000000"/>
        <w:spacing w:val="40"/>
      </w:rPr>
      <w:t>盐城幼儿师范高等专科学校招标</w:t>
    </w:r>
    <w:r>
      <w:rPr>
        <w:rFonts w:hint="eastAsia" w:ascii="宋体" w:hAnsi="宋体" w:cs="宋体"/>
        <w:spacing w:val="40"/>
      </w:rPr>
      <w:t>文件</w:t>
    </w:r>
    <w:r>
      <w:rPr>
        <w:rFonts w:hint="eastAsia" w:ascii="宋体" w:hAnsi="宋体" w:cs="宋体"/>
        <w:color w:val="000000"/>
        <w:spacing w:val="40"/>
      </w:rPr>
      <w:t>YCYZ2022HW005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ascii="宋体" w:hAnsi="宋体"/>
        <w:sz w:val="18"/>
        <w:szCs w:val="18"/>
      </w:rPr>
    </w:pPr>
    <w:r>
      <w:rPr>
        <w:rFonts w:hint="eastAsia" w:ascii="宋体" w:hAnsi="宋体" w:cs="宋体"/>
        <w:color w:val="000000"/>
        <w:spacing w:val="40"/>
      </w:rPr>
      <w:t>盐城幼儿师范高等专科学校招标</w:t>
    </w:r>
    <w:r>
      <w:rPr>
        <w:rFonts w:hint="eastAsia" w:ascii="宋体" w:hAnsi="宋体" w:cs="宋体"/>
        <w:spacing w:val="40"/>
      </w:rPr>
      <w:t>文件</w:t>
    </w:r>
    <w:r>
      <w:rPr>
        <w:rFonts w:hint="eastAsia" w:ascii="宋体" w:hAnsi="宋体" w:cs="宋体"/>
        <w:color w:val="000000"/>
        <w:spacing w:val="40"/>
      </w:rPr>
      <w:t>YCYZ2022HW005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4A3459"/>
    <w:multiLevelType w:val="singleLevel"/>
    <w:tmpl w:val="F64A3459"/>
    <w:lvl w:ilvl="0" w:tentative="0">
      <w:start w:val="6"/>
      <w:numFmt w:val="chineseCounting"/>
      <w:suff w:val="nothing"/>
      <w:lvlText w:val="%1、"/>
      <w:lvlJc w:val="left"/>
      <w:rPr>
        <w:rFonts w:hint="eastAsia"/>
      </w:rPr>
    </w:lvl>
  </w:abstractNum>
  <w:abstractNum w:abstractNumId="1">
    <w:nsid w:val="0DA507D3"/>
    <w:multiLevelType w:val="singleLevel"/>
    <w:tmpl w:val="0DA507D3"/>
    <w:lvl w:ilvl="0" w:tentative="0">
      <w:start w:val="12"/>
      <w:numFmt w:val="chineseCounting"/>
      <w:suff w:val="nothing"/>
      <w:lvlText w:val="%1、"/>
      <w:lvlJc w:val="left"/>
      <w:rPr>
        <w:rFonts w:hint="eastAsia"/>
      </w:rPr>
    </w:lvl>
  </w:abstractNum>
  <w:abstractNum w:abstractNumId="2">
    <w:nsid w:val="4CB7D1F0"/>
    <w:multiLevelType w:val="singleLevel"/>
    <w:tmpl w:val="4CB7D1F0"/>
    <w:lvl w:ilvl="0" w:tentative="0">
      <w:start w:val="4"/>
      <w:numFmt w:val="chineseCounting"/>
      <w:suff w:val="space"/>
      <w:lvlText w:val="第%1章"/>
      <w:lvlJc w:val="left"/>
      <w:rPr>
        <w:rFonts w:hint="eastAsia"/>
      </w:rPr>
    </w:lvl>
  </w:abstractNum>
  <w:abstractNum w:abstractNumId="3">
    <w:nsid w:val="5A2B9532"/>
    <w:multiLevelType w:val="singleLevel"/>
    <w:tmpl w:val="5A2B9532"/>
    <w:lvl w:ilvl="0" w:tentative="0">
      <w:start w:val="2"/>
      <w:numFmt w:val="decimal"/>
      <w:suff w:val="space"/>
      <w:lvlText w:val="%1."/>
      <w:lvlJc w:val="left"/>
      <w:pPr>
        <w:ind w:left="0" w:firstLine="0"/>
      </w:pPr>
    </w:lvl>
  </w:abstractNum>
  <w:abstractNum w:abstractNumId="4">
    <w:nsid w:val="6351571C"/>
    <w:multiLevelType w:val="singleLevel"/>
    <w:tmpl w:val="6351571C"/>
    <w:lvl w:ilvl="0" w:tentative="0">
      <w:start w:val="1"/>
      <w:numFmt w:val="chineseCounting"/>
      <w:suff w:val="nothing"/>
      <w:lvlText w:val="%1、"/>
      <w:lvlJc w:val="left"/>
    </w:lvl>
  </w:abstractNum>
  <w:abstractNum w:abstractNumId="5">
    <w:nsid w:val="635157C0"/>
    <w:multiLevelType w:val="singleLevel"/>
    <w:tmpl w:val="635157C0"/>
    <w:lvl w:ilvl="0" w:tentative="0">
      <w:start w:val="1"/>
      <w:numFmt w:val="decimal"/>
      <w:suff w:val="nothing"/>
      <w:lvlText w:val="%1、"/>
      <w:lvlJc w:val="left"/>
    </w:lvl>
  </w:abstractNum>
  <w:abstractNum w:abstractNumId="6">
    <w:nsid w:val="7B446D39"/>
    <w:multiLevelType w:val="singleLevel"/>
    <w:tmpl w:val="7B446D39"/>
    <w:lvl w:ilvl="0" w:tentative="0">
      <w:start w:val="1"/>
      <w:numFmt w:val="decimal"/>
      <w:lvlText w:val="%1."/>
      <w:lvlJc w:val="left"/>
      <w:pPr>
        <w:tabs>
          <w:tab w:val="left" w:pos="312"/>
        </w:tabs>
      </w:pPr>
    </w:lvl>
  </w:abstractNum>
  <w:num w:numId="1">
    <w:abstractNumId w:val="1"/>
  </w:num>
  <w:num w:numId="2">
    <w:abstractNumId w:val="2"/>
  </w:num>
  <w:num w:numId="3">
    <w:abstractNumId w:val="4"/>
  </w:num>
  <w:num w:numId="4">
    <w:abstractNumId w:val="5"/>
  </w:num>
  <w:num w:numId="5">
    <w:abstractNumId w:val="6"/>
  </w:num>
  <w:num w:numId="6">
    <w:abstractNumId w:val="3"/>
    <w:lvlOverride w:ilvl="0">
      <w:startOverride w:val="2"/>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TZhOWFhZmU0MjAyMTk2YzE4M2RhNWVlZjBmMzQifQ=="/>
    <w:docVar w:name="KGWebUrl" w:val="http://jszfcg.jscz.gov.cn/jszc/gateWay/joffice/office?access_token=ae52c3c1-6783-4c87-a4c8-0940287fc5a5"/>
  </w:docVars>
  <w:rsids>
    <w:rsidRoot w:val="00826A0F"/>
    <w:rsid w:val="00013403"/>
    <w:rsid w:val="0001548F"/>
    <w:rsid w:val="00017A61"/>
    <w:rsid w:val="00023FFB"/>
    <w:rsid w:val="000420C1"/>
    <w:rsid w:val="00052268"/>
    <w:rsid w:val="00054D3D"/>
    <w:rsid w:val="00056C0F"/>
    <w:rsid w:val="00061E7F"/>
    <w:rsid w:val="00083525"/>
    <w:rsid w:val="0008508D"/>
    <w:rsid w:val="0008634F"/>
    <w:rsid w:val="00090165"/>
    <w:rsid w:val="00094623"/>
    <w:rsid w:val="000A23CC"/>
    <w:rsid w:val="000A5F28"/>
    <w:rsid w:val="000B0CD0"/>
    <w:rsid w:val="000C1189"/>
    <w:rsid w:val="000F613C"/>
    <w:rsid w:val="001600BE"/>
    <w:rsid w:val="0017207F"/>
    <w:rsid w:val="001865FC"/>
    <w:rsid w:val="00196CBC"/>
    <w:rsid w:val="001A48CF"/>
    <w:rsid w:val="001B3AA3"/>
    <w:rsid w:val="001D6EAD"/>
    <w:rsid w:val="001E23BE"/>
    <w:rsid w:val="00202345"/>
    <w:rsid w:val="0020468B"/>
    <w:rsid w:val="00230354"/>
    <w:rsid w:val="00236E8E"/>
    <w:rsid w:val="00253674"/>
    <w:rsid w:val="002A36E8"/>
    <w:rsid w:val="002A51B9"/>
    <w:rsid w:val="002B1AEC"/>
    <w:rsid w:val="002C0BF9"/>
    <w:rsid w:val="002D2713"/>
    <w:rsid w:val="002E4583"/>
    <w:rsid w:val="002F075B"/>
    <w:rsid w:val="003177D9"/>
    <w:rsid w:val="003266C7"/>
    <w:rsid w:val="00332DF5"/>
    <w:rsid w:val="003346B5"/>
    <w:rsid w:val="003349E6"/>
    <w:rsid w:val="00346BF0"/>
    <w:rsid w:val="003560A3"/>
    <w:rsid w:val="003932AA"/>
    <w:rsid w:val="003A7778"/>
    <w:rsid w:val="003C1D02"/>
    <w:rsid w:val="003C538F"/>
    <w:rsid w:val="003D4915"/>
    <w:rsid w:val="003D6622"/>
    <w:rsid w:val="003E72A0"/>
    <w:rsid w:val="00405801"/>
    <w:rsid w:val="00407A63"/>
    <w:rsid w:val="00411BE1"/>
    <w:rsid w:val="00413A7F"/>
    <w:rsid w:val="00422E24"/>
    <w:rsid w:val="00454A6D"/>
    <w:rsid w:val="00471736"/>
    <w:rsid w:val="00482F33"/>
    <w:rsid w:val="004A11F1"/>
    <w:rsid w:val="004C3598"/>
    <w:rsid w:val="004C4678"/>
    <w:rsid w:val="004D4131"/>
    <w:rsid w:val="0052606B"/>
    <w:rsid w:val="00530FD2"/>
    <w:rsid w:val="005539E3"/>
    <w:rsid w:val="00566D40"/>
    <w:rsid w:val="005C790E"/>
    <w:rsid w:val="005D7154"/>
    <w:rsid w:val="005D7C85"/>
    <w:rsid w:val="00625B2F"/>
    <w:rsid w:val="00632559"/>
    <w:rsid w:val="00645906"/>
    <w:rsid w:val="00665091"/>
    <w:rsid w:val="00670C31"/>
    <w:rsid w:val="00681F12"/>
    <w:rsid w:val="006B1528"/>
    <w:rsid w:val="006C030C"/>
    <w:rsid w:val="006E3BF2"/>
    <w:rsid w:val="006E496F"/>
    <w:rsid w:val="00703839"/>
    <w:rsid w:val="00712768"/>
    <w:rsid w:val="00713C81"/>
    <w:rsid w:val="007240A4"/>
    <w:rsid w:val="007456C0"/>
    <w:rsid w:val="00761839"/>
    <w:rsid w:val="00767EEA"/>
    <w:rsid w:val="007830EC"/>
    <w:rsid w:val="007B23A4"/>
    <w:rsid w:val="007D2284"/>
    <w:rsid w:val="007D4A72"/>
    <w:rsid w:val="007F757F"/>
    <w:rsid w:val="0080525E"/>
    <w:rsid w:val="00806DCC"/>
    <w:rsid w:val="00826A0F"/>
    <w:rsid w:val="008371BC"/>
    <w:rsid w:val="00837BE1"/>
    <w:rsid w:val="00871B48"/>
    <w:rsid w:val="0088280A"/>
    <w:rsid w:val="00886939"/>
    <w:rsid w:val="00894A63"/>
    <w:rsid w:val="008B7650"/>
    <w:rsid w:val="008D02E5"/>
    <w:rsid w:val="008D6F6B"/>
    <w:rsid w:val="008F64C6"/>
    <w:rsid w:val="009069CC"/>
    <w:rsid w:val="0093487D"/>
    <w:rsid w:val="0094474E"/>
    <w:rsid w:val="00945410"/>
    <w:rsid w:val="00953259"/>
    <w:rsid w:val="00967E76"/>
    <w:rsid w:val="00973940"/>
    <w:rsid w:val="00976ACA"/>
    <w:rsid w:val="0098279C"/>
    <w:rsid w:val="009838B4"/>
    <w:rsid w:val="009944DC"/>
    <w:rsid w:val="009A2447"/>
    <w:rsid w:val="009A3EBD"/>
    <w:rsid w:val="009D1A06"/>
    <w:rsid w:val="009E28EB"/>
    <w:rsid w:val="00A14AAA"/>
    <w:rsid w:val="00A210AC"/>
    <w:rsid w:val="00A2314D"/>
    <w:rsid w:val="00A473B8"/>
    <w:rsid w:val="00A648BF"/>
    <w:rsid w:val="00A66C82"/>
    <w:rsid w:val="00A70531"/>
    <w:rsid w:val="00AB1B8C"/>
    <w:rsid w:val="00AB7124"/>
    <w:rsid w:val="00AC3DE0"/>
    <w:rsid w:val="00AD3AA7"/>
    <w:rsid w:val="00AE520E"/>
    <w:rsid w:val="00B35E38"/>
    <w:rsid w:val="00B658FD"/>
    <w:rsid w:val="00B76E71"/>
    <w:rsid w:val="00B939A1"/>
    <w:rsid w:val="00B952B4"/>
    <w:rsid w:val="00BA7049"/>
    <w:rsid w:val="00BB049F"/>
    <w:rsid w:val="00BB788F"/>
    <w:rsid w:val="00BF4EC1"/>
    <w:rsid w:val="00C0061C"/>
    <w:rsid w:val="00C008BC"/>
    <w:rsid w:val="00C11195"/>
    <w:rsid w:val="00C21E80"/>
    <w:rsid w:val="00C34362"/>
    <w:rsid w:val="00C503CC"/>
    <w:rsid w:val="00C5617D"/>
    <w:rsid w:val="00C95ED4"/>
    <w:rsid w:val="00C97547"/>
    <w:rsid w:val="00CA3CFF"/>
    <w:rsid w:val="00CB14D4"/>
    <w:rsid w:val="00CB3E26"/>
    <w:rsid w:val="00CC2A33"/>
    <w:rsid w:val="00CC55DF"/>
    <w:rsid w:val="00D716E5"/>
    <w:rsid w:val="00D90DAE"/>
    <w:rsid w:val="00D911A3"/>
    <w:rsid w:val="00D940BB"/>
    <w:rsid w:val="00D96CF3"/>
    <w:rsid w:val="00DC161A"/>
    <w:rsid w:val="00DF7FE6"/>
    <w:rsid w:val="00E24136"/>
    <w:rsid w:val="00E248AE"/>
    <w:rsid w:val="00E429C3"/>
    <w:rsid w:val="00E51AAB"/>
    <w:rsid w:val="00E903BD"/>
    <w:rsid w:val="00E90DDA"/>
    <w:rsid w:val="00E9692F"/>
    <w:rsid w:val="00EC4AF5"/>
    <w:rsid w:val="00EE1BA9"/>
    <w:rsid w:val="00EE26B2"/>
    <w:rsid w:val="00EF00B5"/>
    <w:rsid w:val="00EF1C39"/>
    <w:rsid w:val="00F10987"/>
    <w:rsid w:val="00F22B45"/>
    <w:rsid w:val="00F24020"/>
    <w:rsid w:val="00F905B3"/>
    <w:rsid w:val="00F92AEC"/>
    <w:rsid w:val="00FC2CBB"/>
    <w:rsid w:val="00FD4F19"/>
    <w:rsid w:val="01692E8A"/>
    <w:rsid w:val="01822573"/>
    <w:rsid w:val="021D06BE"/>
    <w:rsid w:val="025E0CE6"/>
    <w:rsid w:val="03891688"/>
    <w:rsid w:val="03A16A61"/>
    <w:rsid w:val="03F61A01"/>
    <w:rsid w:val="05041373"/>
    <w:rsid w:val="05BE2706"/>
    <w:rsid w:val="06A030C2"/>
    <w:rsid w:val="07862691"/>
    <w:rsid w:val="08312BA3"/>
    <w:rsid w:val="0851476E"/>
    <w:rsid w:val="08684CE0"/>
    <w:rsid w:val="08BD20E2"/>
    <w:rsid w:val="09121B08"/>
    <w:rsid w:val="096B7D90"/>
    <w:rsid w:val="098175B4"/>
    <w:rsid w:val="09FE5F7D"/>
    <w:rsid w:val="0A116C13"/>
    <w:rsid w:val="0A8B39F0"/>
    <w:rsid w:val="0B7C3008"/>
    <w:rsid w:val="0BF77312"/>
    <w:rsid w:val="0C7B653C"/>
    <w:rsid w:val="0CBB2113"/>
    <w:rsid w:val="0CC003F3"/>
    <w:rsid w:val="0D5C05CB"/>
    <w:rsid w:val="0E50765F"/>
    <w:rsid w:val="0F93014D"/>
    <w:rsid w:val="0FFA1E6E"/>
    <w:rsid w:val="106672C9"/>
    <w:rsid w:val="11785740"/>
    <w:rsid w:val="12133FB0"/>
    <w:rsid w:val="12217B86"/>
    <w:rsid w:val="125B12BC"/>
    <w:rsid w:val="12BF57F1"/>
    <w:rsid w:val="13F57F2B"/>
    <w:rsid w:val="14471F61"/>
    <w:rsid w:val="147552AC"/>
    <w:rsid w:val="14B22D17"/>
    <w:rsid w:val="14E63047"/>
    <w:rsid w:val="150D45FB"/>
    <w:rsid w:val="15620F6A"/>
    <w:rsid w:val="162B3E16"/>
    <w:rsid w:val="16B17A67"/>
    <w:rsid w:val="16CE01F2"/>
    <w:rsid w:val="177922F0"/>
    <w:rsid w:val="17A1517D"/>
    <w:rsid w:val="17C70BCA"/>
    <w:rsid w:val="17E95B0E"/>
    <w:rsid w:val="17F7778F"/>
    <w:rsid w:val="180045C4"/>
    <w:rsid w:val="18411FF4"/>
    <w:rsid w:val="18B0665C"/>
    <w:rsid w:val="19F97867"/>
    <w:rsid w:val="1A057D8D"/>
    <w:rsid w:val="1A9B3057"/>
    <w:rsid w:val="1AF13CB5"/>
    <w:rsid w:val="1BAB18B2"/>
    <w:rsid w:val="1BE30FC1"/>
    <w:rsid w:val="1C054074"/>
    <w:rsid w:val="1C9A597F"/>
    <w:rsid w:val="1CBF76DB"/>
    <w:rsid w:val="1D3C1D18"/>
    <w:rsid w:val="1D4515A4"/>
    <w:rsid w:val="1D4A4435"/>
    <w:rsid w:val="1D6C579D"/>
    <w:rsid w:val="1D7A76D0"/>
    <w:rsid w:val="1DFA7BB3"/>
    <w:rsid w:val="1DFF5CE1"/>
    <w:rsid w:val="1E2C329C"/>
    <w:rsid w:val="1ECC6AB2"/>
    <w:rsid w:val="1F250958"/>
    <w:rsid w:val="1FF02946"/>
    <w:rsid w:val="213D1128"/>
    <w:rsid w:val="216830DB"/>
    <w:rsid w:val="21FF03BB"/>
    <w:rsid w:val="2296771B"/>
    <w:rsid w:val="233C4DC5"/>
    <w:rsid w:val="23A35ADA"/>
    <w:rsid w:val="23C640E9"/>
    <w:rsid w:val="23DE25AE"/>
    <w:rsid w:val="23EA427B"/>
    <w:rsid w:val="242D3ABB"/>
    <w:rsid w:val="2446522A"/>
    <w:rsid w:val="25D520AE"/>
    <w:rsid w:val="2624038B"/>
    <w:rsid w:val="26481650"/>
    <w:rsid w:val="26B2588E"/>
    <w:rsid w:val="27214E72"/>
    <w:rsid w:val="280671AA"/>
    <w:rsid w:val="28775C41"/>
    <w:rsid w:val="290D751F"/>
    <w:rsid w:val="2A190AEF"/>
    <w:rsid w:val="2B400C25"/>
    <w:rsid w:val="2C4B5AD3"/>
    <w:rsid w:val="2CCD473A"/>
    <w:rsid w:val="2D37282D"/>
    <w:rsid w:val="2D6D186B"/>
    <w:rsid w:val="2D7A4AA5"/>
    <w:rsid w:val="2D7B7CF2"/>
    <w:rsid w:val="2DAC581E"/>
    <w:rsid w:val="2E00644A"/>
    <w:rsid w:val="2E2F684F"/>
    <w:rsid w:val="2F860BD0"/>
    <w:rsid w:val="2FD23329"/>
    <w:rsid w:val="318A2BFA"/>
    <w:rsid w:val="319D218F"/>
    <w:rsid w:val="31C418C9"/>
    <w:rsid w:val="32C739DA"/>
    <w:rsid w:val="32CA473F"/>
    <w:rsid w:val="33071282"/>
    <w:rsid w:val="333F4A62"/>
    <w:rsid w:val="33881951"/>
    <w:rsid w:val="33D4357B"/>
    <w:rsid w:val="33D776BD"/>
    <w:rsid w:val="34BB6BEB"/>
    <w:rsid w:val="34F31525"/>
    <w:rsid w:val="35956011"/>
    <w:rsid w:val="3618165E"/>
    <w:rsid w:val="361E6007"/>
    <w:rsid w:val="36E87269"/>
    <w:rsid w:val="38657F1D"/>
    <w:rsid w:val="387B504A"/>
    <w:rsid w:val="38A83AFC"/>
    <w:rsid w:val="38AA32F9"/>
    <w:rsid w:val="38F90F48"/>
    <w:rsid w:val="392532CB"/>
    <w:rsid w:val="39620EA9"/>
    <w:rsid w:val="39E80D0A"/>
    <w:rsid w:val="39ED79CE"/>
    <w:rsid w:val="39F1116E"/>
    <w:rsid w:val="3A093679"/>
    <w:rsid w:val="3AAB1C80"/>
    <w:rsid w:val="3AC3441A"/>
    <w:rsid w:val="3B182C77"/>
    <w:rsid w:val="3B53F505"/>
    <w:rsid w:val="3B685CB1"/>
    <w:rsid w:val="3C522917"/>
    <w:rsid w:val="3CD60F9A"/>
    <w:rsid w:val="3CFD3295"/>
    <w:rsid w:val="3D976A30"/>
    <w:rsid w:val="3F133019"/>
    <w:rsid w:val="40C53DFF"/>
    <w:rsid w:val="41002C1C"/>
    <w:rsid w:val="42935579"/>
    <w:rsid w:val="43645A60"/>
    <w:rsid w:val="44E25011"/>
    <w:rsid w:val="45A271CA"/>
    <w:rsid w:val="45F6521E"/>
    <w:rsid w:val="45FF3EE8"/>
    <w:rsid w:val="4663083F"/>
    <w:rsid w:val="46AF05B5"/>
    <w:rsid w:val="46E3784F"/>
    <w:rsid w:val="46EE37D3"/>
    <w:rsid w:val="482A4397"/>
    <w:rsid w:val="488F68F0"/>
    <w:rsid w:val="48E07049"/>
    <w:rsid w:val="497C127D"/>
    <w:rsid w:val="49995C33"/>
    <w:rsid w:val="4A4F5593"/>
    <w:rsid w:val="4A930919"/>
    <w:rsid w:val="4A9B77CE"/>
    <w:rsid w:val="4AE64538"/>
    <w:rsid w:val="4B913C9C"/>
    <w:rsid w:val="4C6D35CE"/>
    <w:rsid w:val="4C7C0C24"/>
    <w:rsid w:val="4C987A4D"/>
    <w:rsid w:val="4CF46434"/>
    <w:rsid w:val="4DB366E0"/>
    <w:rsid w:val="4DD02869"/>
    <w:rsid w:val="4E4E5ADE"/>
    <w:rsid w:val="4EC30CA9"/>
    <w:rsid w:val="51085492"/>
    <w:rsid w:val="51CD56B9"/>
    <w:rsid w:val="51E81CD0"/>
    <w:rsid w:val="523A10F8"/>
    <w:rsid w:val="53C61CCF"/>
    <w:rsid w:val="550C42A1"/>
    <w:rsid w:val="554F3053"/>
    <w:rsid w:val="55577837"/>
    <w:rsid w:val="55AD239B"/>
    <w:rsid w:val="56257837"/>
    <w:rsid w:val="56453404"/>
    <w:rsid w:val="56813F43"/>
    <w:rsid w:val="578603B2"/>
    <w:rsid w:val="57C54DFF"/>
    <w:rsid w:val="581165C3"/>
    <w:rsid w:val="584F7770"/>
    <w:rsid w:val="5A1976E0"/>
    <w:rsid w:val="5ABA6D54"/>
    <w:rsid w:val="5B310F81"/>
    <w:rsid w:val="5D272EF3"/>
    <w:rsid w:val="5DA20BF8"/>
    <w:rsid w:val="5DBB5D65"/>
    <w:rsid w:val="5E434354"/>
    <w:rsid w:val="5ED75BF8"/>
    <w:rsid w:val="5F913938"/>
    <w:rsid w:val="60007659"/>
    <w:rsid w:val="607D37A6"/>
    <w:rsid w:val="60A3081D"/>
    <w:rsid w:val="61024FF4"/>
    <w:rsid w:val="610D0E7E"/>
    <w:rsid w:val="611A0FF5"/>
    <w:rsid w:val="61AE6EFE"/>
    <w:rsid w:val="63734519"/>
    <w:rsid w:val="63907F40"/>
    <w:rsid w:val="63B05E2D"/>
    <w:rsid w:val="653E1755"/>
    <w:rsid w:val="65733711"/>
    <w:rsid w:val="664D7DF0"/>
    <w:rsid w:val="665705F5"/>
    <w:rsid w:val="67726AD1"/>
    <w:rsid w:val="67E92737"/>
    <w:rsid w:val="67ED04A1"/>
    <w:rsid w:val="6805779D"/>
    <w:rsid w:val="69060B2D"/>
    <w:rsid w:val="697F058F"/>
    <w:rsid w:val="69C67F6C"/>
    <w:rsid w:val="6A331379"/>
    <w:rsid w:val="6A3E260C"/>
    <w:rsid w:val="6A64219A"/>
    <w:rsid w:val="6A952428"/>
    <w:rsid w:val="6B0F4D73"/>
    <w:rsid w:val="6B6B185C"/>
    <w:rsid w:val="6BDF2422"/>
    <w:rsid w:val="6C9873B6"/>
    <w:rsid w:val="6CA2356C"/>
    <w:rsid w:val="6CB27343"/>
    <w:rsid w:val="6D42279F"/>
    <w:rsid w:val="6D921578"/>
    <w:rsid w:val="6DDD5884"/>
    <w:rsid w:val="6E1E5287"/>
    <w:rsid w:val="6F14385A"/>
    <w:rsid w:val="6F6124E5"/>
    <w:rsid w:val="6F667AFB"/>
    <w:rsid w:val="6F726B79"/>
    <w:rsid w:val="6FA743CC"/>
    <w:rsid w:val="6FF0313F"/>
    <w:rsid w:val="70512160"/>
    <w:rsid w:val="70695E93"/>
    <w:rsid w:val="708E2FC5"/>
    <w:rsid w:val="70C01024"/>
    <w:rsid w:val="715D700F"/>
    <w:rsid w:val="718822CA"/>
    <w:rsid w:val="726E1536"/>
    <w:rsid w:val="727644F9"/>
    <w:rsid w:val="73441562"/>
    <w:rsid w:val="75711A3B"/>
    <w:rsid w:val="75D927B7"/>
    <w:rsid w:val="769D255B"/>
    <w:rsid w:val="76BD6E08"/>
    <w:rsid w:val="77640DC4"/>
    <w:rsid w:val="779E0939"/>
    <w:rsid w:val="78D37788"/>
    <w:rsid w:val="790B76F8"/>
    <w:rsid w:val="79DA711C"/>
    <w:rsid w:val="7A4C48FD"/>
    <w:rsid w:val="7B1B6CA4"/>
    <w:rsid w:val="7B683332"/>
    <w:rsid w:val="7B8B3249"/>
    <w:rsid w:val="7B9A4DB4"/>
    <w:rsid w:val="7BE27170"/>
    <w:rsid w:val="7C20584F"/>
    <w:rsid w:val="7C907F65"/>
    <w:rsid w:val="7CAC4288"/>
    <w:rsid w:val="7CB61568"/>
    <w:rsid w:val="7CFC409A"/>
    <w:rsid w:val="7D066E76"/>
    <w:rsid w:val="7E0B4749"/>
    <w:rsid w:val="7E3C7849"/>
    <w:rsid w:val="7F0E0C8D"/>
    <w:rsid w:val="7F27533A"/>
    <w:rsid w:val="7F8D01A2"/>
    <w:rsid w:val="7F924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8"/>
    <w:qFormat/>
    <w:uiPriority w:val="99"/>
    <w:pPr>
      <w:keepNext/>
      <w:jc w:val="center"/>
      <w:outlineLvl w:val="0"/>
    </w:pPr>
    <w:rPr>
      <w:rFonts w:ascii="楷体_GB2312" w:hAnsi="楷体_GB2312" w:cs="宋体"/>
      <w:sz w:val="28"/>
      <w:szCs w:val="28"/>
    </w:rPr>
  </w:style>
  <w:style w:type="paragraph" w:styleId="4">
    <w:name w:val="heading 2"/>
    <w:basedOn w:val="1"/>
    <w:next w:val="1"/>
    <w:link w:val="29"/>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5">
    <w:name w:val="heading 3"/>
    <w:basedOn w:val="1"/>
    <w:next w:val="1"/>
    <w:link w:val="30"/>
    <w:qFormat/>
    <w:uiPriority w:val="99"/>
    <w:pPr>
      <w:keepNext/>
      <w:keepLines/>
      <w:spacing w:before="260" w:after="260" w:line="415" w:lineRule="auto"/>
      <w:outlineLvl w:val="2"/>
    </w:pPr>
    <w:rPr>
      <w:b/>
      <w:bCs/>
      <w:sz w:val="32"/>
      <w:szCs w:val="32"/>
    </w:rPr>
  </w:style>
  <w:style w:type="paragraph" w:styleId="6">
    <w:name w:val="heading 4"/>
    <w:basedOn w:val="1"/>
    <w:next w:val="7"/>
    <w:link w:val="54"/>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6"/>
    <w:basedOn w:val="1"/>
    <w:next w:val="1"/>
    <w:link w:val="31"/>
    <w:qFormat/>
    <w:uiPriority w:val="99"/>
    <w:pPr>
      <w:keepNext/>
      <w:keepLines/>
      <w:spacing w:before="240" w:after="64" w:line="319" w:lineRule="auto"/>
      <w:outlineLvl w:val="5"/>
    </w:pPr>
    <w:rPr>
      <w:rFonts w:ascii="Arial" w:hAnsi="Arial" w:eastAsia="黑体" w:cs="Arial"/>
      <w:b/>
      <w:bCs/>
      <w:sz w:val="24"/>
      <w:szCs w:val="24"/>
    </w:rPr>
  </w:style>
  <w:style w:type="character" w:default="1" w:styleId="23">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7">
    <w:name w:val="Normal Indent"/>
    <w:basedOn w:val="1"/>
    <w:unhideWhenUsed/>
    <w:qFormat/>
    <w:uiPriority w:val="99"/>
    <w:pPr>
      <w:ind w:firstLine="420"/>
    </w:pPr>
  </w:style>
  <w:style w:type="paragraph" w:styleId="9">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10">
    <w:name w:val="annotation text"/>
    <w:basedOn w:val="1"/>
    <w:unhideWhenUsed/>
    <w:qFormat/>
    <w:uiPriority w:val="99"/>
    <w:pPr>
      <w:jc w:val="left"/>
    </w:pPr>
  </w:style>
  <w:style w:type="paragraph" w:styleId="11">
    <w:name w:val="Body Text Indent"/>
    <w:basedOn w:val="1"/>
    <w:link w:val="37"/>
    <w:unhideWhenUsed/>
    <w:qFormat/>
    <w:uiPriority w:val="99"/>
    <w:pPr>
      <w:ind w:firstLine="645"/>
    </w:pPr>
    <w:rPr>
      <w:rFonts w:ascii="楷体_GB2312" w:hAnsi="楷体_GB2312" w:cs="宋体"/>
      <w:sz w:val="32"/>
      <w:szCs w:val="32"/>
    </w:rPr>
  </w:style>
  <w:style w:type="paragraph" w:styleId="12">
    <w:name w:val="Block Text"/>
    <w:basedOn w:val="1"/>
    <w:qFormat/>
    <w:uiPriority w:val="99"/>
    <w:pPr>
      <w:ind w:left="560" w:right="-512" w:rightChars="-244"/>
    </w:pPr>
    <w:rPr>
      <w:rFonts w:ascii="幼圆" w:eastAsia="幼圆" w:cs="Garamond"/>
      <w:sz w:val="24"/>
    </w:rPr>
  </w:style>
  <w:style w:type="paragraph" w:styleId="13">
    <w:name w:val="toc 5"/>
    <w:basedOn w:val="1"/>
    <w:next w:val="1"/>
    <w:semiHidden/>
    <w:qFormat/>
    <w:uiPriority w:val="0"/>
    <w:pPr>
      <w:ind w:left="840"/>
      <w:jc w:val="left"/>
    </w:pPr>
  </w:style>
  <w:style w:type="paragraph" w:styleId="14">
    <w:name w:val="Plain Text"/>
    <w:basedOn w:val="1"/>
    <w:link w:val="34"/>
    <w:unhideWhenUsed/>
    <w:qFormat/>
    <w:uiPriority w:val="99"/>
    <w:rPr>
      <w:rFonts w:ascii="宋体" w:hAnsi="Courier New" w:cs="宋体"/>
    </w:rPr>
  </w:style>
  <w:style w:type="paragraph" w:styleId="15">
    <w:name w:val="Date"/>
    <w:basedOn w:val="1"/>
    <w:next w:val="1"/>
    <w:link w:val="33"/>
    <w:unhideWhenUsed/>
    <w:qFormat/>
    <w:uiPriority w:val="99"/>
    <w:rPr>
      <w:sz w:val="24"/>
      <w:szCs w:val="24"/>
    </w:rPr>
  </w:style>
  <w:style w:type="paragraph" w:styleId="16">
    <w:name w:val="Balloon Text"/>
    <w:basedOn w:val="1"/>
    <w:link w:val="48"/>
    <w:unhideWhenUsed/>
    <w:qFormat/>
    <w:uiPriority w:val="99"/>
    <w:rPr>
      <w:sz w:val="18"/>
      <w:szCs w:val="18"/>
    </w:rPr>
  </w:style>
  <w:style w:type="paragraph" w:styleId="17">
    <w:name w:val="footer"/>
    <w:basedOn w:val="1"/>
    <w:link w:val="35"/>
    <w:unhideWhenUsed/>
    <w:qFormat/>
    <w:uiPriority w:val="99"/>
    <w:pPr>
      <w:snapToGrid w:val="0"/>
      <w:jc w:val="left"/>
    </w:pPr>
    <w:rPr>
      <w:sz w:val="18"/>
      <w:szCs w:val="18"/>
    </w:rPr>
  </w:style>
  <w:style w:type="paragraph" w:styleId="18">
    <w:name w:val="Body Text First Indent 2"/>
    <w:basedOn w:val="11"/>
    <w:link w:val="38"/>
    <w:unhideWhenUsed/>
    <w:qFormat/>
    <w:uiPriority w:val="99"/>
    <w:pPr>
      <w:spacing w:line="360" w:lineRule="auto"/>
      <w:ind w:firstLine="420" w:firstLineChars="200"/>
    </w:pPr>
    <w:rPr>
      <w:rFonts w:ascii="宋体" w:hAnsi="宋体"/>
      <w:szCs w:val="21"/>
    </w:rPr>
  </w:style>
  <w:style w:type="paragraph" w:styleId="19">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24">
    <w:name w:val="Hyperlink"/>
    <w:unhideWhenUsed/>
    <w:qFormat/>
    <w:uiPriority w:val="99"/>
    <w:rPr>
      <w:color w:val="555555"/>
      <w:u w:val="none"/>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
    <w:name w:val="Default"/>
    <w:basedOn w:val="1"/>
    <w:qFormat/>
    <w:uiPriority w:val="0"/>
    <w:pPr>
      <w:autoSpaceDE w:val="0"/>
      <w:autoSpaceDN w:val="0"/>
      <w:adjustRightInd w:val="0"/>
      <w:jc w:val="left"/>
    </w:pPr>
    <w:rPr>
      <w:color w:val="000000"/>
      <w:kern w:val="0"/>
      <w:sz w:val="24"/>
      <w:szCs w:val="24"/>
    </w:rPr>
  </w:style>
  <w:style w:type="character" w:customStyle="1" w:styleId="28">
    <w:name w:val="标题 1 字符"/>
    <w:basedOn w:val="23"/>
    <w:link w:val="3"/>
    <w:qFormat/>
    <w:uiPriority w:val="99"/>
    <w:rPr>
      <w:rFonts w:ascii="楷体_GB2312" w:hAnsi="楷体_GB2312" w:eastAsia="宋体" w:cs="宋体"/>
      <w:sz w:val="28"/>
      <w:szCs w:val="28"/>
    </w:rPr>
  </w:style>
  <w:style w:type="character" w:customStyle="1" w:styleId="29">
    <w:name w:val="标题 2 字符"/>
    <w:basedOn w:val="23"/>
    <w:link w:val="4"/>
    <w:qFormat/>
    <w:uiPriority w:val="99"/>
    <w:rPr>
      <w:rFonts w:ascii="Arial" w:hAnsi="Arial" w:eastAsia="幼圆" w:cs="Arial"/>
      <w:b/>
      <w:bCs/>
      <w:sz w:val="44"/>
      <w:szCs w:val="44"/>
    </w:rPr>
  </w:style>
  <w:style w:type="character" w:customStyle="1" w:styleId="30">
    <w:name w:val="标题 3 字符"/>
    <w:basedOn w:val="23"/>
    <w:link w:val="5"/>
    <w:qFormat/>
    <w:uiPriority w:val="99"/>
    <w:rPr>
      <w:rFonts w:ascii="Times New Roman" w:hAnsi="Times New Roman" w:eastAsia="宋体" w:cs="Times New Roman"/>
      <w:b/>
      <w:bCs/>
      <w:sz w:val="32"/>
      <w:szCs w:val="32"/>
    </w:rPr>
  </w:style>
  <w:style w:type="character" w:customStyle="1" w:styleId="31">
    <w:name w:val="标题 6 字符"/>
    <w:basedOn w:val="23"/>
    <w:link w:val="8"/>
    <w:qFormat/>
    <w:uiPriority w:val="99"/>
    <w:rPr>
      <w:rFonts w:ascii="Arial" w:hAnsi="Arial" w:eastAsia="黑体" w:cs="Arial"/>
      <w:b/>
      <w:bCs/>
      <w:sz w:val="24"/>
      <w:szCs w:val="24"/>
    </w:rPr>
  </w:style>
  <w:style w:type="character" w:customStyle="1" w:styleId="32">
    <w:name w:val="页眉 字符"/>
    <w:link w:val="19"/>
    <w:qFormat/>
    <w:uiPriority w:val="99"/>
    <w:rPr>
      <w:rFonts w:ascii="Times New Roman" w:hAnsi="Times New Roman" w:eastAsia="宋体" w:cs="Times New Roman"/>
      <w:sz w:val="18"/>
      <w:szCs w:val="18"/>
    </w:rPr>
  </w:style>
  <w:style w:type="character" w:customStyle="1" w:styleId="33">
    <w:name w:val="日期 字符"/>
    <w:link w:val="15"/>
    <w:qFormat/>
    <w:uiPriority w:val="99"/>
    <w:rPr>
      <w:rFonts w:ascii="Times New Roman" w:hAnsi="Times New Roman" w:eastAsia="宋体" w:cs="Times New Roman"/>
      <w:sz w:val="24"/>
      <w:szCs w:val="24"/>
    </w:rPr>
  </w:style>
  <w:style w:type="character" w:customStyle="1" w:styleId="34">
    <w:name w:val="纯文本 字符"/>
    <w:link w:val="14"/>
    <w:qFormat/>
    <w:uiPriority w:val="99"/>
    <w:rPr>
      <w:rFonts w:ascii="宋体" w:hAnsi="Courier New" w:eastAsia="宋体" w:cs="宋体"/>
      <w:szCs w:val="21"/>
    </w:rPr>
  </w:style>
  <w:style w:type="character" w:customStyle="1" w:styleId="35">
    <w:name w:val="页脚 字符"/>
    <w:link w:val="17"/>
    <w:qFormat/>
    <w:uiPriority w:val="99"/>
    <w:rPr>
      <w:rFonts w:ascii="Times New Roman" w:hAnsi="Times New Roman" w:eastAsia="宋体" w:cs="Times New Roman"/>
      <w:sz w:val="18"/>
      <w:szCs w:val="18"/>
    </w:rPr>
  </w:style>
  <w:style w:type="character" w:customStyle="1" w:styleId="36">
    <w:name w:val="已访问的超链接1"/>
    <w:unhideWhenUsed/>
    <w:qFormat/>
    <w:uiPriority w:val="99"/>
    <w:rPr>
      <w:color w:val="555555"/>
      <w:u w:val="none"/>
    </w:rPr>
  </w:style>
  <w:style w:type="character" w:customStyle="1" w:styleId="37">
    <w:name w:val="正文文本缩进 字符"/>
    <w:link w:val="11"/>
    <w:qFormat/>
    <w:uiPriority w:val="99"/>
    <w:rPr>
      <w:rFonts w:ascii="楷体_GB2312" w:hAnsi="楷体_GB2312" w:eastAsia="宋体" w:cs="宋体"/>
      <w:sz w:val="32"/>
      <w:szCs w:val="32"/>
    </w:rPr>
  </w:style>
  <w:style w:type="character" w:customStyle="1" w:styleId="38">
    <w:name w:val="正文文本首行缩进 2 字符"/>
    <w:link w:val="18"/>
    <w:qFormat/>
    <w:uiPriority w:val="99"/>
    <w:rPr>
      <w:rFonts w:ascii="宋体" w:hAnsi="宋体" w:eastAsia="宋体" w:cs="宋体"/>
      <w:sz w:val="32"/>
      <w:szCs w:val="21"/>
    </w:rPr>
  </w:style>
  <w:style w:type="character" w:customStyle="1" w:styleId="39">
    <w:name w:val="纯文本 Char1"/>
    <w:basedOn w:val="23"/>
    <w:semiHidden/>
    <w:qFormat/>
    <w:uiPriority w:val="99"/>
    <w:rPr>
      <w:rFonts w:ascii="宋体" w:hAnsi="Courier New" w:eastAsia="宋体" w:cs="Courier New"/>
      <w:szCs w:val="21"/>
    </w:rPr>
  </w:style>
  <w:style w:type="character" w:customStyle="1" w:styleId="40">
    <w:name w:val="正文文本缩进 Char1"/>
    <w:basedOn w:val="23"/>
    <w:semiHidden/>
    <w:qFormat/>
    <w:uiPriority w:val="99"/>
    <w:rPr>
      <w:rFonts w:ascii="Times New Roman" w:hAnsi="Times New Roman" w:eastAsia="宋体" w:cs="Times New Roman"/>
      <w:szCs w:val="21"/>
    </w:rPr>
  </w:style>
  <w:style w:type="paragraph" w:customStyle="1" w:styleId="41">
    <w:name w:val="列出段落1"/>
    <w:basedOn w:val="1"/>
    <w:qFormat/>
    <w:uiPriority w:val="0"/>
    <w:pPr>
      <w:widowControl/>
      <w:spacing w:before="100" w:beforeAutospacing="1" w:after="100" w:afterAutospacing="1"/>
      <w:ind w:left="720"/>
      <w:contextualSpacing/>
      <w:jc w:val="left"/>
    </w:pPr>
    <w:rPr>
      <w:kern w:val="0"/>
      <w:sz w:val="24"/>
      <w:szCs w:val="24"/>
    </w:rPr>
  </w:style>
  <w:style w:type="character" w:customStyle="1" w:styleId="42">
    <w:name w:val="日期 Char1"/>
    <w:basedOn w:val="23"/>
    <w:semiHidden/>
    <w:qFormat/>
    <w:uiPriority w:val="99"/>
    <w:rPr>
      <w:rFonts w:ascii="Times New Roman" w:hAnsi="Times New Roman" w:eastAsia="宋体" w:cs="Times New Roman"/>
      <w:szCs w:val="21"/>
    </w:rPr>
  </w:style>
  <w:style w:type="character" w:customStyle="1" w:styleId="43">
    <w:name w:val="正文首行缩进 2 Char1"/>
    <w:basedOn w:val="40"/>
    <w:semiHidden/>
    <w:qFormat/>
    <w:uiPriority w:val="99"/>
    <w:rPr>
      <w:rFonts w:ascii="Times New Roman" w:hAnsi="Times New Roman" w:eastAsia="宋体" w:cs="Times New Roman"/>
      <w:szCs w:val="21"/>
    </w:rPr>
  </w:style>
  <w:style w:type="character" w:customStyle="1" w:styleId="44">
    <w:name w:val="页脚 Char1"/>
    <w:basedOn w:val="23"/>
    <w:semiHidden/>
    <w:qFormat/>
    <w:uiPriority w:val="99"/>
    <w:rPr>
      <w:rFonts w:ascii="Times New Roman" w:hAnsi="Times New Roman" w:eastAsia="宋体" w:cs="Times New Roman"/>
      <w:sz w:val="18"/>
      <w:szCs w:val="18"/>
    </w:rPr>
  </w:style>
  <w:style w:type="paragraph" w:customStyle="1" w:styleId="45">
    <w:name w:val="普通正文"/>
    <w:basedOn w:val="1"/>
    <w:link w:val="52"/>
    <w:qFormat/>
    <w:uiPriority w:val="0"/>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46">
    <w:name w:val="页眉 Char1"/>
    <w:basedOn w:val="23"/>
    <w:semiHidden/>
    <w:qFormat/>
    <w:uiPriority w:val="99"/>
    <w:rPr>
      <w:rFonts w:ascii="Times New Roman" w:hAnsi="Times New Roman" w:eastAsia="宋体" w:cs="Times New Roman"/>
      <w:sz w:val="18"/>
      <w:szCs w:val="18"/>
    </w:rPr>
  </w:style>
  <w:style w:type="paragraph" w:customStyle="1" w:styleId="47">
    <w:name w:val="Char2"/>
    <w:basedOn w:val="1"/>
    <w:qFormat/>
    <w:uiPriority w:val="0"/>
    <w:pPr>
      <w:ind w:firstLine="200" w:firstLineChars="200"/>
    </w:pPr>
    <w:rPr>
      <w:sz w:val="28"/>
      <w:szCs w:val="28"/>
    </w:rPr>
  </w:style>
  <w:style w:type="character" w:customStyle="1" w:styleId="48">
    <w:name w:val="批注框文本 字符"/>
    <w:basedOn w:val="23"/>
    <w:link w:val="16"/>
    <w:semiHidden/>
    <w:qFormat/>
    <w:uiPriority w:val="99"/>
    <w:rPr>
      <w:rFonts w:ascii="Times New Roman" w:hAnsi="Times New Roman" w:eastAsia="宋体" w:cs="Times New Roman"/>
      <w:sz w:val="18"/>
      <w:szCs w:val="18"/>
    </w:rPr>
  </w:style>
  <w:style w:type="paragraph" w:customStyle="1" w:styleId="49">
    <w:name w:val="Table Paragraph"/>
    <w:basedOn w:val="1"/>
    <w:qFormat/>
    <w:uiPriority w:val="1"/>
    <w:rPr>
      <w:rFonts w:ascii="宋体" w:hAnsi="宋体" w:cs="宋体"/>
      <w:lang w:val="zh-CN" w:bidi="zh-CN"/>
    </w:rPr>
  </w:style>
  <w:style w:type="character" w:customStyle="1" w:styleId="50">
    <w:name w:val="font31"/>
    <w:basedOn w:val="23"/>
    <w:qFormat/>
    <w:uiPriority w:val="0"/>
    <w:rPr>
      <w:rFonts w:hint="eastAsia" w:ascii="宋体" w:hAnsi="宋体" w:eastAsia="宋体" w:cs="宋体"/>
      <w:color w:val="000000"/>
      <w:sz w:val="22"/>
      <w:szCs w:val="22"/>
      <w:u w:val="none"/>
    </w:rPr>
  </w:style>
  <w:style w:type="character" w:customStyle="1" w:styleId="51">
    <w:name w:val="NormalCharacter"/>
    <w:semiHidden/>
    <w:qFormat/>
    <w:uiPriority w:val="0"/>
  </w:style>
  <w:style w:type="character" w:customStyle="1" w:styleId="52">
    <w:name w:val="普通正文 Char"/>
    <w:link w:val="45"/>
    <w:qFormat/>
    <w:uiPriority w:val="0"/>
    <w:rPr>
      <w:rFonts w:ascii="Arial" w:hAnsi="Arial" w:cs="Arial"/>
      <w:sz w:val="24"/>
      <w:szCs w:val="24"/>
    </w:rPr>
  </w:style>
  <w:style w:type="paragraph" w:customStyle="1" w:styleId="53">
    <w:name w:val="段"/>
    <w:next w:val="1"/>
    <w:qFormat/>
    <w:uiPriority w:val="0"/>
    <w:pPr>
      <w:autoSpaceDE w:val="0"/>
      <w:autoSpaceDN w:val="0"/>
      <w:ind w:firstLine="200"/>
      <w:jc w:val="both"/>
    </w:pPr>
    <w:rPr>
      <w:rFonts w:ascii="宋体" w:hAnsi="Calibri" w:eastAsia="宋体" w:cs="Calibri"/>
      <w:sz w:val="21"/>
      <w:lang w:val="en-US" w:eastAsia="zh-CN" w:bidi="ar-SA"/>
    </w:rPr>
  </w:style>
  <w:style w:type="character" w:customStyle="1" w:styleId="54">
    <w:name w:val="标题 4 字符"/>
    <w:basedOn w:val="23"/>
    <w:link w:val="6"/>
    <w:qFormat/>
    <w:uiPriority w:val="0"/>
    <w:rPr>
      <w:rFonts w:ascii="Arial" w:hAnsi="Arial" w:eastAsia="黑体" w:cs="Arial"/>
      <w:b/>
      <w:bCs/>
      <w:kern w:val="2"/>
      <w:sz w:val="28"/>
      <w:szCs w:val="28"/>
    </w:rPr>
  </w:style>
  <w:style w:type="paragraph" w:customStyle="1" w:styleId="55">
    <w:name w:val="首行缩进"/>
    <w:basedOn w:val="1"/>
    <w:qFormat/>
    <w:uiPriority w:val="0"/>
    <w:pPr>
      <w:spacing w:line="360" w:lineRule="auto"/>
      <w:ind w:firstLine="480" w:firstLineChars="200"/>
    </w:pPr>
    <w:rPr>
      <w:rFonts w:ascii="宋体" w:hAnsi="宋体" w:cs="宋体"/>
      <w:kern w:val="0"/>
      <w:sz w:val="24"/>
    </w:rPr>
  </w:style>
  <w:style w:type="paragraph" w:customStyle="1" w:styleId="56">
    <w:name w:val="列表段落1"/>
    <w:basedOn w:val="1"/>
    <w:qFormat/>
    <w:uiPriority w:val="34"/>
    <w:pPr>
      <w:snapToGrid w:val="0"/>
      <w:spacing w:before="50" w:beforeLines="50" w:after="50" w:afterLines="50" w:line="360" w:lineRule="atLeast"/>
      <w:ind w:firstLine="420" w:firstLineChars="200"/>
    </w:pPr>
    <w:rPr>
      <w:rFonts w:ascii="微软雅黑" w:hAnsi="微软雅黑" w:eastAsia="微软雅黑" w:cs="宋体"/>
      <w:sz w:val="24"/>
      <w:szCs w:val="24"/>
    </w:rPr>
  </w:style>
  <w:style w:type="paragraph" w:customStyle="1" w:styleId="57">
    <w:name w:val="列出段落11"/>
    <w:basedOn w:val="1"/>
    <w:qFormat/>
    <w:uiPriority w:val="99"/>
    <w:pPr>
      <w:widowControl/>
      <w:ind w:left="720"/>
      <w:contextualSpacing/>
      <w:jc w:val="left"/>
    </w:pPr>
    <w:rPr>
      <w:rFonts w:ascii="Calibri" w:hAnsi="Calibri" w:eastAsiaTheme="minorEastAsia" w:cstheme="minorBidi"/>
      <w:sz w:val="24"/>
      <w:szCs w:val="22"/>
      <w:lang w:eastAsia="en-US"/>
    </w:rPr>
  </w:style>
  <w:style w:type="paragraph" w:customStyle="1" w:styleId="58">
    <w:name w:val="_Style 1"/>
    <w:basedOn w:val="1"/>
    <w:qFormat/>
    <w:uiPriority w:val="34"/>
    <w:pPr>
      <w:ind w:firstLine="420" w:firstLineChars="200"/>
    </w:pPr>
    <w:rPr>
      <w:rFonts w:ascii="Calibri" w:hAnsi="Calibri"/>
      <w:szCs w:val="20"/>
    </w:rPr>
  </w:style>
  <w:style w:type="character" w:customStyle="1" w:styleId="59">
    <w:name w:val="font01"/>
    <w:basedOn w:val="23"/>
    <w:qFormat/>
    <w:uiPriority w:val="0"/>
    <w:rPr>
      <w:rFonts w:hint="eastAsia" w:ascii="宋体" w:hAnsi="宋体" w:eastAsia="宋体" w:cs="宋体"/>
      <w:color w:val="000000"/>
      <w:sz w:val="22"/>
      <w:szCs w:val="22"/>
      <w:u w:val="none"/>
    </w:rPr>
  </w:style>
  <w:style w:type="character" w:customStyle="1" w:styleId="60">
    <w:name w:val="font41"/>
    <w:basedOn w:val="23"/>
    <w:qFormat/>
    <w:uiPriority w:val="0"/>
    <w:rPr>
      <w:rFonts w:hint="eastAsia" w:ascii="等线" w:hAnsi="等线" w:eastAsia="等线" w:cs="等线"/>
      <w:color w:val="000000"/>
      <w:sz w:val="21"/>
      <w:szCs w:val="21"/>
      <w:u w:val="none"/>
    </w:rPr>
  </w:style>
  <w:style w:type="paragraph" w:customStyle="1" w:styleId="61">
    <w:name w:val="列表段落11"/>
    <w:basedOn w:val="1"/>
    <w:unhideWhenUsed/>
    <w:qFormat/>
    <w:uiPriority w:val="34"/>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85</Pages>
  <Words>9194</Words>
  <Characters>52412</Characters>
  <Lines>436</Lines>
  <Paragraphs>122</Paragraphs>
  <TotalTime>12</TotalTime>
  <ScaleCrop>false</ScaleCrop>
  <LinksUpToDate>false</LinksUpToDate>
  <CharactersWithSpaces>61484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2021-04-17T18:00:00Z</dcterms:created>
  <dc:creator>盐城幼儿师范高等专科学校(填报)</dc:creator>
  <cp:lastModifiedBy>盐城幼儿师范高等专科学校(填报)</cp:lastModifiedBy>
  <cp:lastPrinted>2022-11-02T07:05:00Z</cp:lastPrinted>
  <dcterms:modified xsi:type="dcterms:W3CDTF">2022-11-03T06:37:51Z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971FE8DADDC94EC09F033733E9DB15C7</vt:lpwstr>
  </property>
</Properties>
</file>