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pPr>
    </w:p>
    <w:p>
      <w:pPr>
        <w:jc w:val="center"/>
        <w:rPr>
          <w:b/>
          <w:sz w:val="84"/>
        </w:rPr>
      </w:pPr>
    </w:p>
    <w:p>
      <w:pPr>
        <w:jc w:val="center"/>
        <w:rPr>
          <w:b/>
          <w:sz w:val="84"/>
        </w:rPr>
      </w:pPr>
    </w:p>
    <w:p>
      <w:pPr>
        <w:jc w:val="center"/>
        <w:rPr>
          <w:b/>
          <w:sz w:val="84"/>
        </w:rPr>
      </w:pPr>
      <w:r>
        <w:rPr>
          <w:rFonts w:hint="eastAsia"/>
          <w:b/>
          <w:sz w:val="84"/>
        </w:rPr>
        <w:t>单一来源采购文件</w:t>
      </w:r>
    </w:p>
    <w:p>
      <w:pPr>
        <w:rPr>
          <w:rFonts w:eastAsia="黑体"/>
          <w:b/>
          <w:sz w:val="32"/>
        </w:rPr>
      </w:pPr>
    </w:p>
    <w:p>
      <w:pPr>
        <w:rPr>
          <w:rFonts w:eastAsia="黑体"/>
          <w:b/>
          <w:sz w:val="32"/>
        </w:rPr>
      </w:pPr>
    </w:p>
    <w:p>
      <w:pPr>
        <w:jc w:val="center"/>
        <w:rPr>
          <w:rFonts w:eastAsia="黑体"/>
          <w:b/>
          <w:sz w:val="32"/>
        </w:rPr>
      </w:pPr>
    </w:p>
    <w:p>
      <w:pPr>
        <w:pStyle w:val="17"/>
        <w:ind w:firstLine="600"/>
      </w:pPr>
    </w:p>
    <w:p>
      <w:pPr>
        <w:ind w:firstLine="2168" w:firstLineChars="600"/>
        <w:textAlignment w:val="baseline"/>
        <w:rPr>
          <w:rFonts w:ascii="宋体" w:hAnsi="宋体" w:cs="宋体"/>
          <w:b/>
          <w:sz w:val="36"/>
        </w:rPr>
      </w:pPr>
      <w:r>
        <w:rPr>
          <w:rFonts w:hint="eastAsia" w:ascii="宋体" w:hAnsi="宋体" w:cs="宋体"/>
          <w:b/>
          <w:sz w:val="36"/>
        </w:rPr>
        <w:t>项目编号：YCYZ2022DY001</w:t>
      </w:r>
    </w:p>
    <w:p>
      <w:pPr>
        <w:rPr>
          <w:rFonts w:ascii="宋体" w:hAnsi="宋体" w:cs="宋体"/>
          <w:b/>
          <w:sz w:val="32"/>
        </w:rPr>
      </w:pPr>
    </w:p>
    <w:p>
      <w:pPr>
        <w:widowControl/>
        <w:spacing w:beforeLines="50" w:afterLines="50" w:line="440" w:lineRule="exact"/>
        <w:jc w:val="center"/>
        <w:rPr>
          <w:rFonts w:ascii="宋体" w:hAnsi="宋体" w:cs="宋体"/>
          <w:b/>
          <w:sz w:val="36"/>
          <w:szCs w:val="36"/>
        </w:rPr>
      </w:pPr>
      <w:r>
        <w:rPr>
          <w:rFonts w:hint="eastAsia" w:ascii="宋体" w:hAnsi="宋体" w:cs="宋体"/>
          <w:b/>
          <w:sz w:val="36"/>
          <w:szCs w:val="36"/>
        </w:rPr>
        <w:t>项目名称：</w:t>
      </w:r>
      <w:r>
        <w:rPr>
          <w:rFonts w:hint="eastAsia" w:ascii="宋体" w:hAnsi="宋体" w:cs="宋体"/>
          <w:b/>
          <w:bCs/>
          <w:kern w:val="0"/>
          <w:sz w:val="36"/>
          <w:szCs w:val="36"/>
        </w:rPr>
        <w:t>盐城幼儿师范高等专科学校中长期专业发展规划（2</w:t>
      </w:r>
      <w:r>
        <w:rPr>
          <w:rFonts w:ascii="宋体" w:hAnsi="宋体" w:cs="宋体"/>
          <w:b/>
          <w:bCs/>
          <w:kern w:val="0"/>
          <w:sz w:val="36"/>
          <w:szCs w:val="36"/>
        </w:rPr>
        <w:t>022</w:t>
      </w:r>
      <w:r>
        <w:rPr>
          <w:rFonts w:hint="eastAsia" w:ascii="宋体" w:hAnsi="宋体" w:cs="宋体"/>
          <w:b/>
          <w:bCs/>
          <w:kern w:val="0"/>
          <w:sz w:val="36"/>
          <w:szCs w:val="36"/>
        </w:rPr>
        <w:t>-</w:t>
      </w:r>
      <w:r>
        <w:rPr>
          <w:rFonts w:ascii="宋体" w:hAnsi="宋体" w:cs="宋体"/>
          <w:b/>
          <w:bCs/>
          <w:kern w:val="0"/>
          <w:sz w:val="36"/>
          <w:szCs w:val="36"/>
        </w:rPr>
        <w:t>2035</w:t>
      </w:r>
      <w:r>
        <w:rPr>
          <w:rFonts w:hint="eastAsia" w:ascii="宋体" w:hAnsi="宋体" w:cs="宋体"/>
          <w:b/>
          <w:bCs/>
          <w:kern w:val="0"/>
          <w:sz w:val="36"/>
          <w:szCs w:val="36"/>
        </w:rPr>
        <w:t>）编制咨询服务项目</w:t>
      </w:r>
    </w:p>
    <w:p>
      <w:pPr>
        <w:pStyle w:val="17"/>
        <w:ind w:firstLine="600"/>
        <w:rPr>
          <w:rFonts w:ascii="宋体" w:hAnsi="宋体" w:eastAsia="宋体" w:cs="宋体"/>
        </w:rPr>
      </w:pPr>
    </w:p>
    <w:p>
      <w:pPr>
        <w:pStyle w:val="17"/>
        <w:ind w:firstLine="600"/>
        <w:rPr>
          <w:rFonts w:ascii="宋体" w:hAnsi="宋体" w:eastAsia="宋体" w:cs="宋体"/>
        </w:rPr>
      </w:pPr>
    </w:p>
    <w:p>
      <w:pPr>
        <w:pStyle w:val="17"/>
        <w:ind w:firstLine="0" w:firstLineChars="0"/>
        <w:rPr>
          <w:rFonts w:ascii="宋体" w:hAnsi="宋体" w:eastAsia="宋体" w:cs="宋体"/>
        </w:rPr>
      </w:pPr>
    </w:p>
    <w:p>
      <w:pPr>
        <w:jc w:val="center"/>
        <w:rPr>
          <w:rFonts w:ascii="黑体" w:eastAsia="黑体"/>
          <w:bCs/>
          <w:sz w:val="36"/>
          <w:szCs w:val="36"/>
        </w:rPr>
      </w:pPr>
      <w:r>
        <w:rPr>
          <w:rFonts w:hint="eastAsia" w:ascii="宋体"/>
          <w:b/>
          <w:sz w:val="36"/>
        </w:rPr>
        <w:t>盐城幼儿师范高等专科学校</w:t>
      </w:r>
    </w:p>
    <w:p>
      <w:pPr>
        <w:jc w:val="center"/>
        <w:rPr>
          <w:rFonts w:ascii="黑体" w:eastAsia="黑体"/>
          <w:sz w:val="36"/>
          <w:szCs w:val="36"/>
        </w:rPr>
      </w:pPr>
      <w:r>
        <w:rPr>
          <w:rFonts w:hint="eastAsia" w:ascii="黑体" w:eastAsia="黑体"/>
          <w:sz w:val="36"/>
          <w:szCs w:val="36"/>
        </w:rPr>
        <w:t>2022</w:t>
      </w:r>
      <w:r>
        <w:rPr>
          <w:rFonts w:ascii="黑体" w:eastAsia="黑体"/>
          <w:sz w:val="36"/>
          <w:szCs w:val="36"/>
        </w:rPr>
        <w:t>年</w:t>
      </w:r>
      <w:r>
        <w:rPr>
          <w:rFonts w:hint="eastAsia" w:ascii="黑体" w:eastAsia="黑体"/>
          <w:sz w:val="36"/>
          <w:szCs w:val="36"/>
        </w:rPr>
        <w:t>6</w:t>
      </w:r>
      <w:r>
        <w:rPr>
          <w:rFonts w:ascii="黑体" w:eastAsia="黑体"/>
          <w:sz w:val="36"/>
          <w:szCs w:val="36"/>
        </w:rPr>
        <w:t>月</w:t>
      </w:r>
      <w:r>
        <w:rPr>
          <w:rFonts w:hint="eastAsia" w:ascii="黑体" w:eastAsia="黑体"/>
          <w:sz w:val="36"/>
          <w:szCs w:val="36"/>
        </w:rPr>
        <w:t>2</w:t>
      </w:r>
      <w:r>
        <w:rPr>
          <w:rFonts w:ascii="黑体" w:eastAsia="黑体"/>
          <w:sz w:val="36"/>
          <w:szCs w:val="36"/>
        </w:rPr>
        <w:t>日</w:t>
      </w:r>
    </w:p>
    <w:p>
      <w:pPr>
        <w:spacing w:line="360" w:lineRule="auto"/>
        <w:jc w:val="center"/>
        <w:outlineLvl w:val="0"/>
        <w:rPr>
          <w:rFonts w:ascii="黑体" w:hAnsi="Arial" w:eastAsia="黑体"/>
          <w:b/>
          <w:sz w:val="44"/>
        </w:rPr>
        <w:sectPr>
          <w:pgSz w:w="11906" w:h="16838"/>
          <w:pgMar w:top="1531" w:right="1474" w:bottom="1418" w:left="1474" w:header="851" w:footer="992" w:gutter="0"/>
          <w:pgNumType w:start="1"/>
          <w:cols w:space="720" w:num="1"/>
          <w:docGrid w:type="lines" w:linePitch="312" w:charSpace="0"/>
        </w:sectPr>
      </w:pPr>
      <w:bookmarkStart w:id="0" w:name="_Toc120614210"/>
      <w:bookmarkStart w:id="1" w:name="_Toc513029200"/>
      <w:bookmarkStart w:id="2" w:name="_Toc523127445"/>
      <w:bookmarkStart w:id="3" w:name="_Toc479757206"/>
      <w:bookmarkStart w:id="4" w:name="_Toc16938516"/>
      <w:bookmarkStart w:id="5" w:name="_Toc20823272"/>
    </w:p>
    <w:p>
      <w:pPr>
        <w:spacing w:line="360" w:lineRule="auto"/>
        <w:jc w:val="center"/>
        <w:outlineLvl w:val="0"/>
        <w:rPr>
          <w:rFonts w:ascii="黑体" w:hAnsi="Arial" w:eastAsia="黑体"/>
          <w:b/>
          <w:sz w:val="44"/>
        </w:rPr>
      </w:pPr>
      <w:r>
        <w:rPr>
          <w:rFonts w:hint="eastAsia" w:ascii="黑体" w:hAnsi="Arial" w:eastAsia="黑体"/>
          <w:b/>
          <w:sz w:val="44"/>
        </w:rPr>
        <w:t>总  目  录</w:t>
      </w:r>
    </w:p>
    <w:p>
      <w:pPr>
        <w:spacing w:line="360" w:lineRule="auto"/>
        <w:rPr>
          <w:rFonts w:ascii="仿宋_GB2312" w:hAnsi="Arial" w:eastAsia="仿宋_GB2312"/>
          <w:b/>
          <w:sz w:val="28"/>
        </w:rPr>
      </w:pP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第一部分  单一来源采购公告</w:t>
      </w:r>
      <w:r>
        <w:rPr>
          <w:rFonts w:ascii="黑体" w:hAnsi="黑体" w:eastAsia="黑体"/>
          <w:color w:val="000000"/>
          <w:sz w:val="36"/>
          <w:szCs w:val="36"/>
        </w:rPr>
        <w:t>………………………</w:t>
      </w:r>
      <w:r>
        <w:rPr>
          <w:rFonts w:hint="eastAsia" w:ascii="黑体" w:hAnsi="黑体" w:eastAsia="黑体"/>
          <w:color w:val="000000"/>
          <w:sz w:val="36"/>
          <w:szCs w:val="36"/>
        </w:rPr>
        <w:t>2</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第二部分  投标人须知</w:t>
      </w:r>
      <w:r>
        <w:rPr>
          <w:rFonts w:ascii="黑体" w:hAnsi="黑体" w:eastAsia="黑体"/>
          <w:color w:val="000000"/>
          <w:sz w:val="36"/>
          <w:szCs w:val="36"/>
        </w:rPr>
        <w:t>………………………………</w:t>
      </w:r>
      <w:r>
        <w:rPr>
          <w:rFonts w:hint="eastAsia" w:ascii="黑体" w:hAnsi="黑体" w:eastAsia="黑体"/>
          <w:color w:val="000000"/>
          <w:sz w:val="36"/>
          <w:szCs w:val="36"/>
        </w:rPr>
        <w:t>5</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第三部分  项目需求</w:t>
      </w:r>
      <w:r>
        <w:rPr>
          <w:rFonts w:ascii="黑体" w:hAnsi="黑体" w:eastAsia="黑体"/>
          <w:color w:val="000000"/>
          <w:sz w:val="36"/>
          <w:szCs w:val="36"/>
        </w:rPr>
        <w:t>…………………………………</w:t>
      </w:r>
      <w:r>
        <w:rPr>
          <w:rFonts w:hint="eastAsia" w:ascii="黑体" w:hAnsi="黑体" w:eastAsia="黑体"/>
          <w:color w:val="000000"/>
          <w:sz w:val="36"/>
          <w:szCs w:val="36"/>
        </w:rPr>
        <w:t>7</w:t>
      </w:r>
    </w:p>
    <w:p>
      <w:pPr>
        <w:spacing w:line="360" w:lineRule="auto"/>
        <w:jc w:val="left"/>
        <w:outlineLvl w:val="0"/>
        <w:rPr>
          <w:rFonts w:ascii="黑体" w:hAnsi="黑体" w:eastAsia="黑体"/>
          <w:color w:val="000000"/>
          <w:sz w:val="36"/>
          <w:szCs w:val="36"/>
        </w:rPr>
      </w:pPr>
      <w:r>
        <w:rPr>
          <w:rFonts w:hint="eastAsia" w:ascii="黑体" w:hAnsi="黑体" w:eastAsia="黑体"/>
          <w:color w:val="000000"/>
          <w:sz w:val="36"/>
          <w:szCs w:val="36"/>
        </w:rPr>
        <w:t>第四部分  合同条款及格式</w:t>
      </w:r>
      <w:r>
        <w:rPr>
          <w:rFonts w:ascii="黑体" w:hAnsi="黑体" w:eastAsia="黑体"/>
          <w:color w:val="000000"/>
          <w:sz w:val="36"/>
          <w:szCs w:val="36"/>
        </w:rPr>
        <w:t>…………………………</w:t>
      </w:r>
      <w:r>
        <w:rPr>
          <w:rFonts w:hint="eastAsia" w:ascii="黑体" w:hAnsi="黑体" w:eastAsia="黑体"/>
          <w:color w:val="000000"/>
          <w:sz w:val="36"/>
          <w:szCs w:val="36"/>
        </w:rPr>
        <w:t>12</w:t>
      </w:r>
    </w:p>
    <w:p>
      <w:pPr>
        <w:pStyle w:val="3"/>
        <w:jc w:val="both"/>
        <w:rPr>
          <w:rFonts w:ascii="黑体" w:eastAsia="黑体"/>
          <w:bCs/>
          <w:sz w:val="44"/>
        </w:rPr>
      </w:pPr>
      <w:r>
        <w:rPr>
          <w:rFonts w:hint="eastAsia" w:ascii="黑体" w:hAnsi="黑体" w:eastAsia="黑体"/>
          <w:color w:val="000000"/>
          <w:sz w:val="36"/>
          <w:szCs w:val="36"/>
        </w:rPr>
        <w:t>第五部分  响应性文件格式</w:t>
      </w:r>
      <w:r>
        <w:rPr>
          <w:rFonts w:ascii="黑体" w:hAnsi="黑体" w:eastAsia="黑体"/>
          <w:color w:val="000000"/>
          <w:sz w:val="36"/>
          <w:szCs w:val="36"/>
        </w:rPr>
        <w:t>…………………………</w:t>
      </w:r>
      <w:r>
        <w:rPr>
          <w:rFonts w:hint="eastAsia" w:ascii="黑体" w:hAnsi="黑体" w:eastAsia="黑体"/>
          <w:color w:val="000000"/>
          <w:sz w:val="36"/>
          <w:szCs w:val="36"/>
        </w:rPr>
        <w:t>17</w:t>
      </w:r>
    </w:p>
    <w:p/>
    <w:p/>
    <w:p/>
    <w:p/>
    <w:p/>
    <w:p/>
    <w:p/>
    <w:p/>
    <w:p/>
    <w:p>
      <w:pPr>
        <w:rPr>
          <w:vertAlign w:val="subscript"/>
        </w:rPr>
      </w:pPr>
    </w:p>
    <w:p/>
    <w:p/>
    <w:p/>
    <w:p/>
    <w:p/>
    <w:p/>
    <w:p/>
    <w:p/>
    <w:p/>
    <w:p/>
    <w:p/>
    <w:p/>
    <w:p>
      <w:pPr>
        <w:pStyle w:val="3"/>
        <w:jc w:val="both"/>
        <w:rPr>
          <w:rFonts w:ascii="Times New Roman" w:eastAsia="宋体"/>
          <w:sz w:val="21"/>
          <w:szCs w:val="21"/>
        </w:rPr>
      </w:pPr>
    </w:p>
    <w:p/>
    <w:p/>
    <w:bookmarkEnd w:id="0"/>
    <w:p>
      <w:pPr>
        <w:pStyle w:val="3"/>
        <w:pageBreakBefore/>
        <w:spacing w:line="360" w:lineRule="auto"/>
        <w:textAlignment w:val="baseline"/>
        <w:rPr>
          <w:rFonts w:ascii="黑体" w:eastAsia="黑体"/>
          <w:bCs/>
          <w:sz w:val="44"/>
          <w:szCs w:val="44"/>
        </w:rPr>
      </w:pPr>
      <w:bookmarkStart w:id="6" w:name="_Toc35393629"/>
      <w:bookmarkStart w:id="7" w:name="_Toc28359089"/>
      <w:bookmarkStart w:id="8" w:name="_Toc28359012"/>
      <w:bookmarkStart w:id="9" w:name="_Toc35393798"/>
      <w:r>
        <w:rPr>
          <w:rFonts w:hint="eastAsia" w:ascii="黑体" w:eastAsia="黑体"/>
          <w:sz w:val="44"/>
          <w:szCs w:val="44"/>
        </w:rPr>
        <w:t>第一部分  单一来源采购公告</w:t>
      </w:r>
    </w:p>
    <w:p>
      <w:pPr>
        <w:pBdr>
          <w:top w:val="single" w:color="auto" w:sz="4" w:space="1"/>
          <w:left w:val="single" w:color="auto" w:sz="4" w:space="4"/>
          <w:bottom w:val="single" w:color="auto" w:sz="4" w:space="1"/>
          <w:right w:val="single" w:color="auto" w:sz="4" w:space="4"/>
        </w:pBdr>
        <w:spacing w:line="360" w:lineRule="auto"/>
        <w:ind w:firstLine="482" w:firstLineChars="200"/>
        <w:textAlignment w:val="baseline"/>
        <w:rPr>
          <w:rFonts w:ascii="宋体" w:hAnsi="宋体" w:cs="宋体"/>
          <w:b/>
          <w:bCs/>
          <w:sz w:val="24"/>
          <w:szCs w:val="24"/>
        </w:rPr>
      </w:pPr>
      <w:r>
        <w:rPr>
          <w:rFonts w:hint="eastAsia" w:ascii="宋体" w:hAnsi="宋体" w:cs="宋体"/>
          <w:b/>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textAlignment w:val="baseline"/>
        <w:rPr>
          <w:rFonts w:ascii="宋体" w:hAnsi="宋体" w:cs="宋体"/>
          <w:sz w:val="24"/>
          <w:szCs w:val="24"/>
        </w:rPr>
      </w:pPr>
      <w:r>
        <w:rPr>
          <w:rFonts w:hint="eastAsia" w:ascii="宋体" w:hAnsi="宋体"/>
          <w:bCs/>
          <w:sz w:val="24"/>
          <w:u w:val="single" w:color="000000"/>
        </w:rPr>
        <w:t>盐城幼儿师范高等专科学校中长期专业发展规划（2022-2035）编制咨询服务项目</w:t>
      </w:r>
      <w:r>
        <w:rPr>
          <w:rFonts w:hint="eastAsia" w:ascii="宋体" w:hAnsi="宋体" w:cs="宋体"/>
          <w:sz w:val="24"/>
          <w:szCs w:val="24"/>
        </w:rPr>
        <w:t>的供应商</w:t>
      </w:r>
      <w:r>
        <w:rPr>
          <w:rFonts w:hint="eastAsia" w:ascii="宋体" w:hAnsi="宋体"/>
          <w:bCs/>
          <w:sz w:val="24"/>
          <w:u w:val="single"/>
        </w:rPr>
        <w:t>上海市教育科学研究院</w:t>
      </w:r>
      <w:r>
        <w:rPr>
          <w:rFonts w:hint="eastAsia" w:ascii="宋体" w:hAnsi="宋体" w:cs="宋体"/>
          <w:sz w:val="24"/>
          <w:szCs w:val="24"/>
        </w:rPr>
        <w:t>应在</w:t>
      </w:r>
      <w:r>
        <w:rPr>
          <w:rFonts w:hint="eastAsia" w:ascii="宋体" w:hAnsi="宋体"/>
          <w:bCs/>
          <w:sz w:val="24"/>
          <w:u w:val="single" w:color="000000"/>
        </w:rPr>
        <w:t>盐城幼儿师范高等专科学校网站</w:t>
      </w:r>
      <w:r>
        <w:rPr>
          <w:rFonts w:hint="eastAsia" w:ascii="宋体" w:hAnsi="宋体" w:cs="宋体"/>
          <w:sz w:val="24"/>
          <w:szCs w:val="24"/>
        </w:rPr>
        <w:t>获取采购文件，并于</w:t>
      </w:r>
      <w:r>
        <w:rPr>
          <w:rFonts w:hint="eastAsia" w:ascii="宋体" w:hAnsi="宋体" w:cs="宋体"/>
          <w:sz w:val="24"/>
          <w:szCs w:val="24"/>
          <w:u w:val="single" w:color="000000"/>
        </w:rPr>
        <w:t>2022</w:t>
      </w:r>
      <w:r>
        <w:rPr>
          <w:rFonts w:hint="eastAsia" w:ascii="宋体" w:hAnsi="宋体" w:cs="宋体"/>
          <w:bCs/>
          <w:sz w:val="24"/>
          <w:szCs w:val="24"/>
          <w:u w:val="single" w:color="000000"/>
        </w:rPr>
        <w:t>年6月9日下午15点00分</w:t>
      </w:r>
      <w:r>
        <w:rPr>
          <w:rFonts w:hint="eastAsia" w:ascii="宋体" w:hAnsi="宋体" w:cs="宋体"/>
          <w:bCs/>
          <w:sz w:val="24"/>
          <w:szCs w:val="24"/>
        </w:rPr>
        <w:t>（北京时间）前提交响应文件</w:t>
      </w:r>
      <w:r>
        <w:rPr>
          <w:rFonts w:hint="eastAsia" w:ascii="宋体" w:hAnsi="宋体" w:cs="宋体"/>
          <w:sz w:val="24"/>
          <w:szCs w:val="24"/>
        </w:rPr>
        <w:t>。</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一、项目基本情况</w:t>
      </w:r>
      <w:bookmarkEnd w:id="6"/>
      <w:bookmarkEnd w:id="7"/>
      <w:bookmarkEnd w:id="8"/>
      <w:bookmarkEnd w:id="9"/>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1.项目编号： YCYZ2022DY001</w:t>
      </w:r>
    </w:p>
    <w:p>
      <w:pPr>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2.项目名称：盐城幼儿师范高等专科学校中长期专业发展规划（2022-2035）编制咨询服务项目</w:t>
      </w:r>
    </w:p>
    <w:p>
      <w:pPr>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采购方式：□竞争性谈判□竞争性磋商</w:t>
      </w:r>
      <w:r>
        <w:rPr>
          <w:rFonts w:hint="eastAsia" w:ascii="MS Mincho" w:hAnsi="MS Mincho" w:eastAsia="MS Mincho" w:cs="MS Mincho"/>
          <w:sz w:val="24"/>
          <w:szCs w:val="24"/>
        </w:rPr>
        <w:t>☑</w:t>
      </w:r>
      <w:r>
        <w:rPr>
          <w:rFonts w:hint="eastAsia" w:asciiTheme="minorEastAsia" w:hAnsiTheme="minorEastAsia" w:eastAsiaTheme="minorEastAsia"/>
          <w:sz w:val="24"/>
          <w:szCs w:val="24"/>
        </w:rPr>
        <w:t>单一来源</w:t>
      </w:r>
    </w:p>
    <w:p>
      <w:pPr>
        <w:spacing w:line="360" w:lineRule="auto"/>
        <w:ind w:firstLine="480" w:firstLineChars="200"/>
        <w:contextualSpacing/>
        <w:rPr>
          <w:rFonts w:cs="宋体" w:asciiTheme="minorEastAsia" w:hAnsiTheme="minorEastAsia" w:eastAsiaTheme="minorEastAsia"/>
          <w:sz w:val="24"/>
          <w:szCs w:val="24"/>
        </w:rPr>
      </w:pPr>
      <w:r>
        <w:rPr>
          <w:rFonts w:hint="eastAsia" w:asciiTheme="minorEastAsia" w:hAnsiTheme="minorEastAsia" w:eastAsiaTheme="minorEastAsia"/>
          <w:sz w:val="24"/>
          <w:szCs w:val="24"/>
        </w:rPr>
        <w:t>4.预算金额：人民币18万元。</w:t>
      </w:r>
    </w:p>
    <w:p>
      <w:pPr>
        <w:pStyle w:val="44"/>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kern w:val="2"/>
        </w:rPr>
        <w:t>5.最高限价：人民币18万元。</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6.服务期：2022年7月 31日前完成成果交付并通过专家论证。具体时间安排根据采购人要求进行调整。</w:t>
      </w:r>
    </w:p>
    <w:p>
      <w:pPr>
        <w:pStyle w:val="44"/>
        <w:widowControl w:val="0"/>
        <w:spacing w:before="0" w:beforeAutospacing="0" w:after="0" w:afterAutospacing="0" w:line="360" w:lineRule="auto"/>
        <w:ind w:firstLine="480" w:firstLineChars="200"/>
        <w:contextualSpacing/>
        <w:jc w:val="both"/>
        <w:rPr>
          <w:rFonts w:asciiTheme="minorEastAsia" w:hAnsiTheme="minorEastAsia" w:eastAsiaTheme="minorEastAsia"/>
          <w:kern w:val="2"/>
        </w:rPr>
      </w:pPr>
      <w:r>
        <w:rPr>
          <w:rFonts w:hint="eastAsia" w:asciiTheme="minorEastAsia" w:hAnsiTheme="minorEastAsia" w:eastAsiaTheme="minorEastAsia"/>
        </w:rPr>
        <w:t>7.采购需求：</w:t>
      </w:r>
      <w:r>
        <w:rPr>
          <w:rFonts w:hint="eastAsia" w:asciiTheme="minorEastAsia" w:hAnsiTheme="minorEastAsia" w:eastAsiaTheme="minorEastAsia"/>
          <w:kern w:val="2"/>
        </w:rPr>
        <w:t>详见第三部分项目需求。</w:t>
      </w:r>
    </w:p>
    <w:p>
      <w:pPr>
        <w:pStyle w:val="2"/>
        <w:spacing w:line="360" w:lineRule="auto"/>
        <w:ind w:firstLine="480" w:firstLineChars="200"/>
        <w:contextualSpacing/>
        <w:rPr>
          <w:rFonts w:asciiTheme="minorEastAsia" w:hAnsiTheme="minorEastAsia" w:eastAsiaTheme="minorEastAsia"/>
          <w:color w:val="auto"/>
        </w:rPr>
      </w:pPr>
      <w:r>
        <w:rPr>
          <w:rFonts w:hint="eastAsia" w:asciiTheme="minorEastAsia" w:hAnsiTheme="minorEastAsia" w:eastAsiaTheme="minorEastAsia"/>
          <w:color w:val="auto"/>
        </w:rPr>
        <w:t>8.本项目</w:t>
      </w:r>
      <w:r>
        <w:rPr>
          <w:rFonts w:hint="eastAsia" w:asciiTheme="minorEastAsia" w:hAnsiTheme="minorEastAsia" w:eastAsiaTheme="minorEastAsia"/>
          <w:b/>
          <w:bCs/>
          <w:color w:val="auto"/>
          <w:u w:val="single"/>
        </w:rPr>
        <w:t>不接受</w:t>
      </w:r>
      <w:r>
        <w:rPr>
          <w:rFonts w:hint="eastAsia" w:asciiTheme="minorEastAsia" w:hAnsiTheme="minorEastAsia" w:eastAsiaTheme="minorEastAsia"/>
          <w:color w:val="auto"/>
        </w:rPr>
        <w:t>联合体投标。</w:t>
      </w:r>
    </w:p>
    <w:p>
      <w:pPr>
        <w:spacing w:line="360" w:lineRule="auto"/>
        <w:ind w:firstLine="482" w:firstLineChars="200"/>
        <w:contextualSpacing/>
        <w:rPr>
          <w:rFonts w:ascii="宋体" w:hAnsi="宋体" w:cs="宋体"/>
          <w:b/>
          <w:bCs/>
          <w:sz w:val="24"/>
          <w:szCs w:val="24"/>
        </w:rPr>
      </w:pPr>
      <w:bookmarkStart w:id="10" w:name="_Toc28359090"/>
      <w:bookmarkStart w:id="11" w:name="_Toc28359013"/>
      <w:bookmarkStart w:id="12" w:name="_Toc35393630"/>
      <w:bookmarkStart w:id="13" w:name="_Toc35393799"/>
      <w:r>
        <w:rPr>
          <w:rFonts w:hint="eastAsia" w:ascii="宋体" w:hAnsi="宋体" w:cs="宋体"/>
          <w:b/>
          <w:bCs/>
          <w:sz w:val="24"/>
          <w:szCs w:val="24"/>
        </w:rPr>
        <w:t>二、申请人的资格要求：</w:t>
      </w:r>
      <w:bookmarkEnd w:id="10"/>
      <w:bookmarkEnd w:id="11"/>
      <w:bookmarkEnd w:id="12"/>
      <w:bookmarkEnd w:id="13"/>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960" w:firstLineChars="400"/>
        <w:contextualSpacing/>
        <w:rPr>
          <w:rFonts w:ascii="宋体" w:hAnsi="宋体" w:cs="宋体"/>
          <w:sz w:val="24"/>
          <w:szCs w:val="24"/>
        </w:rPr>
      </w:pPr>
      <w:r>
        <w:rPr>
          <w:rFonts w:hint="eastAsia" w:ascii="宋体" w:hAnsi="宋体" w:cs="宋体"/>
          <w:sz w:val="24"/>
          <w:szCs w:val="24"/>
        </w:rPr>
        <w:t>(1)法人或者其他组织的营业执照等证明文件，自然人的身份证明；</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　  (2)上一年度的财务报表（成立不满一年不需提供）；</w:t>
      </w:r>
    </w:p>
    <w:p>
      <w:pPr>
        <w:spacing w:line="360" w:lineRule="auto"/>
        <w:ind w:firstLine="960" w:firstLineChars="400"/>
        <w:contextualSpacing/>
        <w:rPr>
          <w:rFonts w:ascii="宋体" w:hAnsi="宋体" w:cs="宋体"/>
          <w:sz w:val="24"/>
          <w:szCs w:val="24"/>
        </w:rPr>
      </w:pPr>
      <w:r>
        <w:rPr>
          <w:rFonts w:hint="eastAsia" w:ascii="宋体" w:hAnsi="宋体" w:cs="宋体"/>
          <w:sz w:val="24"/>
          <w:szCs w:val="24"/>
        </w:rPr>
        <w:t>(3)依法缴纳税收和社会保障资金的相关材料；</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　　(4)具备履行合同所必需的设备和专业技术能力的书面声明；</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　　(5)参加政府采购活动前3年内在经营活动中没有重大违法记录的书面声明；</w:t>
      </w:r>
    </w:p>
    <w:p>
      <w:pPr>
        <w:spacing w:line="360" w:lineRule="auto"/>
        <w:ind w:firstLine="480" w:firstLineChars="200"/>
        <w:contextualSpacing/>
        <w:rPr>
          <w:rFonts w:ascii="宋体" w:hAnsi="宋体" w:cs="宋体"/>
          <w:sz w:val="24"/>
          <w:szCs w:val="24"/>
        </w:rPr>
      </w:pPr>
      <w:bookmarkStart w:id="14" w:name="_Toc28359091"/>
      <w:bookmarkStart w:id="15" w:name="_Toc28359014"/>
      <w:r>
        <w:rPr>
          <w:rFonts w:hint="eastAsia" w:ascii="宋体" w:hAnsi="宋体" w:cs="宋体"/>
          <w:sz w:val="24"/>
          <w:szCs w:val="24"/>
        </w:rPr>
        <w:t>2.落实政府采购政策需满足的资格要求：无</w:t>
      </w:r>
    </w:p>
    <w:p>
      <w:pPr>
        <w:spacing w:line="360" w:lineRule="auto"/>
        <w:ind w:firstLine="480" w:firstLineChars="200"/>
        <w:contextualSpacing/>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bookmarkStart w:id="16" w:name="_Toc35393800"/>
      <w:bookmarkStart w:id="17" w:name="_Toc35393631"/>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三、获取采购文件</w:t>
      </w:r>
      <w:bookmarkEnd w:id="14"/>
      <w:bookmarkEnd w:id="15"/>
      <w:bookmarkEnd w:id="16"/>
      <w:bookmarkEnd w:id="17"/>
      <w:bookmarkStart w:id="56" w:name="_GoBack"/>
      <w:bookmarkEnd w:id="56"/>
    </w:p>
    <w:p>
      <w:pPr>
        <w:spacing w:line="360" w:lineRule="auto"/>
        <w:ind w:firstLine="480" w:firstLineChars="200"/>
        <w:textAlignment w:val="baseline"/>
        <w:rPr>
          <w:rFonts w:ascii="宋体" w:hAnsi="宋体"/>
          <w:sz w:val="24"/>
          <w:szCs w:val="24"/>
        </w:rPr>
      </w:pPr>
      <w:bookmarkStart w:id="18" w:name="_Toc35393632"/>
      <w:bookmarkStart w:id="19" w:name="_Toc28359015"/>
      <w:bookmarkStart w:id="20" w:name="_Toc28359092"/>
      <w:bookmarkStart w:id="21" w:name="_Toc35393801"/>
      <w:r>
        <w:rPr>
          <w:rFonts w:hint="eastAsia" w:ascii="宋体" w:hAnsi="宋体"/>
          <w:sz w:val="24"/>
          <w:szCs w:val="24"/>
        </w:rPr>
        <w:t>（一）采购文件提供及公告期限：自采购公告在</w:t>
      </w:r>
      <w:r>
        <w:rPr>
          <w:rFonts w:hint="eastAsia" w:ascii="宋体" w:hAnsi="宋体"/>
          <w:kern w:val="15"/>
          <w:position w:val="2"/>
          <w:sz w:val="24"/>
          <w:szCs w:val="24"/>
        </w:rPr>
        <w:t>“</w:t>
      </w:r>
      <w:r>
        <w:rPr>
          <w:rFonts w:hint="eastAsia" w:ascii="宋体" w:hAnsi="宋体"/>
          <w:sz w:val="24"/>
          <w:szCs w:val="24"/>
        </w:rPr>
        <w:t>盐城幼儿师范高等专科学校” 网站【www.yyz.edu.cn】发布之日起3个工作日。采购文件在“盐城幼儿师范高等专科学校” 网站【www.yyz.edu.cn】上下载。有关本次采购的事项若存在变动或修改，敬请及时关注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网站【www.yyz.edu.cn】发布的信息更正公告。</w:t>
      </w:r>
    </w:p>
    <w:p>
      <w:pPr>
        <w:spacing w:line="360" w:lineRule="auto"/>
        <w:ind w:firstLine="480" w:firstLineChars="200"/>
        <w:textAlignment w:val="baseline"/>
        <w:rPr>
          <w:rFonts w:ascii="宋体" w:hAnsi="宋体"/>
          <w:sz w:val="24"/>
          <w:szCs w:val="24"/>
        </w:rPr>
      </w:pPr>
      <w:r>
        <w:rPr>
          <w:rFonts w:hint="eastAsia" w:ascii="宋体" w:hAnsi="宋体" w:cs="宋体"/>
          <w:color w:val="1B1B1B"/>
          <w:sz w:val="24"/>
          <w:szCs w:val="24"/>
          <w:shd w:val="clear" w:color="auto" w:fill="FFFFFF"/>
        </w:rPr>
        <w:t>（二）投标人递交投标文件时，须交纳文件工本费</w:t>
      </w:r>
      <w:r>
        <w:rPr>
          <w:rFonts w:hint="eastAsia" w:ascii="宋体" w:hAnsi="宋体" w:cs="宋体"/>
          <w:color w:val="1B1B1B"/>
          <w:sz w:val="24"/>
          <w:szCs w:val="24"/>
          <w:u w:val="single" w:color="1B1B1B"/>
          <w:shd w:val="clear" w:color="auto" w:fill="FFFFFF"/>
        </w:rPr>
        <w:t>500</w:t>
      </w:r>
      <w:r>
        <w:rPr>
          <w:rFonts w:hint="eastAsia" w:ascii="宋体" w:hAnsi="宋体" w:cs="宋体"/>
          <w:color w:val="1B1B1B"/>
          <w:sz w:val="24"/>
          <w:szCs w:val="24"/>
          <w:shd w:val="clear" w:color="auto" w:fill="FFFFFF"/>
        </w:rPr>
        <w:t>元。</w:t>
      </w:r>
      <w:r>
        <w:rPr>
          <w:rFonts w:hint="eastAsia" w:ascii="宋体" w:eastAsia="Times New Roman"/>
          <w:kern w:val="0"/>
          <w:sz w:val="24"/>
          <w:szCs w:val="24"/>
        </w:rPr>
        <w:t>文件工本费的收取方式：开标时现场现金缴纳，由代理</w:t>
      </w:r>
      <w:r>
        <w:rPr>
          <w:rFonts w:hint="eastAsia" w:ascii="宋体" w:hAnsi="宋体"/>
          <w:sz w:val="24"/>
          <w:szCs w:val="24"/>
        </w:rPr>
        <w:t>公司收取，投标人无论中标与否，文件工本费不退。</w:t>
      </w:r>
    </w:p>
    <w:p>
      <w:pPr>
        <w:spacing w:line="360" w:lineRule="auto"/>
        <w:ind w:firstLine="480" w:firstLineChars="200"/>
        <w:textAlignment w:val="baseline"/>
        <w:rPr>
          <w:rFonts w:ascii="宋体" w:hAnsi="宋体"/>
          <w:sz w:val="24"/>
          <w:szCs w:val="24"/>
        </w:rPr>
      </w:pPr>
      <w:r>
        <w:rPr>
          <w:rFonts w:hint="eastAsia" w:ascii="宋体" w:hAnsi="宋体"/>
          <w:sz w:val="24"/>
          <w:szCs w:val="24"/>
        </w:rPr>
        <w:t>（三）投标人通过其他渠道获取的与本项目招标相关的资料，招标人一律不予承认且不承担由此引发的一切责任。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cs="宋体"/>
          <w:b/>
          <w:bCs/>
          <w:sz w:val="24"/>
          <w:szCs w:val="24"/>
        </w:rPr>
        <w:t>四、</w:t>
      </w:r>
      <w:bookmarkEnd w:id="18"/>
      <w:bookmarkEnd w:id="19"/>
      <w:bookmarkEnd w:id="20"/>
      <w:bookmarkEnd w:id="21"/>
      <w:r>
        <w:rPr>
          <w:rFonts w:hint="eastAsia" w:ascii="宋体" w:hAnsi="宋体"/>
          <w:b/>
          <w:bCs/>
          <w:sz w:val="24"/>
          <w:szCs w:val="24"/>
        </w:rPr>
        <w:t>响应文件接收信息</w:t>
      </w:r>
    </w:p>
    <w:p>
      <w:pPr>
        <w:widowControl/>
        <w:tabs>
          <w:tab w:val="left" w:pos="900"/>
        </w:tabs>
        <w:wordWrap w:val="0"/>
        <w:spacing w:line="500" w:lineRule="exact"/>
        <w:ind w:firstLine="520" w:firstLineChars="200"/>
        <w:jc w:val="left"/>
        <w:rPr>
          <w:kern w:val="0"/>
          <w:sz w:val="24"/>
          <w:szCs w:val="24"/>
        </w:rPr>
      </w:pPr>
      <w:r>
        <w:rPr>
          <w:rFonts w:hint="eastAsia" w:ascii="宋体"/>
          <w:spacing w:val="10"/>
          <w:kern w:val="15"/>
          <w:position w:val="2"/>
          <w:sz w:val="24"/>
        </w:rPr>
        <w:t xml:space="preserve">响应文件接收时间： </w:t>
      </w:r>
      <w:r>
        <w:rPr>
          <w:rFonts w:hint="eastAsia" w:ascii="宋体" w:hAnsi="宋体" w:cs="宋体"/>
          <w:kern w:val="0"/>
          <w:sz w:val="24"/>
          <w:szCs w:val="24"/>
        </w:rPr>
        <w:t>2022年6月9日14：30</w:t>
      </w:r>
      <w:r>
        <w:rPr>
          <w:rFonts w:hint="eastAsia"/>
          <w:kern w:val="0"/>
          <w:sz w:val="24"/>
          <w:szCs w:val="24"/>
        </w:rPr>
        <w:t>时；</w:t>
      </w:r>
    </w:p>
    <w:p>
      <w:pPr>
        <w:widowControl/>
        <w:tabs>
          <w:tab w:val="left" w:pos="900"/>
        </w:tabs>
        <w:wordWrap w:val="0"/>
        <w:spacing w:line="500" w:lineRule="exact"/>
        <w:ind w:firstLine="520" w:firstLineChars="200"/>
        <w:jc w:val="left"/>
        <w:rPr>
          <w:rFonts w:ascii="宋体" w:hAnsi="宋体" w:cs="宋体"/>
          <w:kern w:val="0"/>
          <w:sz w:val="24"/>
          <w:szCs w:val="24"/>
        </w:rPr>
      </w:pPr>
      <w:r>
        <w:rPr>
          <w:rFonts w:hint="eastAsia" w:ascii="宋体"/>
          <w:spacing w:val="10"/>
          <w:kern w:val="15"/>
          <w:position w:val="2"/>
          <w:sz w:val="24"/>
        </w:rPr>
        <w:t>响应文件接收截止时间：</w:t>
      </w:r>
      <w:r>
        <w:rPr>
          <w:rFonts w:hint="eastAsia" w:ascii="宋体" w:hAnsi="宋体" w:cs="宋体"/>
          <w:kern w:val="0"/>
          <w:sz w:val="24"/>
          <w:szCs w:val="24"/>
        </w:rPr>
        <w:t>2022年 6月9 日15:00</w:t>
      </w:r>
      <w:r>
        <w:rPr>
          <w:rFonts w:hint="eastAsia"/>
          <w:kern w:val="0"/>
          <w:sz w:val="24"/>
          <w:szCs w:val="24"/>
        </w:rPr>
        <w:t>时</w:t>
      </w:r>
      <w:r>
        <w:rPr>
          <w:rFonts w:hint="eastAsia" w:ascii="宋体" w:hAnsi="宋体" w:cs="宋体"/>
          <w:kern w:val="0"/>
          <w:sz w:val="24"/>
          <w:szCs w:val="24"/>
        </w:rPr>
        <w:t>；</w:t>
      </w:r>
    </w:p>
    <w:p>
      <w:pPr>
        <w:pStyle w:val="44"/>
        <w:wordWrap w:val="0"/>
        <w:spacing w:before="0" w:beforeAutospacing="0" w:after="0" w:afterAutospacing="0" w:line="520" w:lineRule="exact"/>
        <w:ind w:firstLine="520" w:firstLineChars="200"/>
        <w:jc w:val="both"/>
        <w:rPr>
          <w:b/>
        </w:rPr>
      </w:pPr>
      <w:r>
        <w:rPr>
          <w:rFonts w:hint="eastAsia"/>
          <w:spacing w:val="10"/>
          <w:kern w:val="15"/>
          <w:position w:val="2"/>
        </w:rPr>
        <w:t>地点：</w:t>
      </w:r>
      <w:bookmarkStart w:id="22" w:name="_Toc28359094"/>
      <w:bookmarkStart w:id="23" w:name="_Toc28359017"/>
      <w:bookmarkStart w:id="24" w:name="_Toc35393803"/>
      <w:bookmarkStart w:id="25" w:name="_Toc35393634"/>
      <w:r>
        <w:rPr>
          <w:rFonts w:hint="eastAsia"/>
        </w:rPr>
        <w:t>上传加密的投标文件至采购人指定邮箱：</w:t>
      </w:r>
      <w:r>
        <w:rPr>
          <w:rFonts w:hint="eastAsia"/>
          <w:u w:val="single"/>
        </w:rPr>
        <w:t>302843525</w:t>
      </w:r>
      <w:r>
        <w:rPr>
          <w:u w:val="single"/>
        </w:rPr>
        <w:t>@qq.com</w:t>
      </w:r>
      <w:r>
        <w:rPr>
          <w:rFonts w:hint="eastAsia"/>
          <w:u w:val="single"/>
        </w:rPr>
        <w:t>，</w:t>
      </w:r>
      <w:r>
        <w:rPr>
          <w:rFonts w:hint="eastAsia"/>
        </w:rPr>
        <w:t>投标文件需在投标截止时间之前发送到指定邮箱，</w:t>
      </w:r>
      <w:r>
        <w:rPr>
          <w:rFonts w:hint="eastAsia"/>
          <w:b/>
        </w:rPr>
        <w:t>如同一投标人在投标截止时间之前发送了两份或多份投标文件，则以最后发送的投标文件为准。</w:t>
      </w:r>
    </w:p>
    <w:p>
      <w:pPr>
        <w:widowControl/>
        <w:tabs>
          <w:tab w:val="left" w:pos="900"/>
        </w:tabs>
        <w:wordWrap w:val="0"/>
        <w:spacing w:line="500" w:lineRule="exact"/>
        <w:ind w:firstLine="482" w:firstLineChars="200"/>
        <w:jc w:val="left"/>
        <w:rPr>
          <w:rFonts w:ascii="宋体"/>
          <w:kern w:val="0"/>
          <w:sz w:val="24"/>
          <w:szCs w:val="24"/>
        </w:rPr>
      </w:pPr>
      <w:r>
        <w:rPr>
          <w:rFonts w:hint="eastAsia" w:ascii="宋体" w:hAnsi="宋体" w:cs="宋体"/>
          <w:b/>
          <w:kern w:val="0"/>
          <w:sz w:val="24"/>
          <w:szCs w:val="24"/>
        </w:rPr>
        <w:t>五、开标有关信息</w:t>
      </w:r>
    </w:p>
    <w:p>
      <w:pPr>
        <w:widowControl/>
        <w:tabs>
          <w:tab w:val="left" w:pos="900"/>
        </w:tabs>
        <w:wordWrap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开标时间：2022年6月9日15:00</w:t>
      </w:r>
      <w:r>
        <w:rPr>
          <w:rFonts w:hint="eastAsia"/>
          <w:kern w:val="0"/>
          <w:sz w:val="24"/>
          <w:szCs w:val="24"/>
        </w:rPr>
        <w:t>时</w:t>
      </w:r>
      <w:r>
        <w:rPr>
          <w:rFonts w:hint="eastAsia" w:ascii="宋体" w:hAnsi="宋体" w:cs="宋体"/>
          <w:kern w:val="0"/>
          <w:sz w:val="24"/>
          <w:szCs w:val="24"/>
        </w:rPr>
        <w:t>；</w:t>
      </w:r>
    </w:p>
    <w:p>
      <w:pPr>
        <w:widowControl/>
        <w:tabs>
          <w:tab w:val="left" w:pos="900"/>
        </w:tabs>
        <w:wordWrap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开标地点：盐城幼儿师范高等专科学校学海路校区(盐城市学海路28号)财务处招标办公室。</w:t>
      </w:r>
    </w:p>
    <w:p>
      <w:pPr>
        <w:pStyle w:val="44"/>
        <w:spacing w:before="0" w:beforeAutospacing="0" w:after="0" w:afterAutospacing="0" w:line="520" w:lineRule="exact"/>
        <w:ind w:firstLine="482" w:firstLineChars="200"/>
        <w:jc w:val="both"/>
        <w:rPr>
          <w:b/>
        </w:rPr>
      </w:pPr>
      <w:r>
        <w:rPr>
          <w:rFonts w:hint="eastAsia"/>
          <w:b/>
        </w:rPr>
        <w:t>开标当日，投标人无需到达开标现场，仅需在任意地点通过 PC端或移动端的“腾讯会议”及相应的配套硬件设备参加开标会议。</w:t>
      </w:r>
    </w:p>
    <w:p>
      <w:pPr>
        <w:pStyle w:val="44"/>
        <w:spacing w:before="0" w:beforeAutospacing="0" w:after="0" w:afterAutospacing="0" w:line="520" w:lineRule="exact"/>
        <w:ind w:firstLine="482" w:firstLineChars="200"/>
        <w:jc w:val="both"/>
        <w:rPr>
          <w:b/>
        </w:rPr>
      </w:pPr>
      <w:r>
        <w:rPr>
          <w:rFonts w:hint="eastAsia"/>
          <w:b/>
        </w:rPr>
        <w:t>各投标人需在开标前提前下载“腾讯会议”直播APP，加入会议，会议号：520800941 ，直接观看直播和在线交流；各投标人自行准备相关硬件设备，确保网络畅通，音响保持正常使用状态。不得因未能观看到视频直播对开标会议提出质疑；未参加视频会议的视为无异议，未在规定时间发送文件和密码的视为放弃。</w:t>
      </w:r>
    </w:p>
    <w:p>
      <w:pPr>
        <w:pStyle w:val="2"/>
      </w:pPr>
    </w:p>
    <w:bookmarkEnd w:id="22"/>
    <w:bookmarkEnd w:id="23"/>
    <w:bookmarkEnd w:id="24"/>
    <w:bookmarkEnd w:id="25"/>
    <w:p>
      <w:pPr>
        <w:spacing w:line="360" w:lineRule="auto"/>
        <w:ind w:firstLine="482" w:firstLineChars="200"/>
        <w:contextualSpacing/>
        <w:rPr>
          <w:rFonts w:ascii="宋体"/>
          <w:b/>
          <w:spacing w:val="10"/>
          <w:kern w:val="15"/>
          <w:position w:val="2"/>
          <w:sz w:val="24"/>
        </w:rPr>
      </w:pPr>
      <w:bookmarkStart w:id="26" w:name="_Toc35393635"/>
      <w:bookmarkStart w:id="27" w:name="_Toc35393804"/>
      <w:r>
        <w:rPr>
          <w:rFonts w:hint="eastAsia" w:ascii="宋体" w:hAnsi="宋体" w:cs="宋体"/>
          <w:b/>
          <w:bCs/>
          <w:sz w:val="24"/>
          <w:szCs w:val="24"/>
        </w:rPr>
        <w:t>六、响应</w:t>
      </w:r>
      <w:r>
        <w:rPr>
          <w:rFonts w:hint="eastAsia" w:ascii="宋体"/>
          <w:b/>
          <w:spacing w:val="10"/>
          <w:kern w:val="15"/>
          <w:position w:val="2"/>
          <w:sz w:val="24"/>
        </w:rPr>
        <w:t>文件制作份数要求</w:t>
      </w:r>
      <w:bookmarkEnd w:id="26"/>
      <w:bookmarkEnd w:id="27"/>
      <w:bookmarkStart w:id="28" w:name="_Toc28359018"/>
      <w:bookmarkStart w:id="29" w:name="_Toc35393805"/>
      <w:bookmarkStart w:id="30" w:name="_Toc35393636"/>
      <w:bookmarkStart w:id="31" w:name="_Toc28359095"/>
    </w:p>
    <w:p>
      <w:pPr>
        <w:spacing w:line="360" w:lineRule="auto"/>
        <w:ind w:firstLine="480" w:firstLineChars="200"/>
        <w:contextualSpacing/>
        <w:rPr>
          <w:rFonts w:ascii="宋体"/>
          <w:b/>
          <w:spacing w:val="10"/>
          <w:kern w:val="15"/>
          <w:position w:val="2"/>
          <w:sz w:val="24"/>
        </w:rPr>
      </w:pPr>
      <w:r>
        <w:rPr>
          <w:rFonts w:hint="eastAsia" w:ascii="宋体" w:hAnsi="宋体" w:cs="宋体"/>
          <w:sz w:val="24"/>
          <w:szCs w:val="24"/>
        </w:rPr>
        <w:t>中标单位在领取中标通知书时打印纸质投标文件正本1份、副本2份送至代理机构。提供的投标文件须与中标人提交的投标文件PDF文档一致。</w:t>
      </w:r>
    </w:p>
    <w:p>
      <w:pPr>
        <w:spacing w:line="360" w:lineRule="auto"/>
        <w:ind w:left="482"/>
        <w:contextualSpacing/>
        <w:rPr>
          <w:rFonts w:ascii="宋体" w:hAnsi="宋体" w:cs="宋体"/>
          <w:b/>
          <w:bCs/>
          <w:sz w:val="24"/>
          <w:szCs w:val="24"/>
        </w:rPr>
      </w:pPr>
      <w:r>
        <w:rPr>
          <w:rFonts w:hint="eastAsia" w:ascii="宋体" w:hAnsi="宋体" w:cs="宋体"/>
          <w:b/>
          <w:bCs/>
          <w:sz w:val="24"/>
          <w:szCs w:val="24"/>
        </w:rPr>
        <w:t>七、凡对本次采购提出询问，请按以下方式联系。</w:t>
      </w:r>
      <w:bookmarkEnd w:id="1"/>
      <w:bookmarkEnd w:id="2"/>
      <w:bookmarkEnd w:id="3"/>
      <w:bookmarkEnd w:id="4"/>
      <w:bookmarkEnd w:id="5"/>
      <w:bookmarkEnd w:id="28"/>
      <w:bookmarkEnd w:id="29"/>
      <w:bookmarkEnd w:id="30"/>
      <w:bookmarkEnd w:id="31"/>
      <w:bookmarkStart w:id="32" w:name="_Toc28359019"/>
      <w:bookmarkStart w:id="33" w:name="_Toc28359096"/>
      <w:bookmarkStart w:id="34" w:name="_Toc35393637"/>
      <w:bookmarkStart w:id="35" w:name="_Toc35393806"/>
      <w:bookmarkStart w:id="36" w:name="_Toc1660839"/>
      <w:bookmarkStart w:id="37" w:name="_Toc513029242"/>
      <w:bookmarkStart w:id="38" w:name="_Toc20823314"/>
      <w:bookmarkStart w:id="39" w:name="_Toc479757207"/>
      <w:bookmarkStart w:id="40" w:name="_Toc16938558"/>
      <w:bookmarkStart w:id="41" w:name="_Toc120614221"/>
    </w:p>
    <w:bookmarkEnd w:id="32"/>
    <w:bookmarkEnd w:id="33"/>
    <w:bookmarkEnd w:id="34"/>
    <w:bookmarkEnd w:id="35"/>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（一）采购部门联系人：蒋老师，联系电话：0515-89966103。</w:t>
      </w:r>
    </w:p>
    <w:p>
      <w:pPr>
        <w:spacing w:line="360" w:lineRule="auto"/>
        <w:ind w:firstLine="1200" w:firstLineChars="500"/>
        <w:contextualSpacing/>
        <w:rPr>
          <w:rFonts w:ascii="宋体" w:hAnsi="宋体" w:cs="宋体"/>
          <w:kern w:val="0"/>
          <w:sz w:val="24"/>
          <w:szCs w:val="24"/>
        </w:rPr>
      </w:pPr>
      <w:r>
        <w:rPr>
          <w:rFonts w:hint="eastAsia" w:ascii="宋体" w:hAnsi="宋体" w:cs="宋体"/>
          <w:kern w:val="0"/>
          <w:sz w:val="24"/>
          <w:szCs w:val="24"/>
        </w:rPr>
        <w:t>采购人地址：盐城市高职园区学海路28号，邮政编码：224005</w:t>
      </w:r>
    </w:p>
    <w:p>
      <w:pPr>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（二）技术咨询单位：江苏宏天工程管理有限公司。</w:t>
      </w:r>
    </w:p>
    <w:p>
      <w:pPr>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技术咨询人：蔡海云，联系电话：18005108380。</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（三）对项目需求部分的询问、质疑请与招标人联系、答复；其他部分的询问、质疑请与招标技术服务单位联系、答复。</w:t>
      </w:r>
    </w:p>
    <w:p>
      <w:pPr>
        <w:pStyle w:val="17"/>
        <w:ind w:firstLine="5760" w:firstLineChars="2400"/>
        <w:textAlignment w:val="baseline"/>
        <w:rPr>
          <w:rFonts w:ascii="宋体" w:hAnsi="宋体" w:eastAsia="宋体" w:cs="宋体"/>
          <w:kern w:val="0"/>
          <w:sz w:val="24"/>
          <w:szCs w:val="24"/>
        </w:rPr>
      </w:pPr>
    </w:p>
    <w:p>
      <w:pPr>
        <w:pStyle w:val="17"/>
        <w:ind w:firstLine="5760" w:firstLineChars="2400"/>
        <w:textAlignment w:val="baseline"/>
        <w:rPr>
          <w:rFonts w:ascii="宋体" w:hAnsi="宋体" w:eastAsia="宋体" w:cs="宋体"/>
          <w:kern w:val="0"/>
          <w:sz w:val="24"/>
          <w:szCs w:val="24"/>
        </w:rPr>
      </w:pPr>
      <w:r>
        <w:rPr>
          <w:rFonts w:hint="eastAsia" w:ascii="宋体" w:hAnsi="宋体" w:eastAsia="宋体" w:cs="宋体"/>
          <w:kern w:val="0"/>
          <w:sz w:val="24"/>
          <w:szCs w:val="24"/>
        </w:rPr>
        <w:t>盐城幼儿师范高等专科学校</w:t>
      </w:r>
    </w:p>
    <w:p>
      <w:pPr>
        <w:pStyle w:val="17"/>
        <w:ind w:firstLine="6480" w:firstLineChars="2700"/>
      </w:pPr>
      <w:r>
        <w:rPr>
          <w:rFonts w:hint="eastAsia" w:ascii="宋体" w:hAnsi="宋体" w:eastAsia="宋体" w:cs="宋体"/>
          <w:kern w:val="0"/>
          <w:sz w:val="24"/>
          <w:szCs w:val="24"/>
        </w:rPr>
        <w:t>2022年6月2日</w:t>
      </w:r>
    </w:p>
    <w:p>
      <w:pPr>
        <w:pStyle w:val="3"/>
        <w:spacing w:line="360" w:lineRule="auto"/>
        <w:ind w:firstLine="2200" w:firstLineChars="500"/>
        <w:jc w:val="both"/>
        <w:rPr>
          <w:rFonts w:ascii="黑体" w:hAnsi="黑体" w:eastAsia="黑体"/>
          <w:sz w:val="44"/>
          <w:szCs w:val="44"/>
        </w:rPr>
      </w:pPr>
    </w:p>
    <w:p>
      <w:pPr>
        <w:pStyle w:val="3"/>
        <w:keepNext w:val="0"/>
        <w:spacing w:line="360" w:lineRule="auto"/>
        <w:ind w:firstLine="2200" w:firstLineChars="500"/>
        <w:jc w:val="both"/>
        <w:rPr>
          <w:rFonts w:ascii="黑体" w:hAnsi="黑体" w:eastAsia="黑体"/>
          <w:sz w:val="44"/>
          <w:szCs w:val="44"/>
        </w:rPr>
      </w:pPr>
    </w:p>
    <w:p>
      <w:pPr>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3"/>
        <w:spacing w:line="360" w:lineRule="auto"/>
        <w:ind w:firstLine="2200" w:firstLineChars="500"/>
        <w:jc w:val="both"/>
        <w:rPr>
          <w:rFonts w:ascii="黑体" w:eastAsia="黑体"/>
          <w:sz w:val="44"/>
          <w:szCs w:val="44"/>
        </w:rPr>
      </w:pPr>
      <w:r>
        <w:rPr>
          <w:rFonts w:ascii="黑体" w:hAnsi="黑体" w:eastAsia="黑体"/>
          <w:sz w:val="44"/>
          <w:szCs w:val="44"/>
        </w:rPr>
        <w:t>第</w:t>
      </w:r>
      <w:r>
        <w:rPr>
          <w:rFonts w:hint="eastAsia" w:ascii="黑体" w:hAnsi="黑体" w:eastAsia="黑体"/>
          <w:sz w:val="44"/>
          <w:szCs w:val="44"/>
        </w:rPr>
        <w:t>二部分 投标人须知</w:t>
      </w:r>
      <w:bookmarkEnd w:id="36"/>
    </w:p>
    <w:p>
      <w:pPr>
        <w:spacing w:line="360" w:lineRule="auto"/>
        <w:ind w:firstLine="480" w:firstLineChars="200"/>
        <w:rPr>
          <w:rFonts w:ascii="宋体" w:hAnsi="宋体"/>
          <w:bCs/>
          <w:sz w:val="24"/>
        </w:rPr>
      </w:pPr>
      <w:r>
        <w:rPr>
          <w:rFonts w:hint="eastAsia" w:ascii="宋体" w:hAnsi="宋体"/>
          <w:bCs/>
          <w:sz w:val="24"/>
        </w:rPr>
        <w:t>一、投标人一旦决定参加投标，即被认为接受了本招标文件的规定和约束，并视为自招标公告发布之日起已经知道或应当知道自身权益是否受到了损害。</w:t>
      </w:r>
    </w:p>
    <w:p>
      <w:pPr>
        <w:spacing w:line="360" w:lineRule="auto"/>
        <w:ind w:firstLine="480" w:firstLineChars="200"/>
        <w:rPr>
          <w:rFonts w:ascii="宋体" w:hAnsi="宋体"/>
          <w:bCs/>
          <w:sz w:val="24"/>
        </w:rPr>
      </w:pPr>
      <w:r>
        <w:rPr>
          <w:rFonts w:hint="eastAsia" w:ascii="宋体" w:hAnsi="宋体"/>
          <w:bCs/>
          <w:sz w:val="24"/>
        </w:rPr>
        <w:t>二、对本招标文件有疑问的，可在</w:t>
      </w:r>
      <w:r>
        <w:rPr>
          <w:rFonts w:hint="eastAsia" w:ascii="宋体" w:hAnsi="宋体"/>
          <w:bCs/>
          <w:sz w:val="24"/>
          <w:u w:val="single"/>
        </w:rPr>
        <w:t>2022年6月7日12:00时</w:t>
      </w:r>
      <w:r>
        <w:rPr>
          <w:rFonts w:hint="eastAsia" w:ascii="宋体" w:hAnsi="宋体"/>
          <w:bCs/>
          <w:sz w:val="24"/>
        </w:rPr>
        <w:t>前向招标人或招标代理机构提出。</w:t>
      </w:r>
    </w:p>
    <w:p>
      <w:pPr>
        <w:widowControl/>
        <w:spacing w:line="520" w:lineRule="exact"/>
        <w:ind w:firstLine="482"/>
        <w:jc w:val="left"/>
        <w:rPr>
          <w:rFonts w:ascii="宋体" w:hAnsi="宋体"/>
          <w:bCs/>
          <w:sz w:val="24"/>
        </w:rPr>
      </w:pPr>
      <w:r>
        <w:rPr>
          <w:rFonts w:hint="eastAsia" w:ascii="宋体" w:hAnsi="宋体"/>
          <w:bCs/>
          <w:sz w:val="24"/>
        </w:rPr>
        <w:t>三、投标要求：</w:t>
      </w:r>
    </w:p>
    <w:p>
      <w:pPr>
        <w:widowControl/>
        <w:spacing w:line="520" w:lineRule="exact"/>
        <w:ind w:firstLine="482"/>
        <w:jc w:val="left"/>
        <w:rPr>
          <w:rFonts w:ascii="宋体" w:hAnsi="宋体" w:cs="宋体"/>
          <w:sz w:val="24"/>
          <w:szCs w:val="24"/>
        </w:rPr>
      </w:pPr>
      <w:r>
        <w:rPr>
          <w:rFonts w:hint="eastAsia" w:ascii="宋体" w:hAnsi="宋体"/>
          <w:bCs/>
          <w:sz w:val="24"/>
        </w:rPr>
        <w:t>（1）投标人的</w:t>
      </w:r>
      <w:r>
        <w:rPr>
          <w:rFonts w:hint="eastAsia" w:ascii="宋体" w:hAnsi="宋体" w:cs="宋体"/>
          <w:sz w:val="24"/>
          <w:szCs w:val="24"/>
        </w:rPr>
        <w:t>响应文件按要求编制、签字盖章后扫描成PDF文档（PDF文档须清晰可辨，如因不清晰让评标委员会无法评审，将被作为无效投标处理），使用压缩打包工具加密后发送至指定的邮箱，压缩包里面的文件夹名、压缩包文件名、邮箱发送主题为：投标单位名称+投标项目名称。</w:t>
      </w:r>
    </w:p>
    <w:p>
      <w:pPr>
        <w:widowControl/>
        <w:spacing w:line="520" w:lineRule="exact"/>
        <w:ind w:firstLine="482"/>
        <w:jc w:val="left"/>
        <w:rPr>
          <w:rFonts w:ascii="宋体" w:hAnsi="宋体" w:cs="宋体"/>
          <w:b/>
          <w:bCs/>
          <w:sz w:val="24"/>
          <w:szCs w:val="24"/>
        </w:rPr>
      </w:pPr>
      <w:r>
        <w:rPr>
          <w:rFonts w:hint="eastAsia" w:ascii="宋体" w:hAnsi="宋体" w:cs="宋体"/>
          <w:b/>
          <w:bCs/>
          <w:sz w:val="24"/>
          <w:szCs w:val="24"/>
        </w:rPr>
        <w:t>（2）解密：投标人必须在投标文件提交截止时间后</w:t>
      </w:r>
      <w:r>
        <w:rPr>
          <w:rFonts w:ascii="宋体" w:hAnsi="宋体" w:cs="宋体"/>
          <w:b/>
          <w:bCs/>
          <w:sz w:val="24"/>
          <w:szCs w:val="24"/>
        </w:rPr>
        <w:t>20</w:t>
      </w:r>
      <w:r>
        <w:rPr>
          <w:rFonts w:hint="eastAsia" w:ascii="宋体" w:hAnsi="宋体" w:cs="宋体"/>
          <w:b/>
          <w:bCs/>
          <w:sz w:val="24"/>
          <w:szCs w:val="24"/>
        </w:rPr>
        <w:t>分钟内（</w:t>
      </w:r>
      <w:r>
        <w:rPr>
          <w:rFonts w:ascii="宋体" w:hAnsi="宋体" w:cs="宋体"/>
          <w:b/>
          <w:bCs/>
          <w:sz w:val="24"/>
          <w:szCs w:val="24"/>
        </w:rPr>
        <w:t>15</w:t>
      </w:r>
      <w:r>
        <w:rPr>
          <w:rFonts w:hint="eastAsia" w:ascii="宋体" w:hAnsi="宋体" w:cs="宋体"/>
          <w:b/>
          <w:bCs/>
          <w:sz w:val="24"/>
          <w:szCs w:val="24"/>
        </w:rPr>
        <w:t>:00-</w:t>
      </w:r>
      <w:r>
        <w:rPr>
          <w:rFonts w:ascii="宋体" w:hAnsi="宋体" w:cs="宋体"/>
          <w:b/>
          <w:bCs/>
          <w:sz w:val="24"/>
          <w:szCs w:val="24"/>
        </w:rPr>
        <w:t>15</w:t>
      </w:r>
      <w:r>
        <w:rPr>
          <w:rFonts w:hint="eastAsia" w:ascii="宋体" w:hAnsi="宋体" w:cs="宋体"/>
          <w:b/>
          <w:bCs/>
          <w:sz w:val="24"/>
          <w:szCs w:val="24"/>
        </w:rPr>
        <w:t>:2</w:t>
      </w:r>
      <w:r>
        <w:rPr>
          <w:rFonts w:ascii="宋体" w:hAnsi="宋体" w:cs="宋体"/>
          <w:b/>
          <w:bCs/>
          <w:sz w:val="24"/>
          <w:szCs w:val="24"/>
        </w:rPr>
        <w:t>0</w:t>
      </w:r>
      <w:r>
        <w:rPr>
          <w:rFonts w:hint="eastAsia" w:ascii="宋体" w:hAnsi="宋体" w:cs="宋体"/>
          <w:b/>
          <w:bCs/>
          <w:sz w:val="24"/>
          <w:szCs w:val="24"/>
        </w:rPr>
        <w:t>），使用发送投标文件的邮箱将投标文件的解密密码发送至指定的邮箱，邮箱主题：投标单位+项目名称解密密码。</w:t>
      </w:r>
    </w:p>
    <w:p>
      <w:pPr>
        <w:widowControl/>
        <w:spacing w:line="520" w:lineRule="exact"/>
        <w:ind w:firstLine="482"/>
        <w:jc w:val="left"/>
        <w:rPr>
          <w:rFonts w:ascii="宋体" w:hAnsi="宋体" w:cs="宋体"/>
          <w:b/>
          <w:bCs/>
          <w:sz w:val="24"/>
          <w:szCs w:val="24"/>
        </w:rPr>
      </w:pPr>
      <w:r>
        <w:rPr>
          <w:rFonts w:hint="eastAsia" w:ascii="宋体" w:hAnsi="宋体" w:cs="宋体"/>
          <w:b/>
          <w:bCs/>
          <w:sz w:val="24"/>
          <w:szCs w:val="24"/>
        </w:rPr>
        <w:t>（3）工作人员进入指定邮箱下载各投标人的投标文件，宣读投标人名称、投标价格、项目负责人等主要内容。</w:t>
      </w:r>
    </w:p>
    <w:p>
      <w:pPr>
        <w:spacing w:line="360" w:lineRule="auto"/>
        <w:ind w:firstLine="480" w:firstLineChars="200"/>
        <w:rPr>
          <w:rFonts w:ascii="宋体" w:hAnsi="宋体"/>
          <w:sz w:val="24"/>
        </w:rPr>
      </w:pPr>
      <w:r>
        <w:rPr>
          <w:rFonts w:hint="eastAsia" w:ascii="宋体" w:hAnsi="宋体"/>
          <w:sz w:val="24"/>
        </w:rPr>
        <w:t>四、成交供应商的确定：谈判评标小组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判响应文件的响应性只根据投标文件本身的内容，而不寻求外部的证据。</w:t>
      </w:r>
    </w:p>
    <w:p>
      <w:pPr>
        <w:spacing w:line="360" w:lineRule="auto"/>
        <w:ind w:firstLine="480" w:firstLineChars="200"/>
        <w:rPr>
          <w:rFonts w:ascii="宋体" w:hAnsi="宋体"/>
          <w:sz w:val="24"/>
        </w:rPr>
      </w:pPr>
      <w:r>
        <w:rPr>
          <w:rFonts w:hint="eastAsia" w:ascii="宋体" w:hAnsi="宋体"/>
          <w:sz w:val="24"/>
        </w:rPr>
        <w:t>五、如由于采购需求中对该采购项目要求描述不详细，请投标人在投标时补充说明，如不作明确说明，评审小组或采购方可认定其所报方案为可能存在情况的最高标准或按有利于使用方的原则确定。</w:t>
      </w:r>
    </w:p>
    <w:p>
      <w:pPr>
        <w:spacing w:line="360" w:lineRule="auto"/>
        <w:ind w:firstLine="480" w:firstLineChars="200"/>
        <w:rPr>
          <w:rFonts w:ascii="宋体" w:hAnsi="宋体"/>
          <w:sz w:val="24"/>
        </w:rPr>
      </w:pPr>
      <w:r>
        <w:rPr>
          <w:rFonts w:hint="eastAsia" w:ascii="宋体" w:hAnsi="宋体"/>
          <w:sz w:val="24"/>
        </w:rPr>
        <w:t>六、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widowControl/>
        <w:tabs>
          <w:tab w:val="left" w:pos="900"/>
        </w:tabs>
        <w:spacing w:line="360" w:lineRule="auto"/>
        <w:ind w:firstLine="478"/>
        <w:rPr>
          <w:rFonts w:ascii="宋体" w:hAnsi="宋体" w:cs="宋体"/>
          <w:kern w:val="0"/>
          <w:sz w:val="24"/>
          <w:szCs w:val="24"/>
        </w:rPr>
      </w:pPr>
      <w:r>
        <w:rPr>
          <w:rFonts w:hint="eastAsia" w:ascii="宋体" w:hAnsi="宋体"/>
          <w:sz w:val="24"/>
        </w:rPr>
        <w:t>七、</w:t>
      </w:r>
      <w:r>
        <w:rPr>
          <w:rFonts w:hint="eastAsia" w:ascii="宋体" w:hAnsi="宋体" w:cs="宋体"/>
          <w:kern w:val="0"/>
          <w:sz w:val="24"/>
          <w:szCs w:val="24"/>
        </w:rPr>
        <w:t>在签订合同时，须向采购人交纳履约保证金（</w:t>
      </w:r>
      <w:r>
        <w:rPr>
          <w:rFonts w:hint="eastAsia" w:ascii="宋体" w:hAnsi="宋体" w:cs="宋体"/>
          <w:b/>
          <w:kern w:val="0"/>
          <w:sz w:val="24"/>
          <w:szCs w:val="24"/>
        </w:rPr>
        <w:t>本采购项目履约保证金为中标价的10%，中标后在签订合同前，成交供应商必须将履约保证金以转帐、电汇或银行汇票形式汇转至采购人指定帐户</w:t>
      </w:r>
      <w:r>
        <w:rPr>
          <w:rFonts w:hint="eastAsia" w:ascii="宋体" w:hAnsi="宋体" w:cs="宋体"/>
          <w:kern w:val="0"/>
          <w:sz w:val="24"/>
          <w:szCs w:val="24"/>
        </w:rPr>
        <w:t>）。履约保证金用以约束成交供应商在合同履行中的行为，弥补合同执行中由于自身行为可能给采购人带来的各种损失。</w:t>
      </w:r>
    </w:p>
    <w:p>
      <w:pPr>
        <w:spacing w:line="360" w:lineRule="auto"/>
        <w:ind w:firstLine="480" w:firstLineChars="200"/>
        <w:rPr>
          <w:rFonts w:ascii="宋体" w:hAnsi="宋体"/>
          <w:sz w:val="24"/>
        </w:rPr>
      </w:pPr>
      <w:r>
        <w:rPr>
          <w:rFonts w:hint="eastAsia" w:ascii="宋体" w:hAnsi="宋体"/>
          <w:sz w:val="24"/>
        </w:rPr>
        <w:t>八、</w:t>
      </w:r>
      <w:r>
        <w:rPr>
          <w:rFonts w:ascii="宋体" w:hAnsi="宋体"/>
          <w:sz w:val="24"/>
        </w:rPr>
        <w:t>投标</w:t>
      </w:r>
      <w:r>
        <w:rPr>
          <w:rFonts w:hint="eastAsia" w:ascii="宋体" w:hAnsi="宋体"/>
          <w:sz w:val="24"/>
        </w:rPr>
        <w:t>方案和</w:t>
      </w:r>
      <w:r>
        <w:rPr>
          <w:rFonts w:ascii="宋体" w:hAnsi="宋体"/>
          <w:sz w:val="24"/>
        </w:rPr>
        <w:t>报价</w:t>
      </w:r>
      <w:r>
        <w:rPr>
          <w:rFonts w:hint="eastAsia" w:ascii="宋体" w:hAnsi="宋体"/>
          <w:sz w:val="24"/>
        </w:rPr>
        <w:t>，应标明所提供服务的方案实施计划、人员配备、项目实施时间、售后服务等相关费用。</w:t>
      </w:r>
    </w:p>
    <w:p>
      <w:pPr>
        <w:spacing w:line="360" w:lineRule="auto"/>
        <w:ind w:firstLine="480" w:firstLineChars="200"/>
        <w:rPr>
          <w:rFonts w:ascii="宋体" w:hAnsi="宋体"/>
          <w:sz w:val="24"/>
        </w:rPr>
      </w:pPr>
      <w:r>
        <w:rPr>
          <w:rFonts w:hint="eastAsia" w:ascii="宋体" w:hAnsi="宋体"/>
          <w:sz w:val="24"/>
        </w:rPr>
        <w:t>九、投标人必须按照采购文件的要求提供有关资信证明文件材料，作为投标文件的一部分，以证明其有资格进行投标和有能力履行合同。</w:t>
      </w:r>
    </w:p>
    <w:p>
      <w:pPr>
        <w:keepNext/>
        <w:spacing w:line="360" w:lineRule="auto"/>
        <w:ind w:firstLine="480" w:firstLineChars="200"/>
        <w:rPr>
          <w:rFonts w:ascii="宋体" w:hAnsi="宋体"/>
          <w:sz w:val="24"/>
        </w:rPr>
      </w:pPr>
      <w:r>
        <w:rPr>
          <w:rFonts w:hint="eastAsia" w:ascii="宋体" w:hAnsi="宋体"/>
          <w:sz w:val="24"/>
        </w:rPr>
        <w:t>十、未尽事宜，按照单一来源采购文件执行。</w:t>
      </w:r>
      <w:bookmarkEnd w:id="37"/>
      <w:bookmarkEnd w:id="38"/>
      <w:bookmarkEnd w:id="39"/>
      <w:bookmarkEnd w:id="40"/>
      <w:bookmarkEnd w:id="41"/>
      <w:bookmarkStart w:id="42" w:name="_Toc26554093"/>
      <w:bookmarkStart w:id="43" w:name="_Toc120614281"/>
      <w:bookmarkStart w:id="44" w:name="_Toc479757211"/>
      <w:bookmarkStart w:id="45" w:name="_Toc1660841"/>
      <w:bookmarkStart w:id="46" w:name="_Toc49090575"/>
      <w:bookmarkStart w:id="47" w:name="_Toc462564139"/>
      <w:bookmarkStart w:id="48" w:name="_Toc6322"/>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3"/>
        <w:kinsoku w:val="0"/>
        <w:overflowPunct w:val="0"/>
        <w:autoSpaceDE w:val="0"/>
        <w:autoSpaceDN w:val="0"/>
        <w:snapToGrid w:val="0"/>
        <w:spacing w:line="360" w:lineRule="auto"/>
        <w:rPr>
          <w:rFonts w:ascii="黑体" w:eastAsia="黑体" w:cs="黑体"/>
          <w:color w:val="000000"/>
          <w:sz w:val="44"/>
          <w:szCs w:val="44"/>
        </w:rPr>
      </w:pPr>
      <w:bookmarkStart w:id="49" w:name="_Toc120614244"/>
      <w:bookmarkStart w:id="50" w:name="_Toc16938590"/>
      <w:bookmarkStart w:id="51" w:name="_Toc1660840"/>
      <w:bookmarkStart w:id="52" w:name="_Hlt16619350"/>
      <w:bookmarkStart w:id="53" w:name="_Toc20823346"/>
      <w:r>
        <w:rPr>
          <w:rFonts w:hint="eastAsia" w:ascii="黑体" w:hAnsi="黑体" w:eastAsia="黑体"/>
          <w:color w:val="000000"/>
          <w:sz w:val="44"/>
          <w:szCs w:val="44"/>
        </w:rPr>
        <w:t>第三部分 项目需求</w:t>
      </w:r>
      <w:bookmarkEnd w:id="49"/>
      <w:bookmarkEnd w:id="50"/>
      <w:bookmarkEnd w:id="51"/>
      <w:bookmarkEnd w:id="52"/>
      <w:bookmarkEnd w:id="53"/>
    </w:p>
    <w:bookmarkEnd w:id="42"/>
    <w:bookmarkEnd w:id="43"/>
    <w:bookmarkEnd w:id="44"/>
    <w:bookmarkEnd w:id="45"/>
    <w:bookmarkEnd w:id="46"/>
    <w:bookmarkEnd w:id="47"/>
    <w:bookmarkEnd w:id="48"/>
    <w:p>
      <w:pPr>
        <w:spacing w:line="520" w:lineRule="exact"/>
        <w:ind w:firstLine="480" w:firstLineChars="200"/>
        <w:rPr>
          <w:rFonts w:ascii="宋体" w:hAnsi="宋体"/>
          <w:sz w:val="24"/>
          <w:szCs w:val="24"/>
        </w:rPr>
      </w:pPr>
      <w:r>
        <w:rPr>
          <w:rFonts w:hint="eastAsia" w:ascii="宋体" w:hAnsi="宋体"/>
          <w:sz w:val="24"/>
          <w:szCs w:val="24"/>
        </w:rPr>
        <w:t>为贯彻落实国家、江苏省和盐城市发展高质量职业教育和构建技能型社会要求，更好融入长三角社会经济社会发展，更好服务地方服务行业，推动学校实现新的更大发展，盐城幼儿师范高等专科学校（以下简称“盐城师专”）将启动中长期</w:t>
      </w:r>
      <w:r>
        <w:rPr>
          <w:rFonts w:hint="eastAsia" w:asciiTheme="minorEastAsia" w:hAnsiTheme="minorEastAsia" w:eastAsiaTheme="minorEastAsia"/>
          <w:sz w:val="24"/>
          <w:szCs w:val="24"/>
        </w:rPr>
        <w:t>专业发展规划（2022-2035）</w:t>
      </w:r>
      <w:r>
        <w:rPr>
          <w:rFonts w:hint="eastAsia" w:ascii="宋体" w:hAnsi="宋体"/>
          <w:sz w:val="24"/>
          <w:szCs w:val="24"/>
        </w:rPr>
        <w:t>项目编制工作，制定研究方案如下。</w:t>
      </w:r>
    </w:p>
    <w:p>
      <w:pPr>
        <w:spacing w:line="520" w:lineRule="exact"/>
        <w:ind w:firstLine="482" w:firstLineChars="200"/>
        <w:rPr>
          <w:rFonts w:ascii="宋体" w:hAnsi="宋体"/>
          <w:b/>
          <w:sz w:val="24"/>
          <w:szCs w:val="24"/>
        </w:rPr>
      </w:pPr>
      <w:r>
        <w:rPr>
          <w:rFonts w:hint="eastAsia" w:ascii="宋体" w:hAnsi="宋体"/>
          <w:b/>
          <w:sz w:val="24"/>
          <w:szCs w:val="24"/>
        </w:rPr>
        <w:t>一、研究背景</w:t>
      </w:r>
    </w:p>
    <w:p>
      <w:pPr>
        <w:spacing w:line="520" w:lineRule="exact"/>
        <w:ind w:firstLine="482" w:firstLineChars="200"/>
        <w:rPr>
          <w:rFonts w:ascii="宋体" w:hAnsi="宋体"/>
          <w:sz w:val="24"/>
          <w:szCs w:val="24"/>
        </w:rPr>
      </w:pPr>
      <w:r>
        <w:rPr>
          <w:rFonts w:hint="eastAsia" w:ascii="宋体" w:hAnsi="宋体" w:cs="楷体"/>
          <w:b/>
          <w:sz w:val="24"/>
          <w:szCs w:val="24"/>
        </w:rPr>
        <w:t>1.国家明确发展职业本科，为学校转型升级提供新机遇。</w:t>
      </w:r>
      <w:r>
        <w:rPr>
          <w:rFonts w:ascii="宋体" w:hAnsi="宋体"/>
          <w:sz w:val="24"/>
          <w:szCs w:val="24"/>
        </w:rPr>
        <w:t>2019</w:t>
      </w:r>
      <w:r>
        <w:rPr>
          <w:rFonts w:hint="eastAsia" w:ascii="宋体" w:hAnsi="宋体"/>
          <w:sz w:val="24"/>
          <w:szCs w:val="24"/>
        </w:rPr>
        <w:t>年，</w:t>
      </w:r>
      <w:r>
        <w:rPr>
          <w:rFonts w:ascii="宋体" w:hAnsi="宋体"/>
          <w:sz w:val="24"/>
          <w:szCs w:val="24"/>
        </w:rPr>
        <w:t>《国家职业教育改革实施方案》</w:t>
      </w:r>
      <w:r>
        <w:rPr>
          <w:rFonts w:hint="eastAsia" w:ascii="宋体" w:hAnsi="宋体"/>
          <w:sz w:val="24"/>
          <w:szCs w:val="24"/>
        </w:rPr>
        <w:t>中</w:t>
      </w:r>
      <w:r>
        <w:rPr>
          <w:rFonts w:ascii="宋体" w:hAnsi="宋体"/>
          <w:sz w:val="24"/>
          <w:szCs w:val="24"/>
        </w:rPr>
        <w:t>明确提出“开展本科层次职业教育试点”</w:t>
      </w:r>
      <w:r>
        <w:rPr>
          <w:rFonts w:hint="eastAsia" w:ascii="宋体" w:hAnsi="宋体"/>
          <w:sz w:val="24"/>
          <w:szCs w:val="24"/>
        </w:rPr>
        <w:t>。</w:t>
      </w:r>
      <w:r>
        <w:rPr>
          <w:rFonts w:ascii="宋体" w:hAnsi="宋体"/>
          <w:sz w:val="24"/>
          <w:szCs w:val="24"/>
        </w:rPr>
        <w:t>2021年，全国职业教育大会召开，习近平总书记对职业教育工作作出重要指示，要求</w:t>
      </w:r>
      <w:r>
        <w:rPr>
          <w:rFonts w:hint="eastAsia" w:ascii="宋体" w:hAnsi="宋体"/>
          <w:sz w:val="24"/>
          <w:szCs w:val="24"/>
        </w:rPr>
        <w:t>“</w:t>
      </w:r>
      <w:r>
        <w:rPr>
          <w:rFonts w:ascii="宋体" w:hAnsi="宋体"/>
          <w:sz w:val="24"/>
          <w:szCs w:val="24"/>
        </w:rPr>
        <w:t>优化职业教育类型定位</w:t>
      </w:r>
      <w:r>
        <w:rPr>
          <w:rFonts w:hint="eastAsia" w:ascii="宋体" w:hAnsi="宋体"/>
          <w:sz w:val="24"/>
          <w:szCs w:val="24"/>
        </w:rPr>
        <w:t>”“</w:t>
      </w:r>
      <w:r>
        <w:rPr>
          <w:rFonts w:ascii="宋体" w:hAnsi="宋体"/>
          <w:sz w:val="24"/>
          <w:szCs w:val="24"/>
        </w:rPr>
        <w:t>稳步发展职业本科教育</w:t>
      </w:r>
      <w:r>
        <w:rPr>
          <w:rFonts w:hint="eastAsia" w:ascii="宋体" w:hAnsi="宋体"/>
          <w:sz w:val="24"/>
          <w:szCs w:val="24"/>
        </w:rPr>
        <w:t>”“</w:t>
      </w:r>
      <w:r>
        <w:rPr>
          <w:rFonts w:ascii="宋体" w:hAnsi="宋体"/>
          <w:sz w:val="24"/>
          <w:szCs w:val="24"/>
        </w:rPr>
        <w:t>增强职业教育适应性，加快构建现代职业教育体系</w:t>
      </w:r>
      <w:r>
        <w:rPr>
          <w:rFonts w:hint="eastAsia" w:ascii="宋体" w:hAnsi="宋体"/>
          <w:sz w:val="24"/>
          <w:szCs w:val="24"/>
        </w:rPr>
        <w:t>”</w:t>
      </w:r>
      <w:r>
        <w:rPr>
          <w:rFonts w:ascii="宋体" w:hAnsi="宋体"/>
          <w:sz w:val="24"/>
          <w:szCs w:val="24"/>
        </w:rPr>
        <w:t>。</w:t>
      </w:r>
      <w:r>
        <w:rPr>
          <w:rFonts w:hint="eastAsia" w:ascii="宋体" w:hAnsi="宋体"/>
          <w:sz w:val="24"/>
          <w:szCs w:val="24"/>
        </w:rPr>
        <w:t>中办、国办《关于推动现代职业教育高质量发展的意见》进一步明确，“到</w:t>
      </w:r>
      <w:r>
        <w:rPr>
          <w:rFonts w:ascii="宋体" w:hAnsi="宋体"/>
          <w:sz w:val="24"/>
          <w:szCs w:val="24"/>
        </w:rPr>
        <w:t>2025年</w:t>
      </w:r>
      <w:r>
        <w:rPr>
          <w:rFonts w:hint="eastAsia" w:ascii="宋体" w:hAnsi="宋体"/>
          <w:sz w:val="24"/>
          <w:szCs w:val="24"/>
        </w:rPr>
        <w:t>职业本科教育招生规模不低于高等职业教育招生规模的</w:t>
      </w:r>
      <w:r>
        <w:rPr>
          <w:rFonts w:ascii="宋体" w:hAnsi="宋体"/>
          <w:sz w:val="24"/>
          <w:szCs w:val="24"/>
        </w:rPr>
        <w:t>10%</w:t>
      </w:r>
      <w:r>
        <w:rPr>
          <w:rFonts w:hint="eastAsia" w:ascii="宋体" w:hAnsi="宋体"/>
          <w:sz w:val="24"/>
          <w:szCs w:val="24"/>
        </w:rPr>
        <w:t>”。</w:t>
      </w:r>
      <w:r>
        <w:rPr>
          <w:rFonts w:ascii="宋体" w:hAnsi="宋体"/>
          <w:sz w:val="24"/>
          <w:szCs w:val="24"/>
        </w:rPr>
        <w:t>发展职业本科教育是</w:t>
      </w:r>
      <w:r>
        <w:rPr>
          <w:rFonts w:hint="eastAsia" w:ascii="宋体" w:hAnsi="宋体"/>
          <w:sz w:val="24"/>
          <w:szCs w:val="24"/>
        </w:rPr>
        <w:t>优化类型定位、体现类型特色、构建职教体系的重要举措，已成为当前各地职业教育改革的新热点。</w:t>
      </w:r>
      <w:r>
        <w:rPr>
          <w:rFonts w:ascii="宋体" w:hAnsi="宋体"/>
          <w:sz w:val="24"/>
          <w:szCs w:val="24"/>
        </w:rPr>
        <w:t>《盐城市国民经济和社会发展第十四个五年规划和二</w:t>
      </w:r>
      <w:r>
        <w:rPr>
          <w:rFonts w:hint="eastAsia" w:ascii="宋体" w:hAnsi="宋体"/>
          <w:sz w:val="24"/>
          <w:szCs w:val="24"/>
        </w:rPr>
        <w:t>〇</w:t>
      </w:r>
      <w:r>
        <w:rPr>
          <w:rFonts w:ascii="宋体" w:hAnsi="宋体"/>
          <w:sz w:val="24"/>
          <w:szCs w:val="24"/>
        </w:rPr>
        <w:t>三五年远景目标纲要》中提出，</w:t>
      </w:r>
      <w:r>
        <w:rPr>
          <w:rFonts w:hint="eastAsia" w:ascii="宋体" w:hAnsi="宋体"/>
          <w:sz w:val="24"/>
          <w:szCs w:val="24"/>
        </w:rPr>
        <w:t>“</w:t>
      </w:r>
      <w:r>
        <w:rPr>
          <w:rFonts w:ascii="宋体" w:hAnsi="宋体"/>
          <w:sz w:val="24"/>
          <w:szCs w:val="24"/>
        </w:rPr>
        <w:t>力争到 2025 年，新创办本科高校 1-2 所，在盐大学生人数达到 10 万人</w:t>
      </w:r>
      <w:r>
        <w:rPr>
          <w:rFonts w:hint="eastAsia" w:ascii="宋体" w:hAnsi="宋体"/>
          <w:sz w:val="24"/>
          <w:szCs w:val="24"/>
        </w:rPr>
        <w:t>”</w:t>
      </w:r>
      <w:r>
        <w:rPr>
          <w:rFonts w:ascii="宋体" w:hAnsi="宋体"/>
          <w:sz w:val="24"/>
          <w:szCs w:val="24"/>
        </w:rPr>
        <w:t>。</w:t>
      </w:r>
      <w:r>
        <w:rPr>
          <w:rFonts w:hint="eastAsia" w:ascii="宋体" w:hAnsi="宋体"/>
          <w:sz w:val="24"/>
          <w:szCs w:val="24"/>
        </w:rPr>
        <w:t>盐城师专在“十四五”规划中提出，要将学校建设成为特色鲜明、更高层次的地方应用型高校。推进更高层次发展，正在成为盐城师专突破发展瓶颈、实现转型升级的最优选择。</w:t>
      </w:r>
    </w:p>
    <w:p>
      <w:pPr>
        <w:spacing w:line="520" w:lineRule="exact"/>
        <w:ind w:firstLine="482" w:firstLineChars="200"/>
        <w:rPr>
          <w:rFonts w:ascii="宋体" w:hAnsi="宋体"/>
          <w:sz w:val="24"/>
          <w:szCs w:val="24"/>
        </w:rPr>
      </w:pPr>
      <w:r>
        <w:rPr>
          <w:rFonts w:hint="eastAsia" w:ascii="宋体" w:hAnsi="宋体" w:cs="楷体"/>
          <w:b/>
          <w:sz w:val="24"/>
          <w:szCs w:val="24"/>
        </w:rPr>
        <w:t>2.长三角一体化深入发展，对学校服务地方提出新需求。</w:t>
      </w:r>
      <w:r>
        <w:rPr>
          <w:rFonts w:hint="eastAsia" w:ascii="宋体" w:hAnsi="宋体"/>
          <w:sz w:val="24"/>
          <w:szCs w:val="24"/>
        </w:rPr>
        <w:t>实施长三角一体化发展战略是新时代国家重大战略之一，是贯彻新发展理念、建设现代化经济体系的重要组成部分。</w:t>
      </w:r>
      <w:r>
        <w:rPr>
          <w:rFonts w:ascii="宋体" w:hAnsi="宋体"/>
          <w:sz w:val="24"/>
          <w:szCs w:val="24"/>
        </w:rPr>
        <w:t>2021</w:t>
      </w:r>
      <w:r>
        <w:rPr>
          <w:rFonts w:hint="eastAsia" w:ascii="宋体" w:hAnsi="宋体"/>
          <w:sz w:val="24"/>
          <w:szCs w:val="24"/>
        </w:rPr>
        <w:t>年，</w:t>
      </w:r>
      <w:r>
        <w:rPr>
          <w:rFonts w:ascii="宋体" w:hAnsi="宋体"/>
          <w:sz w:val="24"/>
          <w:szCs w:val="24"/>
        </w:rPr>
        <w:t>《盐城市国民经济和社会发展第十四个五年规划和二</w:t>
      </w:r>
      <w:r>
        <w:rPr>
          <w:rFonts w:hint="eastAsia" w:ascii="宋体" w:hAnsi="宋体"/>
          <w:sz w:val="24"/>
          <w:szCs w:val="24"/>
        </w:rPr>
        <w:t>〇</w:t>
      </w:r>
      <w:r>
        <w:rPr>
          <w:rFonts w:ascii="宋体" w:hAnsi="宋体"/>
          <w:sz w:val="24"/>
          <w:szCs w:val="24"/>
        </w:rPr>
        <w:t>三五年远景目标纲要》</w:t>
      </w:r>
      <w:r>
        <w:rPr>
          <w:rFonts w:hint="eastAsia" w:ascii="宋体" w:hAnsi="宋体"/>
          <w:sz w:val="24"/>
          <w:szCs w:val="24"/>
        </w:rPr>
        <w:t>明确</w:t>
      </w:r>
      <w:r>
        <w:rPr>
          <w:rFonts w:ascii="宋体" w:hAnsi="宋体"/>
          <w:sz w:val="24"/>
          <w:szCs w:val="24"/>
        </w:rPr>
        <w:t>，</w:t>
      </w:r>
      <w:r>
        <w:rPr>
          <w:rFonts w:hint="eastAsia" w:ascii="宋体" w:hAnsi="宋体"/>
          <w:sz w:val="24"/>
          <w:szCs w:val="24"/>
        </w:rPr>
        <w:t>“十四五”时期</w:t>
      </w:r>
      <w:r>
        <w:rPr>
          <w:rFonts w:ascii="宋体" w:hAnsi="宋体"/>
          <w:sz w:val="24"/>
          <w:szCs w:val="24"/>
        </w:rPr>
        <w:t>高质量发展走在长三角前列，形成一批具有更强竞争力、更高附加值的千亿级特色产业集群</w:t>
      </w:r>
      <w:r>
        <w:rPr>
          <w:rFonts w:hint="eastAsia" w:ascii="宋体" w:hAnsi="宋体"/>
          <w:sz w:val="24"/>
          <w:szCs w:val="24"/>
        </w:rPr>
        <w:t>；到2</w:t>
      </w:r>
      <w:r>
        <w:rPr>
          <w:rFonts w:ascii="宋体" w:hAnsi="宋体"/>
          <w:sz w:val="24"/>
          <w:szCs w:val="24"/>
        </w:rPr>
        <w:t>035</w:t>
      </w:r>
      <w:r>
        <w:rPr>
          <w:rFonts w:hint="eastAsia" w:ascii="宋体" w:hAnsi="宋体"/>
          <w:sz w:val="24"/>
          <w:szCs w:val="24"/>
        </w:rPr>
        <w:t>年</w:t>
      </w:r>
      <w:r>
        <w:rPr>
          <w:rFonts w:ascii="宋体" w:hAnsi="宋体"/>
          <w:sz w:val="24"/>
          <w:szCs w:val="24"/>
        </w:rPr>
        <w:t>综合竞争力进入长三角中心区城市先进行列，高质量发展跻身东部沿海城市第一方阵。</w:t>
      </w:r>
      <w:r>
        <w:rPr>
          <w:rFonts w:hint="eastAsia" w:ascii="宋体" w:hAnsi="宋体"/>
          <w:sz w:val="24"/>
          <w:szCs w:val="24"/>
        </w:rPr>
        <w:t>盐城市委、市政府《关于推进长三角一体化产业发展基地建设的实施意见》提出，为积极抢抓长三角一体化发展战略机遇，市委市政府坚持产业为要，决定先行启动建设长三角一体化产业发展基地，积极打造融入全省、对接长三角城市群的主阵地、南北合作新标杆，在融合发展方面创造经验、争当示范。作为一所市属高校，为更好地融入长三角社会经济发展，更好地为地方经济发展服务，盐城师专应当积极推进顶层设计，调研战略布局，优化学科专业群建设，谋定而后动，通过不断提升办学层次和办学质量，夯实学校发展“底盘”，应对产业与经济的迫切需求。</w:t>
      </w:r>
    </w:p>
    <w:p>
      <w:pPr>
        <w:spacing w:line="520" w:lineRule="exact"/>
        <w:ind w:firstLine="482" w:firstLineChars="200"/>
        <w:rPr>
          <w:rFonts w:ascii="宋体" w:hAnsi="宋体"/>
          <w:sz w:val="24"/>
          <w:szCs w:val="24"/>
        </w:rPr>
      </w:pPr>
      <w:r>
        <w:rPr>
          <w:rFonts w:hint="eastAsia" w:ascii="宋体" w:hAnsi="宋体" w:cs="楷体"/>
          <w:b/>
          <w:sz w:val="24"/>
          <w:szCs w:val="24"/>
        </w:rPr>
        <w:t>3.学校发展进入新的阶段，对未来深化改革提出新挑战。</w:t>
      </w:r>
      <w:r>
        <w:rPr>
          <w:rFonts w:hint="eastAsia" w:ascii="宋体" w:hAnsi="宋体"/>
          <w:sz w:val="24"/>
          <w:szCs w:val="24"/>
        </w:rPr>
        <w:t>盐城幼儿师范高等专科学校是2016年经省政府批准、教育部备案的公办全日制专科层次普通高等学校，由原盐城高等师范学校和阜宁高等师范学校整合组建。学校肇端于1920年，在抗日烽火的洗礼中逐步成长，建国后不断发展壮大，2005、2007年，盐城鲁迅艺术学校（华中鲁艺传承校）、盐城建筑工程学校先后并入，为学校发展注入新的活力。学校办学历史悠久、文化积淀丰厚、优秀人才辈出，为社会培养了大量优秀人才。</w:t>
      </w:r>
      <w:r>
        <w:rPr>
          <w:rFonts w:hint="eastAsia" w:ascii="宋体" w:hAnsi="宋体" w:cs="仿宋"/>
          <w:sz w:val="24"/>
          <w:szCs w:val="24"/>
        </w:rPr>
        <w:t>学校目前发展中面临着专业布局调整、红色基因传承、政策调整应对等诸多难题，如何理顺学校办学体制，提升办学能力，是学校当前的重点任务。</w:t>
      </w:r>
      <w:r>
        <w:rPr>
          <w:rFonts w:hint="eastAsia" w:ascii="宋体" w:hAnsi="宋体"/>
          <w:sz w:val="24"/>
          <w:szCs w:val="24"/>
        </w:rPr>
        <w:t>面向未来，学校亟待激发可持续发展的动力和优势，加快建设成为支撑盐城市战略新兴产业发展的职业教育人才培养高地，成为江苏省、全国乃至国际上具有影响力的院校品牌。</w:t>
      </w:r>
    </w:p>
    <w:p>
      <w:pPr>
        <w:spacing w:line="520" w:lineRule="exact"/>
        <w:ind w:firstLine="482" w:firstLineChars="200"/>
        <w:rPr>
          <w:rFonts w:ascii="宋体" w:hAnsi="宋体"/>
          <w:b/>
          <w:sz w:val="24"/>
          <w:szCs w:val="24"/>
        </w:rPr>
      </w:pPr>
      <w:r>
        <w:rPr>
          <w:rFonts w:hint="eastAsia" w:ascii="宋体" w:hAnsi="宋体"/>
          <w:b/>
          <w:sz w:val="24"/>
          <w:szCs w:val="24"/>
        </w:rPr>
        <w:t>二、研究目标</w:t>
      </w:r>
    </w:p>
    <w:p>
      <w:pPr>
        <w:spacing w:line="520" w:lineRule="exact"/>
        <w:ind w:firstLine="480" w:firstLineChars="200"/>
        <w:rPr>
          <w:rFonts w:ascii="宋体" w:hAnsi="宋体" w:cs="仿宋"/>
          <w:sz w:val="24"/>
          <w:szCs w:val="24"/>
        </w:rPr>
      </w:pPr>
      <w:r>
        <w:rPr>
          <w:rFonts w:hint="eastAsia" w:ascii="宋体" w:hAnsi="宋体" w:cs="仿宋"/>
          <w:sz w:val="24"/>
          <w:szCs w:val="24"/>
        </w:rPr>
        <w:t>依据《关于推动职业教育高质量发展的意见》《国家职业教育改革实施方案》（国发【</w:t>
      </w:r>
      <w:r>
        <w:rPr>
          <w:rFonts w:ascii="宋体" w:hAnsi="宋体" w:cs="仿宋"/>
          <w:sz w:val="24"/>
          <w:szCs w:val="24"/>
        </w:rPr>
        <w:t>2019】4号）《本科层次职业学校设置标准（试行）》等文件要求，</w:t>
      </w:r>
      <w:r>
        <w:rPr>
          <w:rFonts w:hint="eastAsia" w:ascii="宋体" w:hAnsi="宋体" w:cs="仿宋"/>
          <w:sz w:val="24"/>
          <w:szCs w:val="24"/>
        </w:rPr>
        <w:t>结合学校十四五发展规划，对学校中长期发展进行规划设计打好基础，进行学科专业群建设规划。</w:t>
      </w:r>
    </w:p>
    <w:p>
      <w:pPr>
        <w:spacing w:line="520" w:lineRule="exact"/>
        <w:ind w:firstLine="482" w:firstLineChars="200"/>
        <w:rPr>
          <w:rFonts w:ascii="宋体" w:hAnsi="宋体" w:cs="仿宋"/>
          <w:sz w:val="24"/>
          <w:szCs w:val="24"/>
        </w:rPr>
      </w:pPr>
      <w:r>
        <w:rPr>
          <w:rFonts w:hint="eastAsia" w:ascii="宋体" w:hAnsi="宋体" w:cs="仿宋"/>
          <w:b/>
          <w:bCs/>
          <w:sz w:val="24"/>
          <w:szCs w:val="24"/>
        </w:rPr>
        <w:t>1.学科专业群建设规划：</w:t>
      </w:r>
      <w:r>
        <w:rPr>
          <w:rFonts w:hint="eastAsia" w:ascii="宋体" w:hAnsi="宋体" w:cs="仿宋"/>
          <w:sz w:val="24"/>
          <w:szCs w:val="24"/>
        </w:rPr>
        <w:t>结合区域经济发展需求与产业结构，</w:t>
      </w:r>
      <w:r>
        <w:rPr>
          <w:rFonts w:ascii="宋体" w:hAnsi="宋体" w:cs="仿宋"/>
          <w:sz w:val="24"/>
          <w:szCs w:val="24"/>
        </w:rPr>
        <w:t>深度剖析学校学科专业</w:t>
      </w:r>
      <w:r>
        <w:rPr>
          <w:rFonts w:hint="eastAsia" w:ascii="宋体" w:hAnsi="宋体" w:cs="仿宋"/>
          <w:sz w:val="24"/>
          <w:szCs w:val="24"/>
        </w:rPr>
        <w:t>群</w:t>
      </w:r>
      <w:r>
        <w:rPr>
          <w:rFonts w:ascii="宋体" w:hAnsi="宋体" w:cs="仿宋"/>
          <w:sz w:val="24"/>
          <w:szCs w:val="24"/>
        </w:rPr>
        <w:t>布局建设情况，围绕国家和区域经济社会发展重点领域，</w:t>
      </w:r>
      <w:r>
        <w:rPr>
          <w:rFonts w:hint="eastAsia" w:ascii="宋体" w:hAnsi="宋体" w:cs="仿宋"/>
          <w:sz w:val="24"/>
          <w:szCs w:val="24"/>
        </w:rPr>
        <w:t>研判学科专业群布局结构与调整方向，（提出专业建设思路和方案）夯实学校升级发展的“底盘”</w:t>
      </w:r>
      <w:r>
        <w:rPr>
          <w:rStyle w:val="53"/>
          <w:rFonts w:ascii="宋体" w:hAnsi="宋体" w:cs="仿宋"/>
          <w:sz w:val="24"/>
          <w:szCs w:val="24"/>
        </w:rPr>
        <w:footnoteReference w:id="0"/>
      </w:r>
      <w:r>
        <w:rPr>
          <w:rFonts w:hint="eastAsia" w:ascii="宋体" w:hAnsi="宋体" w:cs="仿宋"/>
          <w:sz w:val="24"/>
          <w:szCs w:val="24"/>
        </w:rPr>
        <w:t>。</w:t>
      </w:r>
    </w:p>
    <w:p>
      <w:pPr>
        <w:spacing w:line="520" w:lineRule="exact"/>
        <w:ind w:firstLine="482" w:firstLineChars="200"/>
        <w:rPr>
          <w:rFonts w:ascii="宋体" w:hAnsi="宋体"/>
          <w:b/>
          <w:sz w:val="24"/>
          <w:szCs w:val="24"/>
        </w:rPr>
      </w:pPr>
      <w:r>
        <w:rPr>
          <w:rFonts w:hint="eastAsia" w:ascii="宋体" w:hAnsi="宋体"/>
          <w:b/>
          <w:sz w:val="24"/>
          <w:szCs w:val="24"/>
        </w:rPr>
        <w:t>三、研究内容</w:t>
      </w:r>
    </w:p>
    <w:p>
      <w:pPr>
        <w:spacing w:line="520" w:lineRule="exact"/>
        <w:ind w:firstLine="482" w:firstLineChars="200"/>
        <w:rPr>
          <w:rFonts w:ascii="宋体" w:hAnsi="宋体"/>
          <w:b/>
          <w:sz w:val="24"/>
          <w:szCs w:val="24"/>
        </w:rPr>
      </w:pPr>
      <w:r>
        <w:rPr>
          <w:rFonts w:hint="eastAsia" w:ascii="宋体" w:hAnsi="宋体"/>
          <w:b/>
          <w:sz w:val="24"/>
          <w:szCs w:val="24"/>
        </w:rPr>
        <w:t>学科专业群发展规划</w:t>
      </w:r>
    </w:p>
    <w:p>
      <w:pPr>
        <w:spacing w:line="520" w:lineRule="exact"/>
        <w:ind w:firstLine="482" w:firstLineChars="200"/>
        <w:rPr>
          <w:rFonts w:ascii="宋体" w:hAnsi="宋体"/>
          <w:sz w:val="24"/>
          <w:szCs w:val="24"/>
        </w:rPr>
      </w:pPr>
      <w:r>
        <w:rPr>
          <w:rFonts w:ascii="宋体" w:hAnsi="宋体" w:cs="仿宋"/>
          <w:b/>
          <w:bCs/>
          <w:sz w:val="24"/>
          <w:szCs w:val="24"/>
        </w:rPr>
        <w:t xml:space="preserve">1. </w:t>
      </w:r>
      <w:r>
        <w:rPr>
          <w:rFonts w:hint="eastAsia" w:ascii="宋体" w:hAnsi="宋体" w:cs="仿宋"/>
          <w:b/>
          <w:bCs/>
          <w:sz w:val="24"/>
          <w:szCs w:val="24"/>
        </w:rPr>
        <w:t>学科专业群建设</w:t>
      </w:r>
      <w:r>
        <w:rPr>
          <w:rFonts w:ascii="宋体" w:hAnsi="宋体" w:cs="仿宋"/>
          <w:b/>
          <w:bCs/>
          <w:sz w:val="24"/>
          <w:szCs w:val="24"/>
        </w:rPr>
        <w:t>的成绩与问题。</w:t>
      </w:r>
      <w:r>
        <w:rPr>
          <w:rFonts w:ascii="宋体" w:hAnsi="宋体" w:cs="仿宋"/>
          <w:sz w:val="24"/>
          <w:szCs w:val="24"/>
        </w:rPr>
        <w:t>系统总结学校在</w:t>
      </w:r>
      <w:r>
        <w:rPr>
          <w:rFonts w:hint="eastAsia" w:ascii="宋体" w:hAnsi="宋体" w:cs="仿宋"/>
          <w:sz w:val="24"/>
          <w:szCs w:val="24"/>
        </w:rPr>
        <w:t>学科专业布局、培养目标、</w:t>
      </w:r>
      <w:r>
        <w:rPr>
          <w:rFonts w:ascii="宋体" w:hAnsi="宋体" w:cs="仿宋"/>
          <w:sz w:val="24"/>
          <w:szCs w:val="24"/>
        </w:rPr>
        <w:t>师资队伍、校企合作、教育教学改革、</w:t>
      </w:r>
      <w:r>
        <w:rPr>
          <w:rFonts w:hint="eastAsia" w:ascii="宋体" w:hAnsi="宋体" w:cs="仿宋"/>
          <w:sz w:val="24"/>
          <w:szCs w:val="24"/>
        </w:rPr>
        <w:t>人才培养</w:t>
      </w:r>
      <w:r>
        <w:rPr>
          <w:rFonts w:ascii="宋体" w:hAnsi="宋体" w:cs="仿宋"/>
          <w:sz w:val="24"/>
          <w:szCs w:val="24"/>
        </w:rPr>
        <w:t>、服务贡献等方面的成绩与问题。</w:t>
      </w:r>
    </w:p>
    <w:p>
      <w:pPr>
        <w:spacing w:line="520" w:lineRule="exact"/>
        <w:ind w:firstLine="482" w:firstLineChars="200"/>
        <w:rPr>
          <w:rFonts w:ascii="宋体" w:hAnsi="宋体" w:cs="仿宋"/>
          <w:sz w:val="24"/>
          <w:szCs w:val="24"/>
        </w:rPr>
      </w:pPr>
      <w:r>
        <w:rPr>
          <w:rFonts w:ascii="宋体" w:hAnsi="宋体" w:cs="仿宋"/>
          <w:b/>
          <w:bCs/>
          <w:sz w:val="24"/>
          <w:szCs w:val="24"/>
        </w:rPr>
        <w:t xml:space="preserve">2. </w:t>
      </w:r>
      <w:r>
        <w:rPr>
          <w:rFonts w:hint="eastAsia" w:ascii="宋体" w:hAnsi="宋体" w:cs="仿宋"/>
          <w:b/>
          <w:bCs/>
          <w:sz w:val="24"/>
          <w:szCs w:val="24"/>
        </w:rPr>
        <w:t>学科专业群中长期</w:t>
      </w:r>
      <w:r>
        <w:rPr>
          <w:rFonts w:ascii="宋体" w:hAnsi="宋体" w:cs="仿宋"/>
          <w:b/>
          <w:bCs/>
          <w:sz w:val="24"/>
          <w:szCs w:val="24"/>
        </w:rPr>
        <w:t>发展面临的形势。</w:t>
      </w:r>
      <w:r>
        <w:rPr>
          <w:rFonts w:ascii="宋体" w:hAnsi="宋体" w:cs="仿宋"/>
          <w:sz w:val="24"/>
          <w:szCs w:val="24"/>
        </w:rPr>
        <w:t>综合研究国家、江苏、</w:t>
      </w:r>
      <w:r>
        <w:rPr>
          <w:rFonts w:hint="eastAsia" w:ascii="宋体" w:hAnsi="宋体" w:cs="仿宋"/>
          <w:sz w:val="24"/>
          <w:szCs w:val="24"/>
        </w:rPr>
        <w:t>盐城</w:t>
      </w:r>
      <w:r>
        <w:rPr>
          <w:rFonts w:ascii="宋体" w:hAnsi="宋体" w:cs="仿宋"/>
          <w:sz w:val="24"/>
          <w:szCs w:val="24"/>
        </w:rPr>
        <w:t>、</w:t>
      </w:r>
      <w:r>
        <w:rPr>
          <w:rFonts w:hint="eastAsia" w:ascii="宋体" w:hAnsi="宋体" w:cs="仿宋"/>
          <w:sz w:val="24"/>
          <w:szCs w:val="24"/>
        </w:rPr>
        <w:t>产业行业</w:t>
      </w:r>
      <w:r>
        <w:rPr>
          <w:rFonts w:ascii="宋体" w:hAnsi="宋体" w:cs="仿宋"/>
          <w:sz w:val="24"/>
          <w:szCs w:val="24"/>
        </w:rPr>
        <w:t>等层面经济社会发展需求，结合</w:t>
      </w:r>
      <w:r>
        <w:rPr>
          <w:rFonts w:hint="eastAsia" w:ascii="宋体" w:hAnsi="宋体" w:cs="仿宋"/>
          <w:sz w:val="24"/>
          <w:szCs w:val="24"/>
        </w:rPr>
        <w:t>本科层次职业教育专业</w:t>
      </w:r>
      <w:r>
        <w:rPr>
          <w:rFonts w:ascii="宋体" w:hAnsi="宋体" w:cs="仿宋"/>
          <w:sz w:val="24"/>
          <w:szCs w:val="24"/>
        </w:rPr>
        <w:t>要求，理清</w:t>
      </w:r>
      <w:r>
        <w:rPr>
          <w:rFonts w:hint="eastAsia" w:ascii="宋体" w:hAnsi="宋体" w:cs="仿宋"/>
          <w:sz w:val="24"/>
          <w:szCs w:val="24"/>
        </w:rPr>
        <w:t>学科专业群</w:t>
      </w:r>
      <w:r>
        <w:rPr>
          <w:rFonts w:ascii="宋体" w:hAnsi="宋体" w:cs="仿宋"/>
          <w:sz w:val="24"/>
          <w:szCs w:val="24"/>
        </w:rPr>
        <w:t>发展面临的机遇与挑战。</w:t>
      </w:r>
    </w:p>
    <w:p>
      <w:pPr>
        <w:spacing w:line="520" w:lineRule="exact"/>
        <w:ind w:firstLine="482" w:firstLineChars="200"/>
        <w:rPr>
          <w:rFonts w:ascii="宋体" w:hAnsi="宋体" w:cs="仿宋"/>
          <w:sz w:val="24"/>
          <w:szCs w:val="24"/>
        </w:rPr>
      </w:pPr>
      <w:r>
        <w:rPr>
          <w:rFonts w:ascii="宋体" w:hAnsi="宋体" w:cs="仿宋"/>
          <w:b/>
          <w:bCs/>
          <w:sz w:val="24"/>
          <w:szCs w:val="24"/>
        </w:rPr>
        <w:t xml:space="preserve">3. </w:t>
      </w:r>
      <w:r>
        <w:rPr>
          <w:rFonts w:hint="eastAsia" w:ascii="宋体" w:hAnsi="宋体" w:cs="仿宋"/>
          <w:b/>
          <w:bCs/>
          <w:sz w:val="24"/>
          <w:szCs w:val="24"/>
        </w:rPr>
        <w:t>学科专业群中长期</w:t>
      </w:r>
      <w:r>
        <w:rPr>
          <w:rFonts w:ascii="宋体" w:hAnsi="宋体" w:cs="仿宋"/>
          <w:b/>
          <w:bCs/>
          <w:sz w:val="24"/>
          <w:szCs w:val="24"/>
        </w:rPr>
        <w:t>发展</w:t>
      </w:r>
      <w:r>
        <w:rPr>
          <w:rFonts w:hint="eastAsia" w:ascii="宋体" w:hAnsi="宋体" w:cs="仿宋"/>
          <w:b/>
          <w:bCs/>
          <w:sz w:val="24"/>
          <w:szCs w:val="24"/>
        </w:rPr>
        <w:t>布局结构</w:t>
      </w:r>
      <w:r>
        <w:rPr>
          <w:rFonts w:ascii="宋体" w:hAnsi="宋体" w:cs="仿宋"/>
          <w:b/>
          <w:bCs/>
          <w:sz w:val="24"/>
          <w:szCs w:val="24"/>
        </w:rPr>
        <w:t>与重点任务。</w:t>
      </w:r>
      <w:r>
        <w:rPr>
          <w:rFonts w:ascii="宋体" w:hAnsi="宋体" w:cs="仿宋"/>
          <w:sz w:val="24"/>
          <w:szCs w:val="24"/>
        </w:rPr>
        <w:t>结合新形势、新任务、新要求，进行谋划布局和顶层设计，重点涵盖：</w:t>
      </w:r>
    </w:p>
    <w:p>
      <w:pPr>
        <w:spacing w:line="520" w:lineRule="exact"/>
        <w:ind w:firstLine="480" w:firstLineChars="200"/>
        <w:rPr>
          <w:rFonts w:ascii="宋体" w:hAnsi="宋体" w:cs="仿宋"/>
          <w:sz w:val="24"/>
          <w:szCs w:val="24"/>
        </w:rPr>
      </w:pPr>
      <w:r>
        <w:rPr>
          <w:rFonts w:hint="eastAsia" w:ascii="宋体" w:hAnsi="宋体" w:cs="仿宋"/>
          <w:sz w:val="24"/>
          <w:szCs w:val="24"/>
        </w:rPr>
        <w:t>——发展定位和目标愿景：明确未来学科专业布局、发展战略，制定总体发展思路与主要发展目标；</w:t>
      </w:r>
    </w:p>
    <w:p>
      <w:pPr>
        <w:spacing w:line="520" w:lineRule="exact"/>
        <w:ind w:firstLine="480" w:firstLineChars="200"/>
        <w:rPr>
          <w:rFonts w:ascii="宋体" w:hAnsi="宋体" w:cs="仿宋"/>
          <w:sz w:val="24"/>
          <w:szCs w:val="24"/>
        </w:rPr>
      </w:pPr>
      <w:r>
        <w:rPr>
          <w:rFonts w:hint="eastAsia" w:ascii="宋体" w:hAnsi="宋体" w:cs="仿宋"/>
          <w:sz w:val="24"/>
          <w:szCs w:val="24"/>
        </w:rPr>
        <w:t>——发展重点和主要项目：确定未来学科专业重点任务，设计执行层面项目，明确工作抓手；</w:t>
      </w:r>
    </w:p>
    <w:p>
      <w:pPr>
        <w:spacing w:line="520" w:lineRule="exact"/>
        <w:ind w:firstLine="480" w:firstLineChars="200"/>
        <w:rPr>
          <w:rFonts w:ascii="宋体" w:hAnsi="宋体" w:cs="仿宋"/>
          <w:sz w:val="24"/>
          <w:szCs w:val="24"/>
        </w:rPr>
      </w:pPr>
      <w:r>
        <w:rPr>
          <w:rFonts w:hint="eastAsia" w:ascii="宋体" w:hAnsi="宋体" w:cs="仿宋"/>
          <w:sz w:val="24"/>
          <w:szCs w:val="24"/>
        </w:rPr>
        <w:t>——发展保障和分工落实：制定保障措施，明确具体分工，强化监测执行，确保规划落地落实。</w:t>
      </w:r>
    </w:p>
    <w:p>
      <w:pPr>
        <w:spacing w:line="520" w:lineRule="exact"/>
        <w:ind w:firstLine="482" w:firstLineChars="200"/>
        <w:rPr>
          <w:rFonts w:ascii="宋体" w:hAnsi="宋体"/>
          <w:b/>
          <w:sz w:val="24"/>
          <w:szCs w:val="24"/>
        </w:rPr>
      </w:pPr>
      <w:r>
        <w:rPr>
          <w:rFonts w:hint="eastAsia" w:ascii="宋体" w:hAnsi="宋体"/>
          <w:b/>
          <w:sz w:val="24"/>
          <w:szCs w:val="24"/>
        </w:rPr>
        <w:t>四、研究方法</w:t>
      </w:r>
    </w:p>
    <w:p>
      <w:pPr>
        <w:spacing w:line="520" w:lineRule="exact"/>
        <w:ind w:firstLine="480" w:firstLineChars="200"/>
        <w:rPr>
          <w:rFonts w:ascii="宋体" w:hAnsi="宋体" w:cs="仿宋"/>
          <w:sz w:val="24"/>
          <w:szCs w:val="24"/>
        </w:rPr>
      </w:pPr>
      <w:r>
        <w:rPr>
          <w:rFonts w:hint="eastAsia" w:ascii="宋体" w:hAnsi="宋体" w:cs="仿宋"/>
          <w:sz w:val="24"/>
          <w:szCs w:val="24"/>
        </w:rPr>
        <w:t>在研究视角上，以宏观研究为主，结合中观和微观研究；在研究途径上，文献分析与实地调查相结合，自身特色与先进经验相结合；在研究效果上，注重短期目标、中期目标和长期目标的结合，并重点突出可行性和可操作性。具体研究方法包括：</w:t>
      </w:r>
    </w:p>
    <w:p>
      <w:pPr>
        <w:spacing w:line="520" w:lineRule="exact"/>
        <w:ind w:firstLine="482" w:firstLineChars="200"/>
        <w:rPr>
          <w:rFonts w:ascii="宋体" w:hAnsi="宋体" w:cs="仿宋"/>
          <w:sz w:val="24"/>
          <w:szCs w:val="24"/>
        </w:rPr>
      </w:pPr>
      <w:r>
        <w:rPr>
          <w:rFonts w:ascii="宋体" w:hAnsi="宋体" w:cs="楷体"/>
          <w:b/>
          <w:sz w:val="24"/>
          <w:szCs w:val="24"/>
        </w:rPr>
        <w:t xml:space="preserve">1. </w:t>
      </w:r>
      <w:r>
        <w:rPr>
          <w:rFonts w:hint="eastAsia" w:ascii="宋体" w:hAnsi="宋体" w:cs="楷体"/>
          <w:b/>
          <w:sz w:val="24"/>
          <w:szCs w:val="24"/>
        </w:rPr>
        <w:t>政策研究：突出成果的导向性。</w:t>
      </w:r>
      <w:r>
        <w:rPr>
          <w:rFonts w:hint="eastAsia" w:ascii="宋体" w:hAnsi="宋体" w:cs="仿宋"/>
          <w:sz w:val="24"/>
          <w:szCs w:val="24"/>
        </w:rPr>
        <w:t>一是系统研究国家、江苏、盐城等层面的重大发展战略与宏观政策，认清形势、发现机遇；二是厘清相关产业、行业发展政策与主要趋势，为人才培养模式改革提供指引；三是梳理教育尤其是现代职业教育发展系列政策，确保研究成果体现发展方向。</w:t>
      </w:r>
    </w:p>
    <w:p>
      <w:pPr>
        <w:spacing w:line="520" w:lineRule="exact"/>
        <w:ind w:firstLine="482" w:firstLineChars="200"/>
        <w:rPr>
          <w:rFonts w:ascii="宋体" w:hAnsi="宋体" w:cs="仿宋"/>
          <w:sz w:val="24"/>
          <w:szCs w:val="24"/>
        </w:rPr>
      </w:pPr>
      <w:r>
        <w:rPr>
          <w:rFonts w:ascii="宋体" w:hAnsi="宋体" w:cs="楷体"/>
          <w:b/>
          <w:sz w:val="24"/>
          <w:szCs w:val="24"/>
        </w:rPr>
        <w:t xml:space="preserve">2. </w:t>
      </w:r>
      <w:r>
        <w:rPr>
          <w:rFonts w:hint="eastAsia" w:ascii="宋体" w:hAnsi="宋体" w:cs="楷体"/>
          <w:b/>
          <w:sz w:val="24"/>
          <w:szCs w:val="24"/>
        </w:rPr>
        <w:t>比较研究：突出成果的严谨性。</w:t>
      </w:r>
      <w:r>
        <w:rPr>
          <w:rFonts w:hint="eastAsia" w:ascii="宋体" w:hAnsi="宋体" w:cs="仿宋"/>
          <w:sz w:val="24"/>
          <w:szCs w:val="24"/>
        </w:rPr>
        <w:t>一是通过定量分析，厘清学校在全国、江苏乃至盐城市高等职业院校中的位置、优势与差距，为确定学校发展定位与发展目标提供数据支撑；二是通过国际、国内、省内优质院校发展实践研究，为学校发展路径、重点项目、具体举措等提供成功经验。</w:t>
      </w:r>
    </w:p>
    <w:p>
      <w:pPr>
        <w:spacing w:line="520" w:lineRule="exact"/>
        <w:ind w:firstLine="482" w:firstLineChars="200"/>
        <w:rPr>
          <w:rFonts w:ascii="宋体" w:hAnsi="宋体" w:cs="仿宋"/>
          <w:sz w:val="24"/>
          <w:szCs w:val="24"/>
        </w:rPr>
      </w:pPr>
      <w:r>
        <w:rPr>
          <w:rFonts w:ascii="宋体" w:hAnsi="宋体" w:cs="楷体"/>
          <w:b/>
          <w:sz w:val="24"/>
          <w:szCs w:val="24"/>
        </w:rPr>
        <w:t xml:space="preserve">3. </w:t>
      </w:r>
      <w:r>
        <w:rPr>
          <w:rFonts w:hint="eastAsia" w:ascii="宋体" w:hAnsi="宋体" w:cs="楷体"/>
          <w:b/>
          <w:sz w:val="24"/>
          <w:szCs w:val="24"/>
        </w:rPr>
        <w:t>专家咨询：突出成果的前瞻性。</w:t>
      </w:r>
      <w:r>
        <w:rPr>
          <w:rFonts w:hint="eastAsia" w:ascii="宋体" w:hAnsi="宋体" w:cs="仿宋"/>
          <w:sz w:val="24"/>
          <w:szCs w:val="24"/>
        </w:rPr>
        <w:t>邀请行业企业专家、职业教育专家、学者以及政府管理人员等，围绕学校中长期发展及学科专业群建设面临的重点、难点以及可能取得的亮点问题开展咨询指导，并对规划文本提出针对性意见建议，合力形成更高站位、更新理念、更远目标、更实举措的高质量研究成果。</w:t>
      </w:r>
    </w:p>
    <w:p>
      <w:pPr>
        <w:spacing w:line="520" w:lineRule="exact"/>
        <w:ind w:firstLine="482" w:firstLineChars="200"/>
        <w:rPr>
          <w:rFonts w:ascii="宋体" w:hAnsi="宋体" w:cs="仿宋"/>
          <w:sz w:val="24"/>
          <w:szCs w:val="24"/>
        </w:rPr>
      </w:pPr>
      <w:r>
        <w:rPr>
          <w:rFonts w:ascii="宋体" w:hAnsi="宋体" w:cs="楷体"/>
          <w:b/>
          <w:sz w:val="24"/>
          <w:szCs w:val="24"/>
        </w:rPr>
        <w:t xml:space="preserve">4. </w:t>
      </w:r>
      <w:r>
        <w:rPr>
          <w:rFonts w:hint="eastAsia" w:ascii="宋体" w:hAnsi="宋体" w:cs="楷体"/>
          <w:b/>
          <w:sz w:val="24"/>
          <w:szCs w:val="24"/>
        </w:rPr>
        <w:t>调查研究：突出成果的可操作性。</w:t>
      </w:r>
      <w:r>
        <w:rPr>
          <w:rFonts w:hint="eastAsia" w:ascii="宋体" w:hAnsi="宋体" w:cs="仿宋"/>
          <w:sz w:val="24"/>
          <w:szCs w:val="24"/>
        </w:rPr>
        <w:t>以访谈座谈为主、辅以问卷，一是校领导（书记、校长）访谈；二是职能部门座谈，对学校教学、人事、财务分管校领导和骨干教师进行座谈；三是行业企业座谈，包括盐城市相关行业管理部门、行业协会以及学校合作企业相关专家等，了解行业发展趋势及对技术技能人才的需求。访谈省教育厅相关处室领导，更好把握江苏高等职业教育发展规划。</w:t>
      </w:r>
    </w:p>
    <w:p>
      <w:pPr>
        <w:spacing w:line="520" w:lineRule="exact"/>
        <w:ind w:firstLine="482" w:firstLineChars="200"/>
        <w:rPr>
          <w:rFonts w:ascii="宋体" w:hAnsi="宋体"/>
          <w:b/>
          <w:sz w:val="24"/>
          <w:szCs w:val="24"/>
        </w:rPr>
      </w:pPr>
      <w:r>
        <w:rPr>
          <w:rFonts w:hint="eastAsia" w:ascii="宋体" w:hAnsi="宋体"/>
          <w:b/>
          <w:sz w:val="24"/>
          <w:szCs w:val="24"/>
        </w:rPr>
        <w:t>五、预期成果</w:t>
      </w:r>
    </w:p>
    <w:p>
      <w:pPr>
        <w:spacing w:line="520" w:lineRule="exact"/>
        <w:ind w:firstLine="482" w:firstLineChars="200"/>
        <w:rPr>
          <w:rFonts w:ascii="宋体" w:hAnsi="宋体" w:cs="仿宋"/>
          <w:sz w:val="24"/>
          <w:szCs w:val="24"/>
        </w:rPr>
      </w:pPr>
      <w:r>
        <w:rPr>
          <w:rFonts w:hint="eastAsia" w:ascii="宋体" w:hAnsi="宋体" w:cs="仿宋"/>
          <w:b/>
          <w:bCs/>
          <w:sz w:val="24"/>
          <w:szCs w:val="24"/>
        </w:rPr>
        <w:t>成果：</w:t>
      </w:r>
      <w:r>
        <w:rPr>
          <w:rFonts w:hint="eastAsia" w:ascii="宋体" w:hAnsi="宋体"/>
          <w:sz w:val="24"/>
          <w:szCs w:val="24"/>
        </w:rPr>
        <w:t>《盐城幼儿师范高等专科学校学科专业群发展规划》。</w:t>
      </w:r>
    </w:p>
    <w:p>
      <w:pPr>
        <w:snapToGrid w:val="0"/>
        <w:spacing w:line="520" w:lineRule="exact"/>
        <w:ind w:firstLine="482" w:firstLineChars="200"/>
        <w:rPr>
          <w:rFonts w:ascii="宋体" w:hAnsi="宋体"/>
          <w:b/>
          <w:sz w:val="24"/>
          <w:szCs w:val="24"/>
        </w:rPr>
      </w:pPr>
      <w:r>
        <w:rPr>
          <w:rFonts w:hint="eastAsia" w:ascii="宋体" w:hAnsi="宋体"/>
          <w:b/>
          <w:sz w:val="24"/>
          <w:szCs w:val="24"/>
        </w:rPr>
        <w:t>六、时间进度</w:t>
      </w:r>
    </w:p>
    <w:p>
      <w:pPr>
        <w:pStyle w:val="6"/>
        <w:snapToGrid w:val="0"/>
        <w:spacing w:before="0" w:after="0" w:line="520" w:lineRule="exact"/>
        <w:ind w:firstLine="640"/>
        <w:rPr>
          <w:rFonts w:ascii="宋体" w:hAnsi="宋体" w:cs="楷体"/>
          <w:b w:val="0"/>
          <w:bCs w:val="0"/>
          <w:sz w:val="24"/>
          <w:szCs w:val="24"/>
        </w:rPr>
      </w:pPr>
      <w:r>
        <w:rPr>
          <w:rFonts w:hint="eastAsia" w:ascii="宋体" w:hAnsi="宋体" w:cs="楷体"/>
          <w:sz w:val="24"/>
          <w:szCs w:val="24"/>
        </w:rPr>
        <w:t>2022年6月中旬：系统调研</w:t>
      </w:r>
    </w:p>
    <w:p>
      <w:pPr>
        <w:snapToGrid w:val="0"/>
        <w:spacing w:line="520" w:lineRule="exact"/>
        <w:ind w:firstLine="482" w:firstLineChars="200"/>
        <w:rPr>
          <w:rFonts w:ascii="宋体" w:hAnsi="宋体" w:cs="仿宋"/>
          <w:sz w:val="24"/>
          <w:szCs w:val="24"/>
        </w:rPr>
      </w:pPr>
      <w:r>
        <w:rPr>
          <w:rFonts w:hint="eastAsia" w:ascii="宋体" w:hAnsi="宋体" w:cs="仿宋"/>
          <w:b/>
          <w:bCs/>
          <w:sz w:val="24"/>
          <w:szCs w:val="24"/>
        </w:rPr>
        <w:t>——学校调研：</w:t>
      </w:r>
      <w:r>
        <w:rPr>
          <w:rFonts w:hint="eastAsia" w:ascii="宋体" w:hAnsi="宋体" w:cs="仿宋"/>
          <w:sz w:val="24"/>
          <w:szCs w:val="24"/>
        </w:rPr>
        <w:t>（1）校领导访谈，（2）教师座谈（专业、教学、校企合作、信息化、教师发展、研发与服务、学校治理、国际化等），（3）学生代表座谈。</w:t>
      </w:r>
    </w:p>
    <w:p>
      <w:pPr>
        <w:snapToGrid w:val="0"/>
        <w:spacing w:line="520" w:lineRule="exact"/>
        <w:ind w:firstLine="482" w:firstLineChars="200"/>
        <w:rPr>
          <w:rFonts w:ascii="宋体" w:hAnsi="宋体" w:cs="仿宋"/>
          <w:sz w:val="24"/>
          <w:szCs w:val="24"/>
        </w:rPr>
      </w:pPr>
      <w:r>
        <w:rPr>
          <w:rFonts w:hint="eastAsia" w:ascii="宋体" w:hAnsi="宋体" w:cs="仿宋"/>
          <w:b/>
          <w:bCs/>
          <w:sz w:val="24"/>
          <w:szCs w:val="24"/>
        </w:rPr>
        <w:t>——相关部门调研：</w:t>
      </w:r>
      <w:r>
        <w:rPr>
          <w:rFonts w:hint="eastAsia" w:ascii="宋体" w:hAnsi="宋体" w:cs="仿宋"/>
          <w:sz w:val="24"/>
          <w:szCs w:val="24"/>
        </w:rPr>
        <w:t>（1）领导访谈，（2）产业发展、社会发展和教育发展职能部门座谈，（3）重点行业企业代表座谈。</w:t>
      </w:r>
    </w:p>
    <w:p>
      <w:pPr>
        <w:spacing w:line="520" w:lineRule="exact"/>
        <w:ind w:firstLine="482" w:firstLineChars="200"/>
        <w:rPr>
          <w:rFonts w:ascii="宋体" w:hAnsi="宋体" w:cs="仿宋"/>
          <w:sz w:val="24"/>
          <w:szCs w:val="24"/>
        </w:rPr>
      </w:pPr>
      <w:r>
        <w:rPr>
          <w:rFonts w:hint="eastAsia" w:ascii="宋体" w:hAnsi="宋体" w:cs="仿宋"/>
          <w:b/>
          <w:bCs/>
          <w:sz w:val="24"/>
          <w:szCs w:val="24"/>
        </w:rPr>
        <w:t>——问卷调查：</w:t>
      </w:r>
      <w:r>
        <w:rPr>
          <w:rFonts w:hint="eastAsia" w:ascii="宋体" w:hAnsi="宋体" w:cs="仿宋"/>
          <w:sz w:val="24"/>
          <w:szCs w:val="24"/>
        </w:rPr>
        <w:t>对教师、学生等开展网络问卷调研：（1）教师问卷全覆盖；（2）</w:t>
      </w:r>
      <w:r>
        <w:rPr>
          <w:rFonts w:hint="eastAsia" w:ascii="宋体" w:hAnsi="宋体"/>
          <w:sz w:val="24"/>
          <w:szCs w:val="24"/>
        </w:rPr>
        <w:t>学生</w:t>
      </w:r>
      <w:r>
        <w:rPr>
          <w:rFonts w:hint="eastAsia" w:ascii="宋体" w:hAnsi="宋体" w:cs="仿宋"/>
          <w:sz w:val="24"/>
          <w:szCs w:val="24"/>
        </w:rPr>
        <w:t>问卷覆盖各年级、各学院、各专业、各班级。</w:t>
      </w:r>
    </w:p>
    <w:p>
      <w:pPr>
        <w:spacing w:line="520" w:lineRule="exact"/>
        <w:ind w:firstLine="482" w:firstLineChars="200"/>
        <w:rPr>
          <w:rFonts w:ascii="宋体" w:hAnsi="宋体" w:cs="仿宋"/>
          <w:sz w:val="24"/>
          <w:szCs w:val="24"/>
        </w:rPr>
      </w:pPr>
      <w:r>
        <w:rPr>
          <w:rFonts w:hint="eastAsia" w:ascii="宋体" w:hAnsi="宋体" w:cs="仿宋"/>
          <w:b/>
          <w:bCs/>
          <w:sz w:val="24"/>
          <w:szCs w:val="24"/>
        </w:rPr>
        <w:t>——材料收集：</w:t>
      </w:r>
      <w:r>
        <w:rPr>
          <w:rFonts w:hint="eastAsia" w:ascii="宋体" w:hAnsi="宋体" w:cs="仿宋"/>
          <w:sz w:val="24"/>
          <w:szCs w:val="24"/>
        </w:rPr>
        <w:t>学校提供相关调研材料。</w:t>
      </w:r>
    </w:p>
    <w:p>
      <w:pPr>
        <w:spacing w:line="460" w:lineRule="exact"/>
        <w:ind w:firstLine="482" w:firstLineChars="200"/>
        <w:rPr>
          <w:rFonts w:ascii="宋体" w:hAnsi="宋体" w:cs="仿宋"/>
          <w:sz w:val="24"/>
          <w:szCs w:val="24"/>
        </w:rPr>
      </w:pPr>
      <w:r>
        <w:rPr>
          <w:rFonts w:hint="eastAsia" w:ascii="宋体" w:hAnsi="宋体" w:cs="仿宋"/>
          <w:b/>
          <w:bCs/>
          <w:sz w:val="24"/>
          <w:szCs w:val="24"/>
        </w:rPr>
        <w:t>——规划素材：</w:t>
      </w:r>
      <w:r>
        <w:rPr>
          <w:rFonts w:hint="eastAsia" w:ascii="宋体" w:hAnsi="宋体" w:cs="仿宋"/>
          <w:sz w:val="24"/>
          <w:szCs w:val="24"/>
        </w:rPr>
        <w:t>各二级学院、主要职能部门于6月底完成本二级学院（部门）中长期发展规划素材（5000字）。</w:t>
      </w:r>
    </w:p>
    <w:p>
      <w:pPr>
        <w:pStyle w:val="6"/>
        <w:spacing w:line="460" w:lineRule="exact"/>
        <w:ind w:firstLine="723" w:firstLineChars="300"/>
        <w:rPr>
          <w:rFonts w:ascii="宋体" w:hAnsi="宋体" w:cs="楷体"/>
          <w:b w:val="0"/>
          <w:bCs w:val="0"/>
          <w:sz w:val="24"/>
          <w:szCs w:val="24"/>
        </w:rPr>
      </w:pPr>
      <w:r>
        <w:rPr>
          <w:rFonts w:hint="eastAsia" w:ascii="宋体" w:hAnsi="宋体" w:cs="楷体"/>
          <w:sz w:val="24"/>
          <w:szCs w:val="24"/>
        </w:rPr>
        <w:t>2022年6月下旬：框架稿意见征询</w:t>
      </w:r>
    </w:p>
    <w:p>
      <w:pPr>
        <w:spacing w:line="460" w:lineRule="exact"/>
        <w:ind w:firstLine="480" w:firstLineChars="200"/>
        <w:rPr>
          <w:rFonts w:ascii="宋体" w:hAnsi="宋体" w:cs="仿宋"/>
          <w:sz w:val="24"/>
          <w:szCs w:val="24"/>
        </w:rPr>
      </w:pPr>
      <w:r>
        <w:rPr>
          <w:rFonts w:hint="eastAsia" w:ascii="宋体" w:hAnsi="宋体"/>
          <w:sz w:val="24"/>
          <w:szCs w:val="24"/>
        </w:rPr>
        <w:t>《盐城幼儿师范高等专科学校学科专业群发展规划（框架稿）》</w:t>
      </w:r>
      <w:r>
        <w:rPr>
          <w:rFonts w:hint="eastAsia" w:ascii="宋体" w:hAnsi="宋体" w:cs="仿宋"/>
          <w:sz w:val="24"/>
          <w:szCs w:val="24"/>
        </w:rPr>
        <w:t>。</w:t>
      </w:r>
    </w:p>
    <w:p>
      <w:pPr>
        <w:pStyle w:val="6"/>
        <w:spacing w:line="460" w:lineRule="exact"/>
        <w:ind w:firstLine="640"/>
        <w:rPr>
          <w:rFonts w:ascii="宋体" w:hAnsi="宋体" w:cs="楷体"/>
          <w:b w:val="0"/>
          <w:bCs w:val="0"/>
          <w:sz w:val="24"/>
          <w:szCs w:val="24"/>
        </w:rPr>
      </w:pPr>
      <w:r>
        <w:rPr>
          <w:rFonts w:hint="eastAsia" w:ascii="宋体" w:hAnsi="宋体" w:cs="楷体"/>
          <w:sz w:val="24"/>
          <w:szCs w:val="24"/>
        </w:rPr>
        <w:t>2022年6月底-7月初：初稿意见征询</w:t>
      </w:r>
    </w:p>
    <w:p>
      <w:pPr>
        <w:spacing w:line="460" w:lineRule="exact"/>
        <w:ind w:firstLine="480" w:firstLineChars="200"/>
        <w:rPr>
          <w:rFonts w:ascii="宋体" w:hAnsi="宋体" w:cs="仿宋"/>
          <w:sz w:val="24"/>
          <w:szCs w:val="24"/>
        </w:rPr>
      </w:pPr>
      <w:bookmarkStart w:id="54" w:name="OLE_LINK1"/>
      <w:r>
        <w:rPr>
          <w:rFonts w:hint="eastAsia" w:ascii="宋体" w:hAnsi="宋体"/>
          <w:sz w:val="24"/>
          <w:szCs w:val="24"/>
        </w:rPr>
        <w:t>《盐城幼儿师范高等专科学校学科专业群发展规划（初稿）》</w:t>
      </w:r>
    </w:p>
    <w:p>
      <w:pPr>
        <w:pStyle w:val="6"/>
        <w:spacing w:line="460" w:lineRule="exact"/>
        <w:ind w:firstLine="640"/>
        <w:rPr>
          <w:rFonts w:ascii="宋体" w:hAnsi="宋体" w:cs="楷体"/>
          <w:b w:val="0"/>
          <w:bCs w:val="0"/>
          <w:sz w:val="24"/>
          <w:szCs w:val="24"/>
        </w:rPr>
      </w:pPr>
      <w:r>
        <w:rPr>
          <w:rFonts w:hint="eastAsia" w:ascii="宋体" w:hAnsi="宋体" w:cs="楷体"/>
          <w:sz w:val="24"/>
          <w:szCs w:val="24"/>
        </w:rPr>
        <w:t>2022年7月：专家咨询论证</w:t>
      </w:r>
    </w:p>
    <w:p>
      <w:pPr>
        <w:spacing w:line="460" w:lineRule="exact"/>
        <w:ind w:firstLine="480" w:firstLineChars="200"/>
        <w:rPr>
          <w:rFonts w:ascii="宋体" w:hAnsi="宋体" w:cs="仿宋"/>
          <w:sz w:val="24"/>
          <w:szCs w:val="24"/>
        </w:rPr>
      </w:pPr>
      <w:r>
        <w:rPr>
          <w:rFonts w:hint="eastAsia" w:ascii="宋体" w:hAnsi="宋体" w:cs="仿宋"/>
          <w:sz w:val="24"/>
          <w:szCs w:val="24"/>
        </w:rPr>
        <w:t>《</w:t>
      </w:r>
      <w:r>
        <w:rPr>
          <w:rFonts w:hint="eastAsia" w:ascii="宋体" w:hAnsi="宋体"/>
          <w:sz w:val="24"/>
          <w:szCs w:val="24"/>
        </w:rPr>
        <w:t>盐城幼儿师范高等专科学校学科专业群发展规划</w:t>
      </w:r>
      <w:r>
        <w:rPr>
          <w:rFonts w:hint="eastAsia" w:ascii="宋体" w:hAnsi="宋体" w:cs="仿宋"/>
          <w:sz w:val="24"/>
          <w:szCs w:val="24"/>
        </w:rPr>
        <w:t>（定稿）》。</w:t>
      </w:r>
    </w:p>
    <w:bookmarkEnd w:id="54"/>
    <w:p>
      <w:pPr>
        <w:spacing w:line="520" w:lineRule="exact"/>
        <w:rPr>
          <w:rFonts w:ascii="宋体" w:hAnsi="宋体"/>
          <w:b/>
          <w:sz w:val="24"/>
          <w:szCs w:val="24"/>
        </w:rPr>
      </w:pPr>
      <w:r>
        <w:rPr>
          <w:rFonts w:hint="eastAsia" w:ascii="宋体" w:hAnsi="宋体"/>
          <w:b/>
          <w:sz w:val="24"/>
          <w:szCs w:val="24"/>
        </w:rPr>
        <w:t>附件：</w:t>
      </w:r>
      <w:r>
        <w:rPr>
          <w:rFonts w:hint="eastAsia" w:ascii="宋体" w:hAnsi="宋体"/>
          <w:w w:val="90"/>
          <w:sz w:val="24"/>
          <w:szCs w:val="24"/>
        </w:rPr>
        <w:t>盐城幼儿师范高等专科学校学科专业群建设规划框架要点（初拟）</w:t>
      </w:r>
    </w:p>
    <w:p>
      <w:pPr>
        <w:jc w:val="center"/>
        <w:rPr>
          <w:rFonts w:ascii="宋体" w:hAnsi="宋体"/>
          <w:b/>
          <w:sz w:val="28"/>
          <w:szCs w:val="24"/>
        </w:rPr>
      </w:pPr>
      <w:r>
        <w:rPr>
          <w:rFonts w:hint="eastAsia" w:ascii="宋体" w:hAnsi="宋体"/>
          <w:b/>
          <w:sz w:val="28"/>
          <w:szCs w:val="24"/>
        </w:rPr>
        <w:t>盐城幼儿师范高等专科学校</w:t>
      </w:r>
    </w:p>
    <w:p>
      <w:pPr>
        <w:jc w:val="center"/>
        <w:rPr>
          <w:rFonts w:ascii="宋体" w:hAnsi="宋体"/>
          <w:b/>
          <w:sz w:val="28"/>
          <w:szCs w:val="24"/>
        </w:rPr>
      </w:pPr>
      <w:r>
        <w:rPr>
          <w:rFonts w:hint="eastAsia" w:ascii="宋体" w:hAnsi="宋体"/>
          <w:b/>
          <w:sz w:val="28"/>
          <w:szCs w:val="24"/>
        </w:rPr>
        <w:t>学科专业群建设规划框架要点（初拟）</w:t>
      </w:r>
    </w:p>
    <w:p>
      <w:pPr>
        <w:spacing w:line="540" w:lineRule="exact"/>
        <w:rPr>
          <w:rFonts w:ascii="宋体" w:hAnsi="宋体"/>
          <w:bCs/>
          <w:sz w:val="24"/>
          <w:szCs w:val="24"/>
        </w:rPr>
      </w:pPr>
      <w:r>
        <w:rPr>
          <w:rFonts w:hint="eastAsia" w:ascii="宋体" w:hAnsi="宋体"/>
          <w:bCs/>
          <w:sz w:val="24"/>
          <w:szCs w:val="24"/>
        </w:rPr>
        <w:t>一、规划背景</w:t>
      </w:r>
    </w:p>
    <w:p>
      <w:pPr>
        <w:spacing w:line="540" w:lineRule="exact"/>
        <w:ind w:firstLine="480" w:firstLineChars="200"/>
        <w:rPr>
          <w:rFonts w:ascii="宋体" w:hAnsi="宋体"/>
          <w:bCs/>
          <w:sz w:val="24"/>
          <w:szCs w:val="24"/>
        </w:rPr>
      </w:pPr>
      <w:r>
        <w:rPr>
          <w:rFonts w:hint="eastAsia" w:ascii="宋体" w:hAnsi="宋体"/>
          <w:bCs/>
          <w:sz w:val="24"/>
          <w:szCs w:val="24"/>
        </w:rPr>
        <w:t>（一）建设基础</w:t>
      </w:r>
    </w:p>
    <w:p>
      <w:pPr>
        <w:spacing w:line="540" w:lineRule="exact"/>
        <w:ind w:firstLine="480" w:firstLineChars="200"/>
        <w:rPr>
          <w:rFonts w:ascii="宋体" w:hAnsi="宋体"/>
          <w:bCs/>
          <w:sz w:val="24"/>
          <w:szCs w:val="24"/>
        </w:rPr>
      </w:pPr>
      <w:r>
        <w:rPr>
          <w:rFonts w:hint="eastAsia" w:ascii="宋体" w:hAnsi="宋体"/>
          <w:bCs/>
          <w:sz w:val="24"/>
          <w:szCs w:val="24"/>
        </w:rPr>
        <w:t>（二）发展需求</w:t>
      </w:r>
    </w:p>
    <w:p>
      <w:pPr>
        <w:spacing w:line="540" w:lineRule="exact"/>
        <w:ind w:firstLine="480" w:firstLineChars="200"/>
        <w:rPr>
          <w:rFonts w:ascii="宋体" w:hAnsi="宋体"/>
          <w:bCs/>
          <w:sz w:val="24"/>
          <w:szCs w:val="24"/>
        </w:rPr>
      </w:pPr>
      <w:r>
        <w:rPr>
          <w:rFonts w:hint="eastAsia" w:ascii="宋体" w:hAnsi="宋体"/>
          <w:bCs/>
          <w:sz w:val="24"/>
          <w:szCs w:val="24"/>
        </w:rPr>
        <w:t>（三）面临挑战</w:t>
      </w:r>
    </w:p>
    <w:p>
      <w:pPr>
        <w:spacing w:line="540" w:lineRule="exact"/>
        <w:rPr>
          <w:rFonts w:ascii="宋体" w:hAnsi="宋体"/>
          <w:bCs/>
          <w:sz w:val="24"/>
          <w:szCs w:val="24"/>
        </w:rPr>
      </w:pPr>
      <w:r>
        <w:rPr>
          <w:rFonts w:hint="eastAsia" w:ascii="宋体" w:hAnsi="宋体"/>
          <w:bCs/>
          <w:sz w:val="24"/>
          <w:szCs w:val="24"/>
        </w:rPr>
        <w:t>二、总体要求</w:t>
      </w:r>
    </w:p>
    <w:p>
      <w:pPr>
        <w:spacing w:line="540" w:lineRule="exact"/>
        <w:ind w:firstLine="480" w:firstLineChars="200"/>
        <w:rPr>
          <w:rFonts w:ascii="宋体" w:hAnsi="宋体"/>
          <w:bCs/>
          <w:sz w:val="24"/>
          <w:szCs w:val="24"/>
        </w:rPr>
      </w:pPr>
      <w:r>
        <w:rPr>
          <w:rFonts w:hint="eastAsia" w:ascii="宋体" w:hAnsi="宋体"/>
          <w:bCs/>
          <w:sz w:val="24"/>
          <w:szCs w:val="24"/>
        </w:rPr>
        <w:t>（一）指导思想</w:t>
      </w:r>
    </w:p>
    <w:p>
      <w:pPr>
        <w:spacing w:line="540" w:lineRule="exact"/>
        <w:ind w:firstLine="480" w:firstLineChars="200"/>
        <w:rPr>
          <w:rFonts w:ascii="宋体" w:hAnsi="宋体"/>
          <w:bCs/>
          <w:sz w:val="24"/>
          <w:szCs w:val="24"/>
        </w:rPr>
      </w:pPr>
      <w:r>
        <w:rPr>
          <w:rFonts w:hint="eastAsia" w:ascii="宋体" w:hAnsi="宋体"/>
          <w:bCs/>
          <w:sz w:val="24"/>
          <w:szCs w:val="24"/>
        </w:rPr>
        <w:t>（二）基本思路</w:t>
      </w:r>
    </w:p>
    <w:p>
      <w:pPr>
        <w:spacing w:line="540" w:lineRule="exact"/>
        <w:ind w:firstLine="480" w:firstLineChars="200"/>
        <w:rPr>
          <w:rFonts w:ascii="宋体" w:hAnsi="宋体"/>
          <w:bCs/>
          <w:sz w:val="24"/>
          <w:szCs w:val="24"/>
        </w:rPr>
      </w:pPr>
      <w:r>
        <w:rPr>
          <w:rFonts w:hint="eastAsia" w:ascii="宋体" w:hAnsi="宋体"/>
          <w:bCs/>
          <w:sz w:val="24"/>
          <w:szCs w:val="24"/>
        </w:rPr>
        <w:t>（三）目标愿景</w:t>
      </w:r>
    </w:p>
    <w:p>
      <w:pPr>
        <w:spacing w:line="540" w:lineRule="exact"/>
        <w:rPr>
          <w:rFonts w:ascii="宋体" w:hAnsi="宋体"/>
          <w:bCs/>
          <w:sz w:val="24"/>
          <w:szCs w:val="24"/>
        </w:rPr>
      </w:pPr>
      <w:r>
        <w:rPr>
          <w:rFonts w:hint="eastAsia" w:ascii="宋体" w:hAnsi="宋体"/>
          <w:bCs/>
          <w:sz w:val="24"/>
          <w:szCs w:val="24"/>
        </w:rPr>
        <w:t>三、发展重点</w:t>
      </w:r>
    </w:p>
    <w:p>
      <w:pPr>
        <w:spacing w:line="540" w:lineRule="exact"/>
        <w:ind w:firstLine="480" w:firstLineChars="200"/>
        <w:rPr>
          <w:rFonts w:ascii="宋体" w:hAnsi="宋体"/>
          <w:bCs/>
          <w:sz w:val="24"/>
          <w:szCs w:val="24"/>
        </w:rPr>
      </w:pPr>
      <w:r>
        <w:rPr>
          <w:rFonts w:hint="eastAsia" w:ascii="宋体" w:hAnsi="宋体"/>
          <w:bCs/>
          <w:sz w:val="24"/>
          <w:szCs w:val="24"/>
        </w:rPr>
        <w:t>（一）服务行业需求</w:t>
      </w:r>
    </w:p>
    <w:p>
      <w:pPr>
        <w:spacing w:line="540" w:lineRule="exact"/>
        <w:ind w:firstLine="480" w:firstLineChars="200"/>
        <w:rPr>
          <w:rFonts w:ascii="宋体" w:hAnsi="宋体"/>
          <w:bCs/>
          <w:sz w:val="24"/>
          <w:szCs w:val="24"/>
        </w:rPr>
      </w:pPr>
      <w:r>
        <w:rPr>
          <w:rFonts w:hint="eastAsia" w:ascii="宋体" w:hAnsi="宋体"/>
          <w:bCs/>
          <w:sz w:val="24"/>
          <w:szCs w:val="24"/>
        </w:rPr>
        <w:t>（二）引领体系建设</w:t>
      </w:r>
    </w:p>
    <w:p>
      <w:pPr>
        <w:spacing w:line="540" w:lineRule="exact"/>
        <w:ind w:firstLine="480" w:firstLineChars="200"/>
        <w:rPr>
          <w:rFonts w:ascii="宋体" w:hAnsi="宋体"/>
          <w:bCs/>
          <w:sz w:val="24"/>
          <w:szCs w:val="24"/>
        </w:rPr>
      </w:pPr>
      <w:r>
        <w:rPr>
          <w:rFonts w:hint="eastAsia" w:ascii="宋体" w:hAnsi="宋体"/>
          <w:bCs/>
          <w:sz w:val="24"/>
          <w:szCs w:val="24"/>
        </w:rPr>
        <w:t>（三）创新办学模式</w:t>
      </w:r>
    </w:p>
    <w:p>
      <w:pPr>
        <w:spacing w:line="540" w:lineRule="exact"/>
        <w:ind w:firstLine="480" w:firstLineChars="200"/>
        <w:rPr>
          <w:rFonts w:ascii="宋体" w:hAnsi="宋体"/>
          <w:bCs/>
          <w:sz w:val="24"/>
          <w:szCs w:val="24"/>
        </w:rPr>
      </w:pPr>
      <w:r>
        <w:rPr>
          <w:rFonts w:hint="eastAsia" w:ascii="宋体" w:hAnsi="宋体"/>
          <w:bCs/>
          <w:sz w:val="24"/>
          <w:szCs w:val="24"/>
        </w:rPr>
        <w:t>（四）打造双师队伍</w:t>
      </w:r>
    </w:p>
    <w:p>
      <w:pPr>
        <w:spacing w:line="540" w:lineRule="exact"/>
        <w:ind w:firstLine="480" w:firstLineChars="200"/>
        <w:rPr>
          <w:rFonts w:ascii="宋体" w:hAnsi="宋体"/>
          <w:bCs/>
          <w:sz w:val="24"/>
          <w:szCs w:val="24"/>
        </w:rPr>
      </w:pPr>
      <w:r>
        <w:rPr>
          <w:rFonts w:hint="eastAsia" w:ascii="宋体" w:hAnsi="宋体"/>
          <w:bCs/>
          <w:sz w:val="24"/>
          <w:szCs w:val="24"/>
        </w:rPr>
        <w:t>（五）培育品牌专业</w:t>
      </w:r>
    </w:p>
    <w:p>
      <w:pPr>
        <w:spacing w:line="540" w:lineRule="exact"/>
        <w:ind w:firstLine="480" w:firstLineChars="200"/>
        <w:rPr>
          <w:rFonts w:ascii="宋体" w:hAnsi="宋体"/>
          <w:bCs/>
          <w:sz w:val="24"/>
          <w:szCs w:val="24"/>
        </w:rPr>
      </w:pPr>
      <w:r>
        <w:rPr>
          <w:rFonts w:hint="eastAsia" w:ascii="宋体" w:hAnsi="宋体"/>
          <w:bCs/>
          <w:sz w:val="24"/>
          <w:szCs w:val="24"/>
        </w:rPr>
        <w:t>……</w:t>
      </w:r>
    </w:p>
    <w:p>
      <w:pPr>
        <w:spacing w:line="540" w:lineRule="exact"/>
        <w:rPr>
          <w:rFonts w:ascii="宋体" w:hAnsi="宋体"/>
          <w:bCs/>
          <w:sz w:val="24"/>
          <w:szCs w:val="24"/>
        </w:rPr>
      </w:pPr>
      <w:r>
        <w:rPr>
          <w:rFonts w:hint="eastAsia" w:ascii="宋体" w:hAnsi="宋体"/>
          <w:bCs/>
          <w:sz w:val="24"/>
          <w:szCs w:val="24"/>
        </w:rPr>
        <w:t>四、主要任务</w:t>
      </w:r>
    </w:p>
    <w:p>
      <w:pPr>
        <w:spacing w:line="540" w:lineRule="exact"/>
        <w:ind w:firstLine="480" w:firstLineChars="200"/>
        <w:rPr>
          <w:rFonts w:ascii="宋体" w:hAnsi="宋体"/>
          <w:bCs/>
          <w:sz w:val="24"/>
          <w:szCs w:val="24"/>
        </w:rPr>
      </w:pPr>
      <w:r>
        <w:rPr>
          <w:rFonts w:hint="eastAsia" w:ascii="宋体" w:hAnsi="宋体"/>
          <w:bCs/>
          <w:sz w:val="24"/>
          <w:szCs w:val="24"/>
        </w:rPr>
        <w:t>……</w:t>
      </w:r>
    </w:p>
    <w:p>
      <w:pPr>
        <w:spacing w:line="540" w:lineRule="exact"/>
        <w:rPr>
          <w:rFonts w:ascii="宋体" w:hAnsi="宋体"/>
          <w:bCs/>
          <w:sz w:val="24"/>
          <w:szCs w:val="24"/>
        </w:rPr>
      </w:pPr>
      <w:r>
        <w:rPr>
          <w:rFonts w:hint="eastAsia" w:ascii="宋体" w:hAnsi="宋体"/>
          <w:bCs/>
          <w:sz w:val="24"/>
          <w:szCs w:val="24"/>
        </w:rPr>
        <w:t>五、保障措施</w:t>
      </w:r>
    </w:p>
    <w:p>
      <w:pPr>
        <w:spacing w:line="540" w:lineRule="exact"/>
        <w:ind w:firstLine="480" w:firstLineChars="200"/>
        <w:rPr>
          <w:rFonts w:ascii="宋体" w:hAnsi="宋体"/>
          <w:bCs/>
          <w:sz w:val="24"/>
          <w:szCs w:val="24"/>
        </w:rPr>
      </w:pPr>
      <w:r>
        <w:rPr>
          <w:rFonts w:hint="eastAsia" w:ascii="宋体" w:hAnsi="宋体"/>
          <w:bCs/>
          <w:sz w:val="24"/>
          <w:szCs w:val="24"/>
        </w:rPr>
        <w:t>……</w:t>
      </w:r>
    </w:p>
    <w:p>
      <w:pPr>
        <w:widowControl/>
        <w:rPr>
          <w:rFonts w:cs="仿宋"/>
        </w:rPr>
      </w:pPr>
    </w:p>
    <w:p>
      <w:pPr>
        <w:pStyle w:val="97"/>
        <w:pageBreakBefore/>
        <w:snapToGrid w:val="0"/>
        <w:ind w:firstLine="475" w:firstLineChars="108"/>
        <w:jc w:val="center"/>
        <w:rPr>
          <w:rFonts w:ascii="黑体" w:eastAsia="黑体"/>
          <w:color w:val="000000"/>
        </w:rPr>
      </w:pPr>
      <w:r>
        <w:rPr>
          <w:rFonts w:hint="eastAsia" w:ascii="黑体" w:eastAsia="黑体" w:cs="黑体"/>
          <w:color w:val="000000"/>
          <w:sz w:val="44"/>
          <w:szCs w:val="44"/>
        </w:rPr>
        <w:t>第四部分合同条款及格式</w:t>
      </w:r>
    </w:p>
    <w:p>
      <w:pPr>
        <w:pStyle w:val="25"/>
        <w:snapToGrid w:val="0"/>
        <w:spacing w:line="360" w:lineRule="auto"/>
        <w:ind w:firstLine="480"/>
        <w:rPr>
          <w:rFonts w:hAnsi="??"/>
          <w:color w:val="000000"/>
          <w:sz w:val="24"/>
        </w:rPr>
      </w:pPr>
      <w:r>
        <w:rPr>
          <w:rFonts w:hAnsi="??"/>
          <w:color w:val="000000"/>
          <w:sz w:val="24"/>
        </w:rPr>
        <w:t>项目名称：                                       项目编号：</w:t>
      </w:r>
    </w:p>
    <w:p>
      <w:pPr>
        <w:pStyle w:val="25"/>
        <w:snapToGrid w:val="0"/>
        <w:spacing w:line="360" w:lineRule="auto"/>
        <w:ind w:firstLine="480"/>
        <w:rPr>
          <w:rFonts w:hAnsi="??"/>
          <w:color w:val="000000"/>
          <w:sz w:val="24"/>
        </w:rPr>
      </w:pPr>
      <w:r>
        <w:rPr>
          <w:rFonts w:hAnsi="??"/>
          <w:color w:val="000000"/>
          <w:sz w:val="24"/>
        </w:rPr>
        <w:t>甲方：（买方）_________</w:t>
      </w:r>
    </w:p>
    <w:p>
      <w:pPr>
        <w:pStyle w:val="25"/>
        <w:snapToGrid w:val="0"/>
        <w:spacing w:line="360" w:lineRule="auto"/>
        <w:ind w:firstLine="480"/>
        <w:rPr>
          <w:rFonts w:asciiTheme="minorEastAsia" w:hAnsiTheme="minorEastAsia" w:eastAsiaTheme="minorEastAsia"/>
          <w:kern w:val="0"/>
          <w:sz w:val="28"/>
          <w:szCs w:val="28"/>
        </w:rPr>
      </w:pPr>
      <w:r>
        <w:rPr>
          <w:rFonts w:hAnsi="??"/>
          <w:color w:val="000000"/>
          <w:sz w:val="24"/>
        </w:rPr>
        <w:t>乙方：（卖方）_________</w:t>
      </w:r>
    </w:p>
    <w:p>
      <w:pPr>
        <w:spacing w:line="360" w:lineRule="auto"/>
        <w:ind w:firstLine="600" w:firstLineChars="250"/>
        <w:rPr>
          <w:rFonts w:ascii="宋体" w:hAnsi="宋体"/>
          <w:kern w:val="0"/>
          <w:sz w:val="24"/>
          <w:szCs w:val="24"/>
        </w:rPr>
      </w:pPr>
      <w:r>
        <w:rPr>
          <w:rFonts w:hint="eastAsia" w:ascii="宋体" w:hAnsi="宋体"/>
          <w:kern w:val="0"/>
          <w:sz w:val="24"/>
          <w:szCs w:val="24"/>
        </w:rPr>
        <w:t>甲、乙双方根据《中华人民共和国民典法》、《中华人民共和国政府采购法》和其他法律、法规的规定，并按照公正、平等、自愿、诚实信用的原则，同意按照以下条款和条件，签署本合同。</w:t>
      </w:r>
    </w:p>
    <w:p>
      <w:pPr>
        <w:autoSpaceDE w:val="0"/>
        <w:autoSpaceDN w:val="0"/>
        <w:spacing w:line="360" w:lineRule="auto"/>
        <w:ind w:firstLine="482" w:firstLineChars="200"/>
        <w:rPr>
          <w:rFonts w:ascii="宋体" w:hAnsi="宋体" w:cs="宋体"/>
          <w:b/>
          <w:sz w:val="24"/>
        </w:rPr>
      </w:pPr>
      <w:r>
        <w:rPr>
          <w:rFonts w:hint="eastAsia" w:ascii="宋体" w:hAnsi="宋体" w:cs="宋体"/>
          <w:b/>
          <w:bCs/>
          <w:sz w:val="24"/>
        </w:rPr>
        <w:t>一、项目需求</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依据《关于推动职业教育高质量发展的意见》《国家职业教育改革实施方案》（国发【</w:t>
      </w:r>
      <w:r>
        <w:rPr>
          <w:rFonts w:ascii="宋体" w:hAnsi="宋体" w:cs="宋体"/>
          <w:sz w:val="24"/>
          <w:szCs w:val="24"/>
        </w:rPr>
        <w:t>2019】4号）《本科层次职业学校设置标准（试行）》等文件要求，</w:t>
      </w:r>
      <w:r>
        <w:rPr>
          <w:rFonts w:hint="eastAsia" w:ascii="宋体" w:hAnsi="宋体" w:cs="宋体"/>
          <w:sz w:val="24"/>
          <w:szCs w:val="24"/>
        </w:rPr>
        <w:t>结合学校十四五发展规划，对盐城幼儿师范高等专科学校</w:t>
      </w:r>
      <w:r>
        <w:rPr>
          <w:rFonts w:hint="eastAsia" w:ascii="宋体" w:hAnsi="宋体" w:cs="宋体"/>
          <w:kern w:val="0"/>
          <w:sz w:val="24"/>
          <w:u w:color="000000"/>
        </w:rPr>
        <w:t>专业群发展</w:t>
      </w:r>
      <w:r>
        <w:rPr>
          <w:rFonts w:hint="eastAsia" w:ascii="宋体" w:hAnsi="宋体" w:cs="宋体"/>
          <w:sz w:val="24"/>
          <w:szCs w:val="24"/>
        </w:rPr>
        <w:t>提供规划编制咨询服务，</w:t>
      </w:r>
      <w:r>
        <w:rPr>
          <w:rFonts w:hint="eastAsia" w:ascii="宋体" w:hAnsi="宋体" w:cs="宋体"/>
          <w:sz w:val="24"/>
        </w:rPr>
        <w:t>形成研究报告。</w:t>
      </w:r>
      <w:r>
        <w:rPr>
          <w:rFonts w:hint="eastAsia" w:ascii="宋体" w:hAnsi="宋体" w:cs="宋体"/>
          <w:sz w:val="24"/>
          <w:szCs w:val="24"/>
        </w:rPr>
        <w:t>详见采购招标文件第四章项目需求。</w:t>
      </w:r>
    </w:p>
    <w:p>
      <w:pPr>
        <w:autoSpaceDE w:val="0"/>
        <w:autoSpaceDN w:val="0"/>
        <w:spacing w:line="360" w:lineRule="auto"/>
        <w:ind w:firstLine="482" w:firstLineChars="200"/>
        <w:rPr>
          <w:rFonts w:ascii="宋体" w:hAnsi="宋体" w:cs="宋体"/>
          <w:b/>
          <w:sz w:val="24"/>
          <w:szCs w:val="24"/>
        </w:rPr>
      </w:pPr>
      <w:r>
        <w:rPr>
          <w:rFonts w:ascii="宋体" w:hAnsi="宋体" w:cs="宋体"/>
          <w:b/>
          <w:sz w:val="24"/>
          <w:szCs w:val="24"/>
        </w:rPr>
        <w:t>二</w:t>
      </w:r>
      <w:r>
        <w:rPr>
          <w:rFonts w:hint="eastAsia" w:ascii="宋体" w:hAnsi="宋体" w:cs="宋体"/>
          <w:b/>
          <w:sz w:val="24"/>
          <w:szCs w:val="24"/>
        </w:rPr>
        <w:t>、</w:t>
      </w:r>
      <w:r>
        <w:rPr>
          <w:rFonts w:ascii="宋体" w:hAnsi="宋体" w:cs="宋体"/>
          <w:b/>
          <w:sz w:val="24"/>
          <w:szCs w:val="24"/>
        </w:rPr>
        <w:t>服务内容</w:t>
      </w:r>
    </w:p>
    <w:p>
      <w:pPr>
        <w:spacing w:line="360" w:lineRule="auto"/>
        <w:ind w:firstLine="480" w:firstLineChars="200"/>
        <w:rPr>
          <w:rFonts w:ascii="宋体" w:hAnsi="宋体" w:cs="宋体"/>
          <w:kern w:val="0"/>
          <w:sz w:val="24"/>
          <w:u w:color="000000"/>
        </w:rPr>
      </w:pPr>
      <w:r>
        <w:rPr>
          <w:rFonts w:hint="eastAsia" w:ascii="宋体" w:hAnsi="宋体" w:cs="宋体"/>
          <w:sz w:val="24"/>
          <w:szCs w:val="24"/>
        </w:rPr>
        <w:t>（一）乙方通过现场调研，进行资料收集、文献研究、调研、访谈、分析，并最终形成《盐城幼儿师范高等专科学校学科专业群发展规划》，并配合甲</w:t>
      </w:r>
      <w:r>
        <w:rPr>
          <w:rFonts w:hint="eastAsia" w:ascii="宋体" w:hAnsi="宋体" w:cs="宋体"/>
          <w:kern w:val="0"/>
          <w:sz w:val="24"/>
          <w:u w:color="000000"/>
        </w:rPr>
        <w:t>方完成申报审批。</w:t>
      </w:r>
    </w:p>
    <w:p>
      <w:pPr>
        <w:autoSpaceDE w:val="0"/>
        <w:autoSpaceDN w:val="0"/>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（二）项目验收标准</w:t>
      </w:r>
    </w:p>
    <w:p>
      <w:pPr>
        <w:autoSpaceDE w:val="0"/>
        <w:autoSpaceDN w:val="0"/>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1）符合国家最新的相关技术规范及标准，工作服务成果文件必须保证通过甲方组织的专家评审和相关主管部门审查通过。</w:t>
      </w:r>
    </w:p>
    <w:p>
      <w:pPr>
        <w:autoSpaceDE w:val="0"/>
        <w:autoSpaceDN w:val="0"/>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2）对采购项目各项成果资料甲方可聘请有资质的第三方根据有关规定参与最终检查验收。</w:t>
      </w:r>
    </w:p>
    <w:p>
      <w:pPr>
        <w:autoSpaceDE w:val="0"/>
        <w:autoSpaceDN w:val="0"/>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（三）项目成果提交要求</w:t>
      </w:r>
    </w:p>
    <w:p>
      <w:pPr>
        <w:autoSpaceDE w:val="0"/>
        <w:autoSpaceDN w:val="0"/>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1）按报批程序和甲方要求准备历次汇报材料。</w:t>
      </w:r>
    </w:p>
    <w:p>
      <w:pPr>
        <w:autoSpaceDE w:val="0"/>
        <w:autoSpaceDN w:val="0"/>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2）《盐城幼儿师范高等专科学校学科专业群发展规划》</w:t>
      </w:r>
      <w:r>
        <w:rPr>
          <w:rFonts w:hint="eastAsia" w:ascii="宋体" w:hAnsi="宋体" w:cs="宋体"/>
          <w:sz w:val="24"/>
        </w:rPr>
        <w:t>及相关调研材料（纸质版5份，电子版1份）</w:t>
      </w:r>
      <w:r>
        <w:rPr>
          <w:rFonts w:hint="eastAsia" w:ascii="宋体" w:hAnsi="宋体" w:cs="宋体"/>
          <w:kern w:val="0"/>
          <w:sz w:val="24"/>
          <w:u w:color="000000"/>
        </w:rPr>
        <w:t>。</w:t>
      </w:r>
    </w:p>
    <w:p>
      <w:pPr>
        <w:widowControl/>
        <w:spacing w:line="360" w:lineRule="auto"/>
        <w:ind w:firstLine="480" w:firstLineChars="200"/>
        <w:rPr>
          <w:rFonts w:ascii="宋体" w:hAnsi="宋体"/>
          <w:sz w:val="24"/>
        </w:rPr>
      </w:pPr>
      <w:r>
        <w:rPr>
          <w:rFonts w:hint="eastAsia" w:ascii="宋体" w:hAnsi="宋体"/>
          <w:sz w:val="24"/>
        </w:rPr>
        <w:t>（四）后续服务要求</w:t>
      </w:r>
    </w:p>
    <w:p>
      <w:pPr>
        <w:widowControl/>
        <w:spacing w:line="360" w:lineRule="auto"/>
        <w:ind w:firstLine="480" w:firstLineChars="200"/>
        <w:rPr>
          <w:rFonts w:ascii="宋体" w:hAnsi="宋体"/>
          <w:sz w:val="24"/>
        </w:rPr>
      </w:pPr>
      <w:r>
        <w:rPr>
          <w:rFonts w:hint="eastAsia" w:ascii="宋体" w:hAnsi="宋体"/>
          <w:sz w:val="24"/>
        </w:rPr>
        <w:t>项目完成后，乙方提供后续服务，包括：程序解释以及政策咨询、技术咨询等。</w:t>
      </w:r>
    </w:p>
    <w:p>
      <w:pPr>
        <w:widowControl/>
        <w:spacing w:line="360" w:lineRule="auto"/>
        <w:ind w:firstLine="482" w:firstLineChars="200"/>
        <w:rPr>
          <w:rFonts w:ascii="宋体" w:hAnsi="宋体"/>
          <w:b/>
          <w:sz w:val="24"/>
        </w:rPr>
      </w:pPr>
      <w:r>
        <w:rPr>
          <w:rFonts w:hint="eastAsia" w:ascii="宋体" w:hAnsi="宋体"/>
          <w:b/>
          <w:sz w:val="24"/>
        </w:rPr>
        <w:t>三、工作条件和协作事项：</w:t>
      </w:r>
    </w:p>
    <w:p>
      <w:pPr>
        <w:widowControl/>
        <w:spacing w:line="360" w:lineRule="auto"/>
        <w:ind w:firstLine="480" w:firstLineChars="200"/>
        <w:rPr>
          <w:rFonts w:ascii="宋体" w:hAnsi="宋体"/>
          <w:sz w:val="24"/>
        </w:rPr>
      </w:pPr>
      <w:r>
        <w:rPr>
          <w:rFonts w:hint="eastAsia" w:ascii="宋体" w:hAnsi="宋体"/>
          <w:sz w:val="24"/>
        </w:rPr>
        <w:t>（一）甲方承担的任务及责任</w:t>
      </w:r>
    </w:p>
    <w:p>
      <w:pPr>
        <w:widowControl/>
        <w:spacing w:line="360" w:lineRule="auto"/>
        <w:ind w:firstLine="480" w:firstLineChars="200"/>
        <w:rPr>
          <w:rFonts w:ascii="宋体" w:hAnsi="宋体"/>
          <w:sz w:val="24"/>
        </w:rPr>
      </w:pPr>
      <w:r>
        <w:rPr>
          <w:rFonts w:hint="eastAsia" w:ascii="宋体" w:hAnsi="宋体"/>
          <w:sz w:val="24"/>
        </w:rPr>
        <w:t>1.为乙方派出的工作人员顺利开展工作积极做好各项沟通与配合工作，为乙方派出的有关工作人员提供必要的工作条件和协助，以确保乙方工作的有序展开。</w:t>
      </w:r>
    </w:p>
    <w:p>
      <w:pPr>
        <w:widowControl/>
        <w:spacing w:line="360" w:lineRule="auto"/>
        <w:ind w:firstLine="480" w:firstLineChars="200"/>
        <w:rPr>
          <w:rFonts w:ascii="宋体" w:hAnsi="宋体"/>
          <w:sz w:val="24"/>
        </w:rPr>
      </w:pPr>
      <w:r>
        <w:rPr>
          <w:rFonts w:hint="eastAsia" w:ascii="宋体" w:hAnsi="宋体"/>
          <w:sz w:val="24"/>
        </w:rPr>
        <w:t>2.及时为乙方的工作提供完成项目成果所要求的全部资料，并保证所提供资料的真实性、合法性、有效性、完整性。确保乙方不受限制地接触任何与完成成果工作有关的记录、文件和所需的其他信息。</w:t>
      </w:r>
    </w:p>
    <w:p>
      <w:pPr>
        <w:widowControl/>
        <w:spacing w:line="360" w:lineRule="auto"/>
        <w:ind w:firstLine="480" w:firstLineChars="200"/>
        <w:rPr>
          <w:rFonts w:ascii="宋体" w:hAnsi="宋体"/>
          <w:sz w:val="24"/>
        </w:rPr>
      </w:pPr>
      <w:r>
        <w:rPr>
          <w:rFonts w:hint="eastAsia" w:ascii="宋体" w:hAnsi="宋体"/>
          <w:sz w:val="24"/>
        </w:rPr>
        <w:t>（二）乙方承担的任务与责任</w:t>
      </w:r>
    </w:p>
    <w:p>
      <w:pPr>
        <w:widowControl/>
        <w:spacing w:line="360" w:lineRule="auto"/>
        <w:ind w:firstLine="480" w:firstLineChars="200"/>
        <w:rPr>
          <w:rFonts w:ascii="宋体" w:hAnsi="宋体"/>
          <w:sz w:val="24"/>
        </w:rPr>
      </w:pPr>
      <w:r>
        <w:rPr>
          <w:rFonts w:hint="eastAsia" w:ascii="宋体" w:hAnsi="宋体"/>
          <w:sz w:val="24"/>
        </w:rPr>
        <w:t>1、</w:t>
      </w:r>
      <w:r>
        <w:rPr>
          <w:rFonts w:hint="eastAsia" w:ascii="宋体" w:hAnsi="宋体" w:cs="宋体"/>
          <w:kern w:val="0"/>
          <w:sz w:val="24"/>
          <w:u w:color="000000"/>
        </w:rPr>
        <w:t>乙方通过现场调研，进行资料收集、文献研究、调研、访谈、分析，并最终形成《盐城幼儿师范高等专科学校学科专业群发展规划》，并配合甲方完成申报审批。</w:t>
      </w:r>
    </w:p>
    <w:p>
      <w:pPr>
        <w:widowControl/>
        <w:spacing w:line="360" w:lineRule="auto"/>
        <w:ind w:firstLine="480" w:firstLineChars="200"/>
        <w:rPr>
          <w:rFonts w:ascii="宋体" w:hAnsi="宋体"/>
          <w:sz w:val="24"/>
        </w:rPr>
      </w:pPr>
      <w:r>
        <w:rPr>
          <w:rFonts w:hint="eastAsia" w:ascii="宋体" w:hAnsi="宋体"/>
          <w:sz w:val="24"/>
        </w:rPr>
        <w:t>2、最终检查验收的配合工作。</w:t>
      </w:r>
    </w:p>
    <w:p>
      <w:pPr>
        <w:widowControl/>
        <w:spacing w:line="360" w:lineRule="auto"/>
        <w:ind w:firstLine="480" w:firstLineChars="200"/>
        <w:rPr>
          <w:rFonts w:ascii="宋体" w:hAnsi="宋体" w:cs="宋体"/>
          <w:kern w:val="0"/>
          <w:sz w:val="24"/>
          <w:u w:color="000000"/>
        </w:rPr>
      </w:pPr>
      <w:r>
        <w:rPr>
          <w:rFonts w:hint="eastAsia" w:ascii="宋体" w:hAnsi="宋体"/>
          <w:sz w:val="24"/>
        </w:rPr>
        <w:t>3、项目完成后，乙方提供后续服务，包括：程序解释以及协调项目的政策咨询、技术咨询等</w:t>
      </w:r>
      <w:r>
        <w:rPr>
          <w:rFonts w:hint="eastAsia" w:ascii="宋体" w:hAnsi="宋体" w:cs="宋体"/>
          <w:kern w:val="0"/>
          <w:sz w:val="24"/>
          <w:u w:color="000000"/>
        </w:rPr>
        <w:t>。</w:t>
      </w:r>
    </w:p>
    <w:p>
      <w:pPr>
        <w:widowControl/>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4、乙方不得向第三方泄漏甲方的技术和资料。</w:t>
      </w:r>
    </w:p>
    <w:p>
      <w:pPr>
        <w:widowControl/>
        <w:spacing w:line="360" w:lineRule="auto"/>
        <w:ind w:firstLine="480" w:firstLineChars="200"/>
        <w:rPr>
          <w:rFonts w:ascii="宋体" w:hAnsi="宋体" w:cs="宋体"/>
          <w:kern w:val="0"/>
          <w:sz w:val="24"/>
          <w:u w:color="000000"/>
        </w:rPr>
      </w:pPr>
      <w:r>
        <w:rPr>
          <w:rFonts w:hint="eastAsia" w:ascii="宋体" w:hAnsi="宋体" w:cs="宋体"/>
          <w:kern w:val="0"/>
          <w:sz w:val="24"/>
          <w:u w:color="000000"/>
        </w:rPr>
        <w:t>5、乙方需</w:t>
      </w:r>
      <w:r>
        <w:rPr>
          <w:rFonts w:ascii="宋体" w:hAnsi="宋体" w:cs="宋体"/>
          <w:kern w:val="0"/>
          <w:sz w:val="24"/>
          <w:u w:color="000000"/>
        </w:rPr>
        <w:t>配备高水平研究人员以保障项目有质量完成</w:t>
      </w:r>
      <w:r>
        <w:rPr>
          <w:rFonts w:hint="eastAsia" w:ascii="宋体" w:hAnsi="宋体" w:cs="宋体"/>
          <w:kern w:val="0"/>
          <w:sz w:val="24"/>
          <w:u w:color="000000"/>
        </w:rPr>
        <w:t>，专家团队成员同投标时专家人员响应一览表。原则上团队成员不宜变动，如有特殊原因需调整的，须得到甲方同意。</w:t>
      </w:r>
    </w:p>
    <w:p>
      <w:pPr>
        <w:widowControl/>
        <w:spacing w:line="360" w:lineRule="auto"/>
        <w:ind w:firstLine="602" w:firstLineChars="250"/>
        <w:rPr>
          <w:rFonts w:ascii="宋体" w:hAnsi="宋体"/>
          <w:b/>
          <w:sz w:val="24"/>
        </w:rPr>
      </w:pPr>
      <w:r>
        <w:rPr>
          <w:rFonts w:hint="eastAsia" w:ascii="宋体" w:hAnsi="宋体"/>
          <w:b/>
          <w:sz w:val="24"/>
        </w:rPr>
        <w:t>四、履行期限和方式：</w:t>
      </w:r>
    </w:p>
    <w:p>
      <w:pPr>
        <w:widowControl/>
        <w:spacing w:line="360" w:lineRule="auto"/>
        <w:ind w:firstLine="480" w:firstLineChars="200"/>
        <w:rPr>
          <w:rFonts w:ascii="宋体" w:hAnsi="宋体"/>
          <w:sz w:val="24"/>
        </w:rPr>
      </w:pPr>
      <w:r>
        <w:rPr>
          <w:rFonts w:hint="eastAsia" w:ascii="宋体" w:hAnsi="宋体"/>
          <w:sz w:val="24"/>
        </w:rPr>
        <w:t>合同履行期限：</w:t>
      </w:r>
      <w:r>
        <w:rPr>
          <w:rFonts w:hint="eastAsia" w:ascii="宋体" w:hAnsi="宋体" w:cs="宋体"/>
          <w:sz w:val="24"/>
          <w:szCs w:val="24"/>
        </w:rPr>
        <w:t>2022年7月31日前完成成果交付并通过专家论证。具体时间安排根据甲方要求进行调整。</w:t>
      </w:r>
    </w:p>
    <w:p>
      <w:pPr>
        <w:widowControl/>
        <w:spacing w:line="360" w:lineRule="auto"/>
        <w:ind w:firstLine="480" w:firstLineChars="200"/>
        <w:rPr>
          <w:rFonts w:ascii="宋体" w:hAnsi="宋体"/>
          <w:sz w:val="24"/>
        </w:rPr>
      </w:pPr>
      <w:r>
        <w:rPr>
          <w:rFonts w:hint="eastAsia" w:ascii="宋体" w:hAnsi="宋体"/>
          <w:sz w:val="24"/>
        </w:rPr>
        <w:t>本合同的履行方式：甲方提供有关资料和协作；</w:t>
      </w:r>
      <w:r>
        <w:rPr>
          <w:rFonts w:hint="eastAsia" w:ascii="宋体" w:hAnsi="宋体" w:cs="宋体"/>
          <w:kern w:val="0"/>
          <w:sz w:val="24"/>
          <w:u w:color="000000"/>
        </w:rPr>
        <w:t>乙方完成《盐城幼儿师范高等专科学校学科专业群发展规划》，并配合甲方完成申报审批</w:t>
      </w:r>
      <w:r>
        <w:rPr>
          <w:rFonts w:hint="eastAsia" w:ascii="宋体" w:hAnsi="宋体"/>
          <w:sz w:val="24"/>
        </w:rPr>
        <w:t>。</w:t>
      </w:r>
    </w:p>
    <w:p>
      <w:pPr>
        <w:widowControl/>
        <w:spacing w:line="360" w:lineRule="auto"/>
        <w:ind w:firstLine="482" w:firstLineChars="200"/>
        <w:rPr>
          <w:rFonts w:ascii="宋体" w:hAnsi="宋体"/>
          <w:b/>
          <w:sz w:val="24"/>
        </w:rPr>
      </w:pPr>
      <w:r>
        <w:rPr>
          <w:rFonts w:hint="eastAsia" w:ascii="宋体" w:hAnsi="宋体"/>
          <w:b/>
          <w:sz w:val="24"/>
        </w:rPr>
        <w:t>五、保密条款</w:t>
      </w:r>
    </w:p>
    <w:p>
      <w:pPr>
        <w:widowControl/>
        <w:spacing w:line="360" w:lineRule="auto"/>
        <w:ind w:firstLine="480" w:firstLineChars="200"/>
        <w:rPr>
          <w:rFonts w:ascii="宋体" w:hAnsi="宋体"/>
          <w:sz w:val="24"/>
        </w:rPr>
      </w:pPr>
      <w:r>
        <w:rPr>
          <w:rFonts w:hint="eastAsia" w:ascii="宋体" w:hAnsi="宋体"/>
          <w:sz w:val="24"/>
        </w:rPr>
        <w:t>除非本合同书另有约定，各方应对本合同书的存在及其因签订、履行本协议而取得的所有有关各方的各种形式的任何商业信息、资料及/或文件内容等保密，包括本合同书的任何内容及各方可能有的其他合作事项等。任何一方应限制其雇员、代理人、供应商等仅在为履行本合同书义务所必需时方可获得上述信息。</w:t>
      </w:r>
    </w:p>
    <w:p>
      <w:pPr>
        <w:widowControl/>
        <w:spacing w:line="360" w:lineRule="auto"/>
        <w:ind w:firstLine="482" w:firstLineChars="200"/>
        <w:rPr>
          <w:rFonts w:ascii="宋体" w:hAnsi="宋体"/>
          <w:sz w:val="24"/>
        </w:rPr>
      </w:pPr>
      <w:r>
        <w:rPr>
          <w:rFonts w:hint="eastAsia" w:ascii="宋体" w:hAnsi="宋体"/>
          <w:b/>
          <w:sz w:val="24"/>
        </w:rPr>
        <w:t>六、验收方法</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1）符合国家最新的相关技术规范及标准，工作服务成果文件必须保证通过甲方组织的专家评审和相关主管部门审查通过。</w:t>
      </w:r>
    </w:p>
    <w:p>
      <w:pPr>
        <w:widowControl/>
        <w:spacing w:line="360" w:lineRule="auto"/>
        <w:ind w:firstLine="480" w:firstLineChars="200"/>
        <w:rPr>
          <w:rFonts w:ascii="宋体" w:hAnsi="宋体"/>
          <w:sz w:val="24"/>
        </w:rPr>
      </w:pPr>
      <w:r>
        <w:rPr>
          <w:rFonts w:hint="eastAsia" w:ascii="宋体" w:hAnsi="宋体"/>
          <w:sz w:val="24"/>
        </w:rPr>
        <w:t>2）对项目各项成果资料甲方可聘请有资质的第三方根据有关规定参与最终检查验收。</w:t>
      </w:r>
    </w:p>
    <w:p>
      <w:pPr>
        <w:widowControl/>
        <w:spacing w:line="360" w:lineRule="auto"/>
        <w:ind w:firstLine="482" w:firstLineChars="200"/>
        <w:rPr>
          <w:rFonts w:ascii="宋体" w:hAnsi="宋体"/>
          <w:b/>
          <w:sz w:val="24"/>
        </w:rPr>
      </w:pPr>
      <w:r>
        <w:rPr>
          <w:rFonts w:hint="eastAsia" w:ascii="宋体" w:hAnsi="宋体"/>
          <w:b/>
          <w:sz w:val="24"/>
        </w:rPr>
        <w:t>七、报酬及其支付方式：</w:t>
      </w:r>
    </w:p>
    <w:p>
      <w:pPr>
        <w:autoSpaceDE w:val="0"/>
        <w:autoSpaceDN w:val="0"/>
        <w:adjustRightInd w:val="0"/>
        <w:snapToGrid w:val="0"/>
        <w:spacing w:line="460" w:lineRule="exact"/>
        <w:ind w:firstLine="480" w:firstLineChars="200"/>
        <w:rPr>
          <w:rFonts w:ascii="宋体" w:hAnsi="宋体"/>
          <w:sz w:val="24"/>
        </w:rPr>
      </w:pPr>
      <w:r>
        <w:rPr>
          <w:rFonts w:hint="eastAsia" w:ascii="宋体" w:hAnsi="宋体"/>
          <w:sz w:val="24"/>
        </w:rPr>
        <w:t xml:space="preserve">（一）本项目报酬为：  </w:t>
      </w:r>
      <w:r>
        <w:rPr>
          <w:rFonts w:ascii="宋体" w:hAnsi="宋体"/>
          <w:sz w:val="24"/>
        </w:rPr>
        <w:t> </w:t>
      </w:r>
      <w:r>
        <w:rPr>
          <w:rFonts w:hint="eastAsia" w:ascii="宋体" w:hAnsi="宋体"/>
          <w:sz w:val="24"/>
        </w:rPr>
        <w:t>元整，包括为实施并完成本项目所需的资料搜集及购买的费用（如有的话）、人力成本、材料及设备成本、管理费、利润、税金、外勤等特殊津贴费、规划评审会议经费、规划专家评审费、可报销费用（指规划人员为执行本项目服务任务而发生的工作费用，包括国际与国内交通费旅行费、食宿费、通讯费、各种资料的编制、打印、复印和传递费、办公设备和用品费、为当地提供的设施和服务所付的费用）和不可预见费（指在酬金和可报销费用之外，在执行本规划服务任务的过程中所发生的额外的其它所有费用）等一切费用。</w:t>
      </w:r>
    </w:p>
    <w:p>
      <w:pPr>
        <w:adjustRightInd w:val="0"/>
        <w:snapToGrid w:val="0"/>
        <w:spacing w:line="460" w:lineRule="exact"/>
        <w:ind w:firstLine="480" w:firstLineChars="200"/>
        <w:rPr>
          <w:rFonts w:ascii="宋体" w:hAnsi="宋体"/>
          <w:sz w:val="24"/>
        </w:rPr>
      </w:pPr>
      <w:r>
        <w:rPr>
          <w:rFonts w:ascii="宋体" w:hAnsi="宋体"/>
          <w:sz w:val="24"/>
        </w:rPr>
        <w:t>因新冠肺炎疫情防控造成的</w:t>
      </w:r>
      <w:r>
        <w:rPr>
          <w:rFonts w:hint="eastAsia" w:ascii="宋体" w:hAnsi="宋体"/>
          <w:sz w:val="24"/>
        </w:rPr>
        <w:t>乙方</w:t>
      </w:r>
      <w:r>
        <w:rPr>
          <w:rFonts w:ascii="宋体" w:hAnsi="宋体"/>
          <w:sz w:val="24"/>
        </w:rPr>
        <w:t>损失以及现场疫情防控的费用支出等均由</w:t>
      </w:r>
      <w:r>
        <w:rPr>
          <w:rFonts w:hint="eastAsia" w:ascii="宋体" w:hAnsi="宋体"/>
          <w:sz w:val="24"/>
        </w:rPr>
        <w:t>乙方</w:t>
      </w:r>
      <w:r>
        <w:rPr>
          <w:rFonts w:ascii="宋体" w:hAnsi="宋体"/>
          <w:sz w:val="24"/>
        </w:rPr>
        <w:t>承担，结算时不再增加相关费用。</w:t>
      </w:r>
    </w:p>
    <w:p>
      <w:pPr>
        <w:widowControl/>
        <w:spacing w:line="360" w:lineRule="auto"/>
        <w:ind w:firstLine="480" w:firstLineChars="200"/>
        <w:rPr>
          <w:rFonts w:ascii="宋体" w:hAnsi="宋体"/>
          <w:sz w:val="24"/>
        </w:rPr>
      </w:pPr>
      <w:r>
        <w:rPr>
          <w:rFonts w:hint="eastAsia" w:ascii="宋体" w:hAnsi="宋体"/>
          <w:sz w:val="24"/>
        </w:rPr>
        <w:t>（二）支付方式：</w:t>
      </w:r>
    </w:p>
    <w:p>
      <w:pPr>
        <w:widowControl/>
        <w:spacing w:line="360" w:lineRule="auto"/>
        <w:ind w:firstLine="480" w:firstLineChars="200"/>
        <w:rPr>
          <w:rFonts w:ascii="宋体" w:hAnsi="宋体"/>
          <w:sz w:val="24"/>
        </w:rPr>
      </w:pPr>
      <w:r>
        <w:rPr>
          <w:rFonts w:hint="eastAsia" w:ascii="宋体" w:hAnsi="宋体" w:cs="宋体"/>
          <w:kern w:val="0"/>
          <w:sz w:val="24"/>
          <w:u w:color="000000"/>
        </w:rPr>
        <w:t>合同签订后，支付壹拾万元作为预付款，咨询成果按规定时间完成，并通过甲方要求的相关验收后，支付余款。</w:t>
      </w:r>
      <w:r>
        <w:rPr>
          <w:rFonts w:ascii="宋体" w:hAnsi="宋体"/>
          <w:sz w:val="24"/>
        </w:rPr>
        <w:t> </w:t>
      </w:r>
    </w:p>
    <w:p>
      <w:pPr>
        <w:widowControl/>
        <w:spacing w:line="360" w:lineRule="auto"/>
        <w:ind w:firstLine="480" w:firstLineChars="200"/>
        <w:rPr>
          <w:rFonts w:ascii="宋体" w:hAnsi="宋体"/>
          <w:sz w:val="24"/>
        </w:rPr>
      </w:pPr>
      <w:r>
        <w:rPr>
          <w:rFonts w:hint="eastAsia" w:ascii="宋体" w:hAnsi="宋体"/>
          <w:sz w:val="24"/>
        </w:rPr>
        <w:t>八、知识产权</w:t>
      </w:r>
    </w:p>
    <w:p>
      <w:pPr>
        <w:spacing w:line="360" w:lineRule="auto"/>
        <w:ind w:firstLine="480" w:firstLineChars="200"/>
        <w:rPr>
          <w:rFonts w:ascii="宋体" w:hAnsi="宋体"/>
          <w:sz w:val="24"/>
        </w:rPr>
      </w:pPr>
      <w:r>
        <w:rPr>
          <w:rFonts w:hint="eastAsia" w:ascii="宋体" w:hAnsi="宋体"/>
          <w:sz w:val="24"/>
        </w:rPr>
        <w:t>1、乙方提交的所有工作成果，其知识产权归甲方所有，但乙方仍享有署名权，同时在不损害甲方利益，且经甲方同意的前提下，乙方可在其对外宣传中部分引用其对本项目的规划成果。</w:t>
      </w:r>
    </w:p>
    <w:p>
      <w:pPr>
        <w:spacing w:line="360" w:lineRule="auto"/>
        <w:ind w:firstLine="480" w:firstLineChars="200"/>
        <w:rPr>
          <w:rFonts w:ascii="宋体" w:hAnsi="宋体"/>
          <w:sz w:val="24"/>
        </w:rPr>
      </w:pPr>
      <w:r>
        <w:rPr>
          <w:rFonts w:hint="eastAsia" w:ascii="宋体" w:hAnsi="宋体"/>
          <w:sz w:val="24"/>
        </w:rPr>
        <w:t>2、乙方确保其履行本合同（包括但不限于提交的任何资料、文件、成果）未侵犯第三方合法权利，并保证甲方免受任何第三方的索赔或诉讼。因违反本条产生的一切纠纷，由乙方负责解决，并承担全部赔偿责任。</w:t>
      </w:r>
    </w:p>
    <w:p>
      <w:pPr>
        <w:widowControl/>
        <w:spacing w:line="360" w:lineRule="auto"/>
        <w:ind w:firstLine="482" w:firstLineChars="200"/>
        <w:rPr>
          <w:rFonts w:ascii="宋体" w:hAnsi="宋体"/>
          <w:b/>
          <w:sz w:val="24"/>
        </w:rPr>
      </w:pPr>
      <w:r>
        <w:rPr>
          <w:rFonts w:hint="eastAsia" w:ascii="宋体" w:hAnsi="宋体"/>
          <w:b/>
          <w:sz w:val="24"/>
        </w:rPr>
        <w:t>九、违约责任：</w:t>
      </w:r>
    </w:p>
    <w:p>
      <w:pPr>
        <w:spacing w:line="360" w:lineRule="auto"/>
        <w:ind w:firstLine="480" w:firstLineChars="200"/>
        <w:rPr>
          <w:rFonts w:ascii="宋体" w:hAnsi="宋体"/>
          <w:sz w:val="24"/>
        </w:rPr>
      </w:pPr>
      <w:r>
        <w:rPr>
          <w:rFonts w:hint="eastAsia" w:ascii="宋体" w:hAnsi="宋体"/>
          <w:sz w:val="24"/>
        </w:rPr>
        <w:t>1、甲、乙双方应认真履行合同，由于某一方的过失使合同不能履行或造成其它后果的，由过失方承担责任；如在项目实施过程中，乙方违约情节严重，甲方有权终止合同，由此造成甲方的经济损失由乙方承担。如属双方过失，则根据各自过失的大小，分别承担相应的责任。</w:t>
      </w:r>
    </w:p>
    <w:p>
      <w:pPr>
        <w:spacing w:line="360" w:lineRule="auto"/>
        <w:ind w:firstLine="480" w:firstLineChars="200"/>
        <w:rPr>
          <w:rFonts w:ascii="宋体" w:hAnsi="宋体"/>
          <w:sz w:val="24"/>
        </w:rPr>
      </w:pPr>
      <w:r>
        <w:rPr>
          <w:rFonts w:hint="eastAsia" w:ascii="宋体" w:hAnsi="宋体"/>
          <w:sz w:val="24"/>
        </w:rPr>
        <w:t>2、由于不可抗力造成合同不能履行时，遭受不可抗力影响的一方应采取积极的措施，并向另一方书面说明，就此情况下造成的合同延期履行、中止或提前终止，甲、乙双方均不承担责任。如造成任何一方损失的，则由损失方自理。</w:t>
      </w:r>
    </w:p>
    <w:p>
      <w:pPr>
        <w:widowControl/>
        <w:spacing w:line="360" w:lineRule="auto"/>
        <w:ind w:firstLine="480" w:firstLineChars="200"/>
        <w:rPr>
          <w:rFonts w:ascii="宋体" w:hAnsi="宋体"/>
          <w:sz w:val="24"/>
        </w:rPr>
      </w:pPr>
      <w:r>
        <w:rPr>
          <w:rFonts w:hint="eastAsia" w:ascii="宋体" w:hAnsi="宋体"/>
          <w:sz w:val="24"/>
        </w:rPr>
        <w:t>3、若甲方未及时支付合同价款或未及时满足工作条件，乙方有权推迟或终止合同，直至甲方恢复本合同约定条款。</w:t>
      </w:r>
      <w:r>
        <w:rPr>
          <w:rFonts w:ascii="宋体" w:hAnsi="宋体"/>
          <w:sz w:val="24"/>
        </w:rPr>
        <w:t xml:space="preserve">  </w:t>
      </w:r>
    </w:p>
    <w:p>
      <w:pPr>
        <w:widowControl/>
        <w:spacing w:line="360" w:lineRule="auto"/>
        <w:ind w:firstLine="480" w:firstLineChars="200"/>
        <w:rPr>
          <w:rFonts w:ascii="宋体" w:hAnsi="宋体"/>
          <w:sz w:val="24"/>
        </w:rPr>
      </w:pPr>
      <w:r>
        <w:rPr>
          <w:rFonts w:hint="eastAsia" w:ascii="宋体" w:hAnsi="宋体"/>
          <w:sz w:val="24"/>
        </w:rPr>
        <w:t>4、若乙方未达到约定要求，甲方有权要求乙方无条件整改，直到达到约定要求。</w:t>
      </w:r>
    </w:p>
    <w:p>
      <w:pPr>
        <w:widowControl/>
        <w:spacing w:line="360" w:lineRule="auto"/>
        <w:ind w:firstLine="480" w:firstLineChars="200"/>
        <w:rPr>
          <w:rFonts w:ascii="宋体" w:hAnsi="宋体"/>
          <w:sz w:val="24"/>
        </w:rPr>
      </w:pPr>
      <w:r>
        <w:rPr>
          <w:rFonts w:hint="eastAsia" w:ascii="宋体" w:hAnsi="宋体"/>
          <w:sz w:val="24"/>
        </w:rPr>
        <w:t>5、在执行合同期限内，除不可抗力事件造成不能履行合同外，违约方应承担违约责任，质量违约金额按合同金额的3%计算，误期违约金按2000元/天计算，上限为合同价5%。</w:t>
      </w:r>
    </w:p>
    <w:p>
      <w:pPr>
        <w:widowControl/>
        <w:spacing w:line="360" w:lineRule="auto"/>
        <w:ind w:firstLine="480" w:firstLineChars="200"/>
        <w:rPr>
          <w:rFonts w:ascii="宋体" w:hAnsi="宋体"/>
          <w:sz w:val="24"/>
        </w:rPr>
      </w:pPr>
      <w:r>
        <w:rPr>
          <w:rFonts w:hint="eastAsia" w:ascii="宋体" w:hAnsi="宋体"/>
          <w:sz w:val="24"/>
        </w:rPr>
        <w:t>6、合同约定外的甲、乙双方的违约责任按照《中华人民共和国民法典》的规定处理。</w:t>
      </w:r>
    </w:p>
    <w:p>
      <w:pPr>
        <w:spacing w:line="360" w:lineRule="auto"/>
        <w:ind w:firstLine="482" w:firstLineChars="200"/>
        <w:rPr>
          <w:rFonts w:ascii="宋体" w:hAnsi="宋体" w:cs="宋体"/>
          <w:b/>
          <w:sz w:val="24"/>
          <w:szCs w:val="24"/>
        </w:rPr>
      </w:pPr>
      <w:r>
        <w:rPr>
          <w:rFonts w:hint="eastAsia" w:ascii="宋体" w:hAnsi="宋体" w:cs="宋体"/>
          <w:b/>
          <w:sz w:val="24"/>
          <w:szCs w:val="24"/>
        </w:rPr>
        <w:t>十、不可抗力事件处理</w:t>
      </w:r>
    </w:p>
    <w:p>
      <w:pPr>
        <w:spacing w:line="360" w:lineRule="auto"/>
        <w:ind w:firstLine="480" w:firstLineChars="200"/>
        <w:rPr>
          <w:rFonts w:ascii="宋体" w:hAnsi="宋体" w:cs="宋体"/>
          <w:sz w:val="24"/>
          <w:szCs w:val="24"/>
        </w:rPr>
      </w:pPr>
      <w:r>
        <w:rPr>
          <w:rFonts w:hint="eastAsia" w:ascii="宋体" w:hAnsi="宋体" w:cs="宋体"/>
          <w:sz w:val="24"/>
          <w:szCs w:val="24"/>
        </w:rPr>
        <w:t>1、在合同有效期内，任何一方因不可抗力事件导致不能履行合同，则合同履行期可延长，其延长期与不可抗力影响期相同。</w:t>
      </w:r>
    </w:p>
    <w:p>
      <w:pPr>
        <w:spacing w:line="360" w:lineRule="auto"/>
        <w:ind w:firstLine="480" w:firstLineChars="200"/>
        <w:rPr>
          <w:rFonts w:ascii="宋体" w:hAnsi="宋体" w:cs="宋体"/>
          <w:sz w:val="24"/>
          <w:szCs w:val="24"/>
        </w:rPr>
      </w:pPr>
      <w:r>
        <w:rPr>
          <w:rFonts w:hint="eastAsia" w:ascii="宋体" w:hAnsi="宋体" w:cs="宋体"/>
          <w:sz w:val="24"/>
          <w:szCs w:val="24"/>
        </w:rPr>
        <w:t>2、不可抗力事件发生后，应立即通知对方，并寄送有关权威机构出具的证明。</w:t>
      </w:r>
    </w:p>
    <w:p>
      <w:pPr>
        <w:spacing w:line="360" w:lineRule="auto"/>
        <w:ind w:firstLine="480" w:firstLineChars="200"/>
        <w:rPr>
          <w:rFonts w:ascii="宋体" w:hAnsi="宋体" w:cs="宋体"/>
          <w:sz w:val="24"/>
          <w:szCs w:val="24"/>
        </w:rPr>
      </w:pPr>
      <w:r>
        <w:rPr>
          <w:rFonts w:hint="eastAsia" w:ascii="宋体" w:hAnsi="宋体" w:cs="宋体"/>
          <w:sz w:val="24"/>
          <w:szCs w:val="24"/>
        </w:rPr>
        <w:t>3、不可抗力事件延续120天以上，双方应通过友好协商，确定是否继续履行合同。</w:t>
      </w:r>
    </w:p>
    <w:p>
      <w:pPr>
        <w:spacing w:line="360" w:lineRule="auto"/>
        <w:ind w:firstLine="482" w:firstLineChars="200"/>
        <w:rPr>
          <w:rFonts w:ascii="宋体" w:hAnsi="宋体" w:cs="宋体"/>
          <w:b/>
          <w:sz w:val="24"/>
          <w:szCs w:val="24"/>
        </w:rPr>
      </w:pPr>
      <w:r>
        <w:rPr>
          <w:rFonts w:hint="eastAsia" w:ascii="宋体" w:hAnsi="宋体" w:cs="宋体"/>
          <w:b/>
          <w:sz w:val="24"/>
          <w:szCs w:val="24"/>
        </w:rPr>
        <w:t>十、争议的解决</w:t>
      </w:r>
    </w:p>
    <w:p>
      <w:pPr>
        <w:spacing w:line="360" w:lineRule="auto"/>
        <w:ind w:firstLine="480" w:firstLineChars="200"/>
        <w:rPr>
          <w:rFonts w:ascii="宋体" w:hAnsi="宋体" w:cs="宋体"/>
          <w:sz w:val="24"/>
          <w:szCs w:val="24"/>
        </w:rPr>
      </w:pPr>
      <w:r>
        <w:rPr>
          <w:rFonts w:hint="eastAsia" w:ascii="宋体" w:hAnsi="宋体" w:cs="宋体"/>
          <w:sz w:val="24"/>
          <w:szCs w:val="24"/>
        </w:rPr>
        <w:t>双方在执行合同中所发生的一切争议，应通过协商解决。如协商不成，由甲方驻所在地人民法院处理。</w:t>
      </w:r>
    </w:p>
    <w:p>
      <w:pPr>
        <w:spacing w:line="360" w:lineRule="auto"/>
        <w:ind w:firstLine="482" w:firstLineChars="200"/>
        <w:rPr>
          <w:rFonts w:ascii="宋体" w:hAnsi="宋体" w:cs="宋体"/>
          <w:b/>
          <w:sz w:val="24"/>
          <w:szCs w:val="24"/>
        </w:rPr>
      </w:pPr>
      <w:r>
        <w:rPr>
          <w:rFonts w:hint="eastAsia" w:ascii="宋体" w:hAnsi="宋体" w:cs="宋体"/>
          <w:b/>
          <w:sz w:val="24"/>
          <w:szCs w:val="24"/>
        </w:rPr>
        <w:t>十一、合同生效及其它</w:t>
      </w:r>
    </w:p>
    <w:p>
      <w:pPr>
        <w:spacing w:line="360" w:lineRule="auto"/>
        <w:ind w:firstLine="480" w:firstLineChars="200"/>
        <w:rPr>
          <w:rFonts w:ascii="宋体" w:hAnsi="宋体" w:cs="宋体"/>
          <w:sz w:val="24"/>
          <w:szCs w:val="24"/>
        </w:rPr>
      </w:pPr>
      <w:r>
        <w:rPr>
          <w:rFonts w:hint="eastAsia" w:ascii="宋体" w:hAnsi="宋体" w:cs="宋体"/>
          <w:sz w:val="24"/>
          <w:szCs w:val="24"/>
        </w:rPr>
        <w:t>1、合同经双方法定代表人或授权委托人签字并加盖单位公章后生效。</w:t>
      </w:r>
    </w:p>
    <w:p>
      <w:pPr>
        <w:spacing w:line="360" w:lineRule="auto"/>
        <w:ind w:firstLine="480" w:firstLineChars="200"/>
        <w:rPr>
          <w:rFonts w:ascii="宋体" w:hAnsi="宋体" w:cs="宋体"/>
          <w:sz w:val="24"/>
          <w:szCs w:val="24"/>
        </w:rPr>
      </w:pPr>
      <w:r>
        <w:rPr>
          <w:rFonts w:hint="eastAsia" w:ascii="宋体" w:hAnsi="宋体" w:cs="宋体"/>
          <w:sz w:val="24"/>
          <w:szCs w:val="24"/>
        </w:rPr>
        <w:t>2、采购招标文件和乙方的投标文件中被甲方认可的部分为本合同的不可分割的组成部分，与本合同具有同样效力。</w:t>
      </w:r>
    </w:p>
    <w:p>
      <w:pPr>
        <w:spacing w:line="360" w:lineRule="auto"/>
        <w:ind w:firstLine="480" w:firstLineChars="200"/>
        <w:rPr>
          <w:rFonts w:ascii="宋体" w:hAnsi="宋体" w:cs="宋体"/>
          <w:sz w:val="24"/>
          <w:szCs w:val="24"/>
        </w:rPr>
      </w:pPr>
      <w:r>
        <w:rPr>
          <w:rFonts w:hint="eastAsia" w:ascii="宋体" w:hAnsi="宋体" w:cs="宋体"/>
          <w:sz w:val="24"/>
          <w:szCs w:val="24"/>
        </w:rPr>
        <w:t>3、本合同未注明事项，标书中有规定的，按标书中的规定处理，没有规定的，按照国家的有关规定处理。</w:t>
      </w:r>
    </w:p>
    <w:p>
      <w:pPr>
        <w:spacing w:line="360" w:lineRule="auto"/>
        <w:ind w:firstLine="480" w:firstLineChars="200"/>
        <w:rPr>
          <w:rFonts w:ascii="宋体" w:hAnsi="宋体" w:cs="宋体"/>
          <w:sz w:val="24"/>
          <w:szCs w:val="24"/>
        </w:rPr>
      </w:pPr>
      <w:r>
        <w:rPr>
          <w:rFonts w:hint="eastAsia" w:ascii="宋体" w:hAnsi="宋体" w:cs="宋体"/>
          <w:sz w:val="24"/>
          <w:szCs w:val="24"/>
        </w:rPr>
        <w:t>4、本合同一式四份，合同双方各两份。</w:t>
      </w:r>
    </w:p>
    <w:p>
      <w:pPr>
        <w:spacing w:line="360" w:lineRule="auto"/>
        <w:ind w:firstLine="480" w:firstLineChars="200"/>
        <w:rPr>
          <w:rFonts w:ascii="宋体" w:hAnsi="宋体" w:cs="宋体"/>
          <w:sz w:val="24"/>
          <w:szCs w:val="24"/>
        </w:rPr>
      </w:pPr>
      <w:r>
        <w:rPr>
          <w:rFonts w:hint="eastAsia" w:ascii="宋体" w:hAnsi="宋体" w:cs="宋体"/>
          <w:sz w:val="24"/>
          <w:szCs w:val="24"/>
        </w:rPr>
        <w:t>5、本合同自签订之日起生效。</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本合同签订日期:     年    月    日。 </w:t>
      </w:r>
    </w:p>
    <w:p>
      <w:pPr>
        <w:spacing w:line="360" w:lineRule="auto"/>
        <w:ind w:firstLine="480" w:firstLineChars="200"/>
        <w:rPr>
          <w:rFonts w:ascii="宋体" w:hAnsi="宋体" w:cs="宋体"/>
          <w:sz w:val="24"/>
          <w:szCs w:val="24"/>
        </w:rPr>
      </w:pPr>
      <w:r>
        <w:rPr>
          <w:rFonts w:hint="eastAsia" w:ascii="宋体" w:hAnsi="宋体" w:cs="宋体"/>
          <w:sz w:val="24"/>
          <w:szCs w:val="24"/>
        </w:rPr>
        <w:t>本合同签订地点:</w:t>
      </w:r>
    </w:p>
    <w:p>
      <w:pPr>
        <w:spacing w:line="560" w:lineRule="exact"/>
        <w:ind w:firstLine="480" w:firstLineChars="200"/>
        <w:rPr>
          <w:rFonts w:ascii="宋体" w:hAnsi="宋体"/>
          <w:color w:val="000000"/>
          <w:sz w:val="24"/>
          <w:szCs w:val="24"/>
        </w:rPr>
      </w:pP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甲方（盖章）：                      乙方（盖章）：</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地址：                               地址：</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法定代表人或授权委托人：             法定代表人或授权委托人：</w:t>
      </w:r>
    </w:p>
    <w:p>
      <w:pPr>
        <w:widowControl/>
        <w:jc w:val="left"/>
      </w:pPr>
    </w:p>
    <w:p>
      <w:pPr>
        <w:pStyle w:val="2"/>
        <w:ind w:firstLine="480" w:firstLineChars="200"/>
      </w:pPr>
      <w:r>
        <w:rPr>
          <w:rFonts w:hint="eastAsia"/>
        </w:rPr>
        <w:t>联系电话：</w:t>
      </w:r>
    </w:p>
    <w:p>
      <w:pPr>
        <w:pStyle w:val="2"/>
        <w:ind w:firstLine="480" w:firstLineChars="200"/>
      </w:pPr>
    </w:p>
    <w:p>
      <w:pPr>
        <w:pStyle w:val="2"/>
        <w:ind w:firstLine="480" w:firstLineChars="200"/>
      </w:pPr>
      <w:r>
        <w:rPr>
          <w:rFonts w:hint="eastAsia"/>
        </w:rPr>
        <w:t>组织机构代码：</w:t>
      </w:r>
    </w:p>
    <w:p>
      <w:pPr>
        <w:pStyle w:val="2"/>
        <w:ind w:firstLine="480" w:firstLineChars="200"/>
      </w:pPr>
    </w:p>
    <w:p>
      <w:pPr>
        <w:pStyle w:val="2"/>
        <w:ind w:firstLine="480" w:firstLineChars="200"/>
      </w:pPr>
      <w:r>
        <w:rPr>
          <w:rFonts w:hint="eastAsia"/>
        </w:rPr>
        <w:t>开户银行及账号：</w:t>
      </w:r>
    </w:p>
    <w:p>
      <w:pPr>
        <w:pStyle w:val="2"/>
      </w:pPr>
    </w:p>
    <w:p>
      <w:pPr>
        <w:pStyle w:val="2"/>
        <w:ind w:firstLine="4800" w:firstLineChars="2000"/>
        <w:sectPr>
          <w:footerReference r:id="rId4" w:type="default"/>
          <w:pgSz w:w="11906" w:h="16838"/>
          <w:pgMar w:top="1531" w:right="1474" w:bottom="1418" w:left="1474" w:header="851" w:footer="992" w:gutter="0"/>
          <w:pgNumType w:start="1"/>
          <w:cols w:space="720" w:num="1"/>
          <w:docGrid w:type="lines" w:linePitch="312" w:charSpace="0"/>
        </w:sectPr>
      </w:pPr>
    </w:p>
    <w:p>
      <w:pPr>
        <w:pStyle w:val="25"/>
        <w:pageBreakBefore/>
        <w:numPr>
          <w:ilvl w:val="0"/>
          <w:numId w:val="1"/>
        </w:numPr>
        <w:snapToGrid w:val="0"/>
        <w:jc w:val="center"/>
        <w:rPr>
          <w:rFonts w:ascii="黑体" w:hAnsi="黑体" w:eastAsia="黑体"/>
          <w:bCs/>
          <w:kern w:val="44"/>
          <w:sz w:val="36"/>
          <w:szCs w:val="36"/>
        </w:rPr>
      </w:pPr>
      <w:r>
        <w:rPr>
          <w:rFonts w:ascii="黑体" w:hAnsi="黑体" w:eastAsia="黑体"/>
          <w:bCs/>
          <w:kern w:val="44"/>
          <w:sz w:val="36"/>
          <w:szCs w:val="36"/>
        </w:rPr>
        <w:t xml:space="preserve"> 响应性文件格式</w:t>
      </w:r>
    </w:p>
    <w:p>
      <w:pPr>
        <w:spacing w:line="360" w:lineRule="auto"/>
        <w:jc w:val="center"/>
        <w:rPr>
          <w:b/>
          <w:sz w:val="72"/>
        </w:rPr>
      </w:pPr>
    </w:p>
    <w:p>
      <w:pPr>
        <w:spacing w:line="360" w:lineRule="auto"/>
        <w:jc w:val="center"/>
        <w:rPr>
          <w:b/>
          <w:sz w:val="72"/>
        </w:rPr>
      </w:pPr>
    </w:p>
    <w:p>
      <w:pPr>
        <w:spacing w:line="360" w:lineRule="auto"/>
        <w:jc w:val="center"/>
        <w:rPr>
          <w:b/>
          <w:sz w:val="72"/>
        </w:rPr>
      </w:pPr>
      <w:r>
        <w:rPr>
          <w:rFonts w:hint="eastAsia"/>
          <w:b/>
          <w:sz w:val="72"/>
        </w:rPr>
        <w:t>单一来源采购</w:t>
      </w:r>
      <w:r>
        <w:rPr>
          <w:b/>
          <w:sz w:val="72"/>
        </w:rPr>
        <w:t>投标文件</w:t>
      </w:r>
    </w:p>
    <w:p>
      <w:pPr>
        <w:spacing w:line="360" w:lineRule="auto"/>
        <w:jc w:val="center"/>
        <w:rPr>
          <w:sz w:val="52"/>
          <w:szCs w:val="52"/>
        </w:rPr>
      </w:pPr>
      <w:r>
        <w:rPr>
          <w:rFonts w:hint="eastAsia"/>
          <w:b/>
          <w:sz w:val="52"/>
          <w:szCs w:val="52"/>
        </w:rPr>
        <w:t>（正本或副本）</w:t>
      </w:r>
    </w:p>
    <w:p>
      <w:pPr>
        <w:spacing w:line="360" w:lineRule="auto"/>
      </w:pPr>
    </w:p>
    <w:p>
      <w:pPr>
        <w:spacing w:line="360" w:lineRule="auto"/>
        <w:rPr>
          <w:sz w:val="30"/>
        </w:rPr>
      </w:pPr>
    </w:p>
    <w:p>
      <w:pPr>
        <w:pStyle w:val="2"/>
      </w:pPr>
    </w:p>
    <w:p>
      <w:pPr>
        <w:pStyle w:val="2"/>
      </w:pPr>
    </w:p>
    <w:p>
      <w:pPr>
        <w:spacing w:line="360" w:lineRule="auto"/>
        <w:ind w:firstLine="1446" w:firstLineChars="400"/>
        <w:rPr>
          <w:b/>
          <w:sz w:val="36"/>
        </w:rPr>
      </w:pPr>
      <w:r>
        <w:rPr>
          <w:b/>
          <w:sz w:val="36"/>
        </w:rPr>
        <w:t>项目名称：</w:t>
      </w:r>
    </w:p>
    <w:p>
      <w:pPr>
        <w:spacing w:line="360" w:lineRule="auto"/>
        <w:ind w:firstLine="1446" w:firstLineChars="400"/>
        <w:rPr>
          <w:b/>
          <w:sz w:val="36"/>
        </w:rPr>
      </w:pPr>
      <w:r>
        <w:rPr>
          <w:b/>
          <w:sz w:val="36"/>
        </w:rPr>
        <w:t>项目编号：</w:t>
      </w:r>
    </w:p>
    <w:p>
      <w:pPr>
        <w:rPr>
          <w:sz w:val="36"/>
        </w:rPr>
      </w:pPr>
    </w:p>
    <w:p>
      <w:pPr>
        <w:rPr>
          <w:b/>
          <w:sz w:val="36"/>
        </w:rPr>
      </w:pPr>
    </w:p>
    <w:p>
      <w:pPr>
        <w:pStyle w:val="2"/>
        <w:rPr>
          <w:b/>
          <w:sz w:val="36"/>
        </w:rPr>
      </w:pPr>
    </w:p>
    <w:p>
      <w:pPr>
        <w:pStyle w:val="2"/>
        <w:rPr>
          <w:b/>
          <w:sz w:val="36"/>
        </w:rPr>
      </w:pPr>
    </w:p>
    <w:p>
      <w:pPr>
        <w:pStyle w:val="2"/>
        <w:rPr>
          <w:b/>
          <w:sz w:val="36"/>
        </w:rPr>
      </w:pPr>
    </w:p>
    <w:p>
      <w:pPr>
        <w:pStyle w:val="2"/>
        <w:rPr>
          <w:b/>
          <w:sz w:val="36"/>
        </w:rPr>
      </w:pPr>
    </w:p>
    <w:p>
      <w:pPr>
        <w:spacing w:line="360" w:lineRule="auto"/>
        <w:ind w:firstLine="3957" w:firstLineChars="1095"/>
        <w:rPr>
          <w:sz w:val="36"/>
        </w:rPr>
      </w:pPr>
      <w:r>
        <w:rPr>
          <w:b/>
          <w:sz w:val="36"/>
        </w:rPr>
        <w:t>投标人（盖章）：</w:t>
      </w:r>
    </w:p>
    <w:p>
      <w:pPr>
        <w:spacing w:line="360" w:lineRule="auto"/>
        <w:jc w:val="center"/>
        <w:rPr>
          <w:b/>
          <w:sz w:val="36"/>
        </w:rPr>
      </w:pPr>
      <w:r>
        <w:rPr>
          <w:b/>
          <w:sz w:val="36"/>
        </w:rPr>
        <w:t>法人签名</w:t>
      </w:r>
      <w:r>
        <w:rPr>
          <w:rFonts w:hint="eastAsia"/>
          <w:b/>
          <w:sz w:val="36"/>
        </w:rPr>
        <w:t>：</w:t>
      </w:r>
    </w:p>
    <w:p>
      <w:pPr>
        <w:spacing w:line="360" w:lineRule="auto"/>
        <w:jc w:val="center"/>
        <w:rPr>
          <w:rFonts w:ascii="黑体" w:hAnsi="黑体" w:eastAsia="黑体"/>
          <w:bCs/>
          <w:kern w:val="44"/>
          <w:sz w:val="36"/>
          <w:szCs w:val="36"/>
        </w:rPr>
      </w:pPr>
      <w:r>
        <w:rPr>
          <w:b/>
          <w:sz w:val="36"/>
        </w:rPr>
        <w:t>年月日</w:t>
      </w: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p>
    <w:p>
      <w:pPr>
        <w:spacing w:line="312" w:lineRule="auto"/>
        <w:jc w:val="center"/>
        <w:rPr>
          <w:rFonts w:ascii="黑体" w:hAnsi="Arial" w:eastAsia="黑体"/>
          <w:sz w:val="30"/>
          <w:szCs w:val="30"/>
        </w:rPr>
      </w:pPr>
      <w:r>
        <w:rPr>
          <w:rFonts w:hint="eastAsia" w:ascii="黑体" w:hAnsi="Arial" w:eastAsia="黑体"/>
          <w:sz w:val="30"/>
          <w:szCs w:val="30"/>
        </w:rPr>
        <w:t>一、投 标 函 （格 式）</w:t>
      </w:r>
    </w:p>
    <w:p>
      <w:pPr>
        <w:pStyle w:val="81"/>
        <w:snapToGrid w:val="0"/>
        <w:spacing w:before="0" w:after="0"/>
        <w:ind w:firstLine="0"/>
        <w:rPr>
          <w:b/>
          <w:bCs/>
          <w:sz w:val="32"/>
          <w:szCs w:val="32"/>
        </w:rPr>
      </w:pPr>
      <w:r>
        <w:rPr>
          <w:rFonts w:hint="eastAsia" w:ascii="宋体" w:hAnsi="宋体"/>
        </w:rPr>
        <w:t>致：盐城幼儿师范高等专科学校</w:t>
      </w:r>
    </w:p>
    <w:p>
      <w:pPr>
        <w:pStyle w:val="81"/>
        <w:snapToGrid w:val="0"/>
        <w:spacing w:before="0" w:after="0"/>
        <w:ind w:firstLine="477" w:firstLineChars="199"/>
        <w:rPr>
          <w:rFonts w:ascii="宋体" w:hAnsi="宋体"/>
          <w:kern w:val="2"/>
        </w:rPr>
      </w:pPr>
      <w:r>
        <w:rPr>
          <w:rFonts w:hint="eastAsia" w:ascii="宋体" w:hAnsi="宋体"/>
          <w:kern w:val="2"/>
        </w:rPr>
        <w:t>根据贵方的_________号采购招标文件，正式授权下述签字人__________ (姓名和职务)代表我方___________（投标人的名称），全权处理本次项目投标的有关事宜。并据此函，兹宣布同意如下：</w:t>
      </w:r>
    </w:p>
    <w:p>
      <w:pPr>
        <w:pStyle w:val="81"/>
        <w:snapToGrid w:val="0"/>
        <w:spacing w:before="0" w:after="0"/>
        <w:ind w:firstLineChars="200"/>
        <w:rPr>
          <w:rFonts w:ascii="宋体" w:hAnsi="宋体"/>
          <w:kern w:val="2"/>
        </w:rPr>
      </w:pPr>
      <w:r>
        <w:rPr>
          <w:rFonts w:hint="eastAsia" w:ascii="宋体" w:hAnsi="宋体"/>
          <w:kern w:val="2"/>
        </w:rPr>
        <w:t>1.按招标文件规定的各项要求，向买方提供所需货物与服务。</w:t>
      </w:r>
    </w:p>
    <w:p>
      <w:pPr>
        <w:pStyle w:val="81"/>
        <w:snapToGrid w:val="0"/>
        <w:spacing w:before="0" w:after="0"/>
        <w:ind w:firstLineChars="200"/>
        <w:rPr>
          <w:rFonts w:ascii="宋体" w:hAnsi="宋体"/>
          <w:kern w:val="2"/>
        </w:rPr>
      </w:pPr>
      <w:r>
        <w:rPr>
          <w:rFonts w:hint="eastAsia" w:ascii="宋体" w:hAnsi="宋体"/>
          <w:kern w:val="2"/>
        </w:rPr>
        <w:t>2.我们完全理解贵方不一定将合同授予最低报价的投标人。</w:t>
      </w:r>
    </w:p>
    <w:p>
      <w:pPr>
        <w:pStyle w:val="81"/>
        <w:snapToGrid w:val="0"/>
        <w:spacing w:before="0" w:after="0"/>
        <w:ind w:firstLineChars="200"/>
        <w:rPr>
          <w:rFonts w:ascii="宋体" w:hAnsi="宋体"/>
          <w:kern w:val="2"/>
        </w:rPr>
      </w:pPr>
      <w:r>
        <w:rPr>
          <w:rFonts w:hint="eastAsia" w:ascii="宋体" w:hAnsi="宋体"/>
          <w:kern w:val="2"/>
        </w:rPr>
        <w:t>3.我们已详细审核全部招标文件及其有效补充文件，我们知道必须放弃提出含糊不清或误解问题的权利。</w:t>
      </w:r>
    </w:p>
    <w:p>
      <w:pPr>
        <w:pStyle w:val="81"/>
        <w:snapToGrid w:val="0"/>
        <w:spacing w:before="0" w:after="0"/>
        <w:ind w:firstLineChars="200"/>
        <w:rPr>
          <w:rFonts w:ascii="宋体" w:hAnsi="宋体"/>
          <w:kern w:val="2"/>
        </w:rPr>
      </w:pPr>
      <w:r>
        <w:rPr>
          <w:rFonts w:hint="eastAsia" w:ascii="宋体" w:hAnsi="宋体"/>
          <w:kern w:val="2"/>
        </w:rPr>
        <w:t>4.我们同意从规定的开标日期起遵循本投标文件，并在规定的投标有效期期满之前均具有约束力。</w:t>
      </w:r>
    </w:p>
    <w:p>
      <w:pPr>
        <w:pStyle w:val="81"/>
        <w:snapToGrid w:val="0"/>
        <w:spacing w:before="0" w:after="0"/>
        <w:rPr>
          <w:rFonts w:ascii="宋体" w:hAnsi="宋体"/>
          <w:kern w:val="2"/>
        </w:rPr>
      </w:pPr>
      <w:r>
        <w:rPr>
          <w:rFonts w:hint="eastAsia" w:ascii="宋体" w:hAnsi="宋体"/>
          <w:kern w:val="2"/>
        </w:rPr>
        <w:t>5.如果在开标后规定的投标有效期内撤回投标或中标后拒绝签订合同，我们的投标保证金可被贵方没收。</w:t>
      </w:r>
    </w:p>
    <w:p>
      <w:pPr>
        <w:pStyle w:val="81"/>
        <w:snapToGrid w:val="0"/>
        <w:spacing w:before="0" w:after="0"/>
        <w:rPr>
          <w:rFonts w:ascii="宋体" w:hAnsi="宋体"/>
          <w:kern w:val="2"/>
        </w:rPr>
      </w:pPr>
      <w:r>
        <w:rPr>
          <w:rFonts w:hint="eastAsia" w:ascii="宋体" w:hAnsi="宋体"/>
          <w:kern w:val="2"/>
        </w:rPr>
        <w:t>6.同意向贵方提供贵方可能另外要求的与投标有关的任何证据或资料，并保证我方已提供和将要提供的文件是真实的、准确的。</w:t>
      </w:r>
    </w:p>
    <w:p>
      <w:pPr>
        <w:pStyle w:val="81"/>
        <w:snapToGrid w:val="0"/>
        <w:spacing w:before="0" w:after="0"/>
        <w:rPr>
          <w:rFonts w:ascii="宋体" w:hAnsi="宋体"/>
          <w:kern w:val="2"/>
        </w:rPr>
      </w:pPr>
      <w:r>
        <w:rPr>
          <w:rFonts w:hint="eastAsia" w:ascii="宋体" w:hAnsi="宋体"/>
          <w:kern w:val="2"/>
        </w:rPr>
        <w:t>7.一旦我方中标,我方将根据招标文件的规定，严格履行合同的责任和义务,并保证在规定的时间完成项目，交付甲方验收、使用。</w:t>
      </w:r>
    </w:p>
    <w:p>
      <w:pPr>
        <w:pStyle w:val="81"/>
        <w:snapToGrid w:val="0"/>
        <w:spacing w:before="0" w:after="0"/>
        <w:ind w:firstLineChars="200"/>
        <w:rPr>
          <w:rFonts w:ascii="宋体" w:hAnsi="宋体"/>
          <w:kern w:val="2"/>
        </w:rPr>
      </w:pPr>
      <w:r>
        <w:rPr>
          <w:rFonts w:hint="eastAsia" w:ascii="宋体" w:hAnsi="宋体"/>
          <w:kern w:val="2"/>
        </w:rPr>
        <w:t>8.与本投标有关的正式通讯地址为：</w:t>
      </w:r>
    </w:p>
    <w:p>
      <w:pPr>
        <w:pStyle w:val="81"/>
        <w:snapToGrid w:val="0"/>
        <w:spacing w:before="0" w:after="0"/>
        <w:ind w:firstLine="0"/>
        <w:rPr>
          <w:rFonts w:ascii="宋体" w:hAnsi="宋体"/>
          <w:kern w:val="2"/>
        </w:rPr>
      </w:pPr>
      <w:r>
        <w:rPr>
          <w:rFonts w:hint="eastAsia" w:ascii="宋体" w:hAnsi="宋体"/>
          <w:kern w:val="2"/>
        </w:rPr>
        <w:t>地       址：</w:t>
      </w:r>
    </w:p>
    <w:p>
      <w:pPr>
        <w:pStyle w:val="81"/>
        <w:snapToGrid w:val="0"/>
        <w:spacing w:before="0" w:after="0"/>
        <w:ind w:firstLine="0"/>
        <w:rPr>
          <w:rFonts w:ascii="宋体" w:hAnsi="宋体"/>
          <w:kern w:val="2"/>
        </w:rPr>
      </w:pPr>
      <w:r>
        <w:rPr>
          <w:rFonts w:hint="eastAsia" w:ascii="宋体" w:hAnsi="宋体"/>
          <w:kern w:val="2"/>
        </w:rPr>
        <w:t>邮       编：</w:t>
      </w:r>
    </w:p>
    <w:p>
      <w:pPr>
        <w:pStyle w:val="81"/>
        <w:snapToGrid w:val="0"/>
        <w:spacing w:before="0" w:after="0"/>
        <w:ind w:firstLine="0"/>
        <w:rPr>
          <w:rFonts w:ascii="宋体" w:hAnsi="宋体"/>
          <w:kern w:val="2"/>
        </w:rPr>
      </w:pPr>
      <w:r>
        <w:rPr>
          <w:rFonts w:hint="eastAsia" w:ascii="宋体" w:hAnsi="宋体"/>
          <w:kern w:val="2"/>
        </w:rPr>
        <w:t>电       话：</w:t>
      </w:r>
    </w:p>
    <w:p>
      <w:pPr>
        <w:pStyle w:val="81"/>
        <w:snapToGrid w:val="0"/>
        <w:spacing w:before="0" w:after="0"/>
        <w:ind w:firstLine="0"/>
        <w:rPr>
          <w:rFonts w:ascii="宋体" w:hAnsi="宋体"/>
          <w:kern w:val="2"/>
        </w:rPr>
      </w:pPr>
      <w:r>
        <w:rPr>
          <w:rFonts w:hint="eastAsia" w:ascii="宋体" w:hAnsi="宋体"/>
          <w:kern w:val="2"/>
        </w:rPr>
        <w:t>传       真：</w:t>
      </w:r>
    </w:p>
    <w:p>
      <w:pPr>
        <w:pStyle w:val="81"/>
        <w:snapToGrid w:val="0"/>
        <w:spacing w:before="0" w:after="0"/>
        <w:ind w:firstLine="0"/>
        <w:rPr>
          <w:rFonts w:ascii="宋体" w:hAnsi="宋体"/>
          <w:kern w:val="2"/>
        </w:rPr>
      </w:pPr>
      <w:r>
        <w:rPr>
          <w:rFonts w:hint="eastAsia" w:ascii="宋体" w:hAnsi="宋体"/>
          <w:kern w:val="2"/>
        </w:rPr>
        <w:t>投标人开户行：</w:t>
      </w:r>
    </w:p>
    <w:p>
      <w:pPr>
        <w:pStyle w:val="81"/>
        <w:snapToGrid w:val="0"/>
        <w:spacing w:before="0" w:after="0"/>
        <w:ind w:firstLine="0"/>
        <w:rPr>
          <w:rFonts w:ascii="宋体" w:hAnsi="宋体"/>
          <w:kern w:val="2"/>
        </w:rPr>
      </w:pPr>
      <w:r>
        <w:rPr>
          <w:rFonts w:hint="eastAsia" w:ascii="宋体" w:hAnsi="宋体"/>
          <w:kern w:val="2"/>
        </w:rPr>
        <w:t xml:space="preserve">账       户： </w:t>
      </w:r>
    </w:p>
    <w:p>
      <w:pPr>
        <w:pStyle w:val="81"/>
        <w:snapToGrid w:val="0"/>
        <w:spacing w:before="0" w:after="0"/>
        <w:ind w:firstLineChars="200"/>
        <w:rPr>
          <w:rFonts w:ascii="宋体" w:hAnsi="宋体"/>
          <w:kern w:val="2"/>
        </w:rPr>
      </w:pPr>
    </w:p>
    <w:p>
      <w:pPr>
        <w:pStyle w:val="81"/>
        <w:snapToGrid w:val="0"/>
        <w:spacing w:before="0" w:after="0"/>
        <w:ind w:firstLineChars="200"/>
        <w:rPr>
          <w:rFonts w:ascii="宋体" w:hAnsi="宋体"/>
          <w:kern w:val="2"/>
        </w:rPr>
      </w:pPr>
      <w:r>
        <w:rPr>
          <w:rFonts w:hint="eastAsia" w:ascii="宋体" w:hAnsi="宋体"/>
          <w:kern w:val="2"/>
        </w:rPr>
        <w:t>投标人</w:t>
      </w:r>
      <w:r>
        <w:rPr>
          <w:rFonts w:hint="eastAsia" w:ascii="宋体" w:hAnsi="宋体"/>
          <w:color w:val="000000"/>
          <w:kern w:val="2"/>
        </w:rPr>
        <w:t>（单位公章或投标专用章）</w:t>
      </w:r>
      <w:r>
        <w:rPr>
          <w:rFonts w:hint="eastAsia" w:ascii="宋体" w:hAnsi="宋体"/>
          <w:kern w:val="2"/>
        </w:rPr>
        <w:t xml:space="preserve">： </w:t>
      </w:r>
    </w:p>
    <w:p>
      <w:pPr>
        <w:pStyle w:val="81"/>
        <w:snapToGrid w:val="0"/>
        <w:spacing w:before="0" w:after="0"/>
        <w:ind w:firstLineChars="200"/>
        <w:rPr>
          <w:rFonts w:ascii="宋体" w:hAnsi="宋体"/>
          <w:kern w:val="2"/>
        </w:rPr>
      </w:pPr>
      <w:r>
        <w:rPr>
          <w:rFonts w:hint="eastAsia" w:ascii="宋体" w:hAnsi="宋体"/>
          <w:kern w:val="2"/>
        </w:rPr>
        <w:t xml:space="preserve">投标人授权代表姓名（签字）：                           </w:t>
      </w:r>
    </w:p>
    <w:p>
      <w:pPr>
        <w:pStyle w:val="81"/>
        <w:snapToGrid w:val="0"/>
        <w:spacing w:before="0" w:after="0"/>
        <w:ind w:firstLineChars="200"/>
        <w:rPr>
          <w:rFonts w:ascii="宋体" w:hAnsi="宋体"/>
          <w:kern w:val="2"/>
        </w:rPr>
      </w:pPr>
      <w:r>
        <w:rPr>
          <w:rFonts w:hint="eastAsia" w:ascii="宋体" w:hAnsi="宋体"/>
          <w:kern w:val="2"/>
        </w:rPr>
        <w:t xml:space="preserve">手 机：                             </w:t>
      </w:r>
    </w:p>
    <w:p>
      <w:pPr>
        <w:pStyle w:val="81"/>
        <w:snapToGrid w:val="0"/>
        <w:spacing w:before="0" w:after="0"/>
        <w:ind w:firstLine="4560" w:firstLineChars="1900"/>
        <w:rPr>
          <w:rFonts w:ascii="宋体" w:hAnsi="宋体"/>
          <w:kern w:val="2"/>
        </w:rPr>
      </w:pPr>
      <w:r>
        <w:rPr>
          <w:rFonts w:hint="eastAsia" w:ascii="宋体" w:hAnsi="宋体"/>
          <w:kern w:val="2"/>
        </w:rPr>
        <w:t>日 期：_______年____月____日</w:t>
      </w:r>
    </w:p>
    <w:p>
      <w:pPr>
        <w:snapToGrid w:val="0"/>
        <w:spacing w:line="312" w:lineRule="auto"/>
        <w:jc w:val="center"/>
        <w:rPr>
          <w:rFonts w:ascii="黑体" w:hAnsi="Arial" w:eastAsia="黑体"/>
          <w:sz w:val="30"/>
          <w:szCs w:val="30"/>
        </w:rPr>
      </w:pPr>
      <w:r>
        <w:rPr>
          <w:rFonts w:hint="eastAsia" w:ascii="黑体" w:hAnsi="Arial" w:eastAsia="黑体"/>
          <w:sz w:val="30"/>
          <w:szCs w:val="30"/>
        </w:rPr>
        <w:t>二、法定代表人授权书（格 式）</w:t>
      </w:r>
    </w:p>
    <w:p>
      <w:pPr>
        <w:spacing w:line="360" w:lineRule="auto"/>
        <w:ind w:firstLine="480" w:firstLineChars="200"/>
        <w:jc w:val="left"/>
        <w:rPr>
          <w:rFonts w:ascii="黑体" w:hAnsi="Arial" w:eastAsia="黑体"/>
          <w:sz w:val="30"/>
          <w:szCs w:val="30"/>
        </w:rPr>
      </w:pPr>
      <w:r>
        <w:rPr>
          <w:rFonts w:hint="eastAsia" w:ascii="宋体" w:hAnsi="Arial"/>
          <w:sz w:val="24"/>
        </w:rPr>
        <w:t>本授权书声明：公司的</w:t>
      </w:r>
      <w:r>
        <w:rPr>
          <w:rFonts w:hint="eastAsia" w:ascii="宋体" w:hAnsi="Arial"/>
          <w:sz w:val="24"/>
          <w:u w:val="single"/>
        </w:rPr>
        <w:t xml:space="preserve">     （法定代表人姓名）</w:t>
      </w:r>
      <w:r>
        <w:rPr>
          <w:rFonts w:hint="eastAsia" w:ascii="宋体" w:hAnsi="Arial"/>
          <w:sz w:val="24"/>
        </w:rPr>
        <w:t>职务代表本公司授权</w:t>
      </w:r>
      <w:r>
        <w:rPr>
          <w:rFonts w:hint="eastAsia" w:ascii="宋体" w:hAnsi="Arial"/>
          <w:sz w:val="24"/>
          <w:u w:val="single"/>
        </w:rPr>
        <w:t xml:space="preserve">    （被授权人的姓名）   </w:t>
      </w:r>
      <w:r>
        <w:rPr>
          <w:rFonts w:hint="eastAsia" w:ascii="宋体" w:hAnsi="Arial"/>
          <w:sz w:val="24"/>
        </w:rPr>
        <w:t>(职务)为本公司的合法投标代表，就参加号标的内容的投标、签订合同以及合同的执行、完成和纠纷处理，以本公司名义处理一切与之有关的事务。</w:t>
      </w:r>
    </w:p>
    <w:p>
      <w:pPr>
        <w:spacing w:line="360" w:lineRule="auto"/>
        <w:ind w:firstLine="720" w:firstLineChars="300"/>
        <w:rPr>
          <w:rFonts w:ascii="宋体" w:hAnsi="Arial"/>
          <w:sz w:val="24"/>
        </w:rPr>
      </w:pPr>
      <w:r>
        <w:rPr>
          <w:rFonts w:hint="eastAsia" w:ascii="宋体" w:hAnsi="Arial"/>
          <w:sz w:val="24"/>
        </w:rPr>
        <w:t>本授权书于年月日签字生效，特此声明。</w:t>
      </w:r>
    </w:p>
    <w:p>
      <w:pPr>
        <w:spacing w:line="360" w:lineRule="auto"/>
        <w:ind w:firstLine="720" w:firstLineChars="300"/>
        <w:rPr>
          <w:rFonts w:ascii="宋体" w:hAnsi="Arial"/>
          <w:sz w:val="24"/>
          <w:u w:val="single"/>
        </w:rPr>
      </w:pPr>
      <w:r>
        <w:rPr>
          <w:rFonts w:hint="eastAsia" w:ascii="宋体" w:hAnsi="Arial"/>
          <w:sz w:val="24"/>
        </w:rPr>
        <w:t>法定代表人签字：</w:t>
      </w:r>
    </w:p>
    <w:p>
      <w:pPr>
        <w:spacing w:line="360" w:lineRule="auto"/>
        <w:rPr>
          <w:rFonts w:ascii="宋体" w:hAnsi="Arial"/>
          <w:sz w:val="24"/>
          <w:u w:val="single"/>
        </w:rPr>
      </w:pPr>
      <w:r>
        <w:rPr>
          <w:rFonts w:hint="eastAsia" w:ascii="宋体" w:hAnsi="Arial"/>
          <w:sz w:val="24"/>
        </w:rPr>
        <w:t xml:space="preserve">            职    务：</w:t>
      </w:r>
    </w:p>
    <w:p>
      <w:pPr>
        <w:spacing w:line="360" w:lineRule="auto"/>
        <w:rPr>
          <w:rFonts w:ascii="宋体" w:hAnsi="Arial"/>
          <w:sz w:val="24"/>
          <w:u w:val="single"/>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投标代表（被授权人）签字</w:t>
      </w:r>
      <w:r>
        <w:rPr>
          <w:rFonts w:hint="eastAsia" w:ascii="宋体" w:hAnsi="Arial"/>
          <w:sz w:val="24"/>
          <w:u w:val="single"/>
        </w:rPr>
        <w:t xml:space="preserve">：                      </w:t>
      </w:r>
    </w:p>
    <w:p>
      <w:pPr>
        <w:spacing w:line="360" w:lineRule="auto"/>
        <w:rPr>
          <w:rFonts w:ascii="宋体" w:hAnsi="Arial"/>
          <w:sz w:val="24"/>
        </w:rPr>
      </w:pPr>
      <w:r>
        <w:rPr>
          <w:rFonts w:hint="eastAsia" w:ascii="宋体" w:hAnsi="Arial"/>
          <w:sz w:val="24"/>
        </w:rPr>
        <w:t xml:space="preserve">           职    务：</w:t>
      </w:r>
    </w:p>
    <w:p>
      <w:pPr>
        <w:spacing w:line="360" w:lineRule="auto"/>
        <w:rPr>
          <w:rFonts w:ascii="宋体" w:hAnsi="Arial"/>
          <w:sz w:val="24"/>
        </w:rPr>
      </w:pPr>
      <w:r>
        <w:rPr>
          <w:rFonts w:hint="eastAsia" w:ascii="宋体" w:hAnsi="Arial"/>
          <w:sz w:val="24"/>
        </w:rPr>
        <w:t xml:space="preserve">           单位名称：</w:t>
      </w:r>
    </w:p>
    <w:p>
      <w:pPr>
        <w:spacing w:line="360" w:lineRule="auto"/>
        <w:rPr>
          <w:rFonts w:ascii="宋体" w:hAnsi="Arial"/>
          <w:sz w:val="24"/>
          <w:u w:val="single"/>
        </w:rPr>
      </w:pPr>
      <w:r>
        <w:rPr>
          <w:rFonts w:hint="eastAsia" w:ascii="宋体" w:hAnsi="Arial"/>
          <w:sz w:val="24"/>
        </w:rPr>
        <w:t xml:space="preserve">           地    址：</w:t>
      </w:r>
    </w:p>
    <w:p>
      <w:pPr>
        <w:spacing w:line="360" w:lineRule="auto"/>
        <w:rPr>
          <w:rFonts w:ascii="宋体" w:hAnsi="Arial"/>
          <w:sz w:val="24"/>
        </w:rPr>
      </w:pPr>
      <w:r>
        <w:rPr>
          <w:rFonts w:hint="eastAsia" w:ascii="宋体" w:hAnsi="Arial"/>
          <w:sz w:val="24"/>
        </w:rPr>
        <w:t xml:space="preserve">           投标人</w:t>
      </w:r>
      <w:r>
        <w:rPr>
          <w:rFonts w:hint="eastAsia" w:ascii="宋体" w:hAnsi="Arial"/>
          <w:color w:val="000000"/>
          <w:sz w:val="24"/>
        </w:rPr>
        <w:t>（单位公章或投标专用章）</w:t>
      </w:r>
      <w:r>
        <w:rPr>
          <w:rFonts w:hint="eastAsia" w:ascii="宋体" w:hAnsi="Arial"/>
          <w:sz w:val="24"/>
        </w:rPr>
        <w:t>：</w:t>
      </w:r>
    </w:p>
    <w:p>
      <w:pPr>
        <w:spacing w:line="360" w:lineRule="auto"/>
        <w:outlineLvl w:val="0"/>
        <w:rPr>
          <w:rFonts w:ascii="宋体" w:hAnsi="Arial"/>
          <w:sz w:val="24"/>
          <w:u w:val="single"/>
        </w:rPr>
      </w:pPr>
      <w:r>
        <w:rPr>
          <w:rFonts w:hint="eastAsia" w:ascii="宋体" w:hAnsi="Arial"/>
          <w:sz w:val="24"/>
        </w:rPr>
        <w:t xml:space="preserve">           日    期：</w:t>
      </w:r>
    </w:p>
    <w:p>
      <w:pPr>
        <w:spacing w:line="360" w:lineRule="auto"/>
        <w:jc w:val="center"/>
        <w:rPr>
          <w:rFonts w:ascii="隶书" w:hAnsi="Arial" w:eastAsia="隶书"/>
          <w:sz w:val="24"/>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spacing w:line="360" w:lineRule="auto"/>
        <w:rPr>
          <w:rFonts w:ascii="宋体" w:hAnsi="宋体"/>
          <w:b/>
          <w:bCs/>
          <w:kern w:val="44"/>
          <w:sz w:val="44"/>
          <w:szCs w:val="32"/>
        </w:rPr>
      </w:pPr>
    </w:p>
    <w:p>
      <w:pPr>
        <w:pStyle w:val="2"/>
      </w:pPr>
    </w:p>
    <w:p>
      <w:pPr>
        <w:spacing w:line="360" w:lineRule="auto"/>
        <w:rPr>
          <w:rFonts w:ascii="宋体" w:hAnsi="宋体"/>
          <w:b/>
          <w:bCs/>
          <w:kern w:val="44"/>
          <w:sz w:val="44"/>
          <w:szCs w:val="32"/>
        </w:rPr>
      </w:pPr>
    </w:p>
    <w:p>
      <w:pPr>
        <w:pStyle w:val="17"/>
        <w:ind w:firstLine="600"/>
      </w:pPr>
    </w:p>
    <w:p>
      <w:pPr>
        <w:pStyle w:val="17"/>
        <w:ind w:firstLine="600"/>
      </w:pPr>
    </w:p>
    <w:tbl>
      <w:tblPr>
        <w:tblStyle w:val="54"/>
        <w:tblpPr w:leftFromText="180" w:rightFromText="180" w:vertAnchor="text" w:horzAnchor="margin" w:tblpXSpec="center" w:tblpY="1006"/>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425"/>
        <w:gridCol w:w="732"/>
        <w:gridCol w:w="1549"/>
        <w:gridCol w:w="1549"/>
        <w:gridCol w:w="1583"/>
        <w:gridCol w:w="11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rPr>
        <w:tc>
          <w:tcPr>
            <w:tcW w:w="1951" w:type="dxa"/>
            <w:gridSpan w:val="2"/>
            <w:vAlign w:val="center"/>
          </w:tcPr>
          <w:p>
            <w:pPr>
              <w:spacing w:line="360" w:lineRule="auto"/>
              <w:jc w:val="center"/>
              <w:rPr>
                <w:rFonts w:ascii="宋体" w:hAnsi="宋体"/>
                <w:bCs/>
                <w:sz w:val="24"/>
              </w:rPr>
            </w:pPr>
            <w:r>
              <w:rPr>
                <w:rFonts w:hint="eastAsia" w:ascii="宋体" w:hAnsi="宋体"/>
                <w:bCs/>
                <w:sz w:val="24"/>
              </w:rPr>
              <w:t>投标人企业名称</w:t>
            </w:r>
          </w:p>
        </w:tc>
        <w:tc>
          <w:tcPr>
            <w:tcW w:w="7445" w:type="dxa"/>
            <w:gridSpan w:val="7"/>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242" w:type="dxa"/>
            <w:vAlign w:val="center"/>
          </w:tcPr>
          <w:p>
            <w:pPr>
              <w:spacing w:line="360" w:lineRule="auto"/>
              <w:ind w:firstLine="240" w:firstLineChars="100"/>
              <w:jc w:val="center"/>
              <w:rPr>
                <w:rFonts w:ascii="宋体" w:hAnsi="宋体"/>
                <w:bCs/>
                <w:sz w:val="24"/>
              </w:rPr>
            </w:pPr>
            <w:r>
              <w:rPr>
                <w:rFonts w:hint="eastAsia" w:ascii="宋体" w:hAnsi="宋体"/>
                <w:bCs/>
                <w:sz w:val="24"/>
              </w:rPr>
              <w:t>地 址</w:t>
            </w:r>
          </w:p>
        </w:tc>
        <w:tc>
          <w:tcPr>
            <w:tcW w:w="8154" w:type="dxa"/>
            <w:gridSpan w:val="8"/>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242" w:type="dxa"/>
            <w:vAlign w:val="center"/>
          </w:tcPr>
          <w:p>
            <w:pPr>
              <w:spacing w:line="360" w:lineRule="auto"/>
              <w:jc w:val="center"/>
              <w:rPr>
                <w:rFonts w:ascii="宋体" w:hAnsi="宋体"/>
                <w:bCs/>
                <w:sz w:val="24"/>
              </w:rPr>
            </w:pPr>
            <w:r>
              <w:rPr>
                <w:rFonts w:hint="eastAsia" w:ascii="宋体" w:hAnsi="宋体"/>
                <w:bCs/>
                <w:sz w:val="24"/>
              </w:rPr>
              <w:t>主管部门</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法定代表人</w:t>
            </w:r>
          </w:p>
        </w:tc>
        <w:tc>
          <w:tcPr>
            <w:tcW w:w="1549" w:type="dxa"/>
            <w:vAlign w:val="center"/>
          </w:tcPr>
          <w:p>
            <w:pPr>
              <w:spacing w:line="360" w:lineRule="auto"/>
              <w:jc w:val="center"/>
              <w:rPr>
                <w:rFonts w:ascii="宋体" w:hAnsi="宋体"/>
                <w:bCs/>
                <w:sz w:val="24"/>
              </w:rPr>
            </w:pPr>
          </w:p>
        </w:tc>
        <w:tc>
          <w:tcPr>
            <w:tcW w:w="1583" w:type="dxa"/>
            <w:vAlign w:val="center"/>
          </w:tcPr>
          <w:p>
            <w:pPr>
              <w:spacing w:line="360" w:lineRule="auto"/>
              <w:ind w:firstLine="240" w:firstLineChars="100"/>
              <w:jc w:val="center"/>
              <w:rPr>
                <w:rFonts w:ascii="宋体" w:hAnsi="宋体"/>
                <w:bCs/>
                <w:sz w:val="24"/>
              </w:rPr>
            </w:pPr>
            <w:r>
              <w:rPr>
                <w:rFonts w:hint="eastAsia" w:ascii="宋体" w:hAnsi="宋体"/>
                <w:bCs/>
                <w:sz w:val="24"/>
              </w:rPr>
              <w:t>职 务</w:t>
            </w:r>
          </w:p>
        </w:tc>
        <w:tc>
          <w:tcPr>
            <w:tcW w:w="1607" w:type="dxa"/>
            <w:gridSpan w:val="2"/>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242" w:type="dxa"/>
            <w:vAlign w:val="center"/>
          </w:tcPr>
          <w:p>
            <w:pPr>
              <w:spacing w:line="360" w:lineRule="auto"/>
              <w:jc w:val="center"/>
              <w:rPr>
                <w:rFonts w:ascii="宋体" w:hAnsi="宋体"/>
                <w:bCs/>
                <w:sz w:val="24"/>
              </w:rPr>
            </w:pPr>
            <w:r>
              <w:rPr>
                <w:rFonts w:hint="eastAsia" w:ascii="宋体" w:hAnsi="宋体"/>
                <w:bCs/>
                <w:sz w:val="24"/>
              </w:rPr>
              <w:t>注册时间</w:t>
            </w:r>
          </w:p>
        </w:tc>
        <w:tc>
          <w:tcPr>
            <w:tcW w:w="3415" w:type="dxa"/>
            <w:gridSpan w:val="4"/>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经济类型</w:t>
            </w:r>
          </w:p>
        </w:tc>
        <w:tc>
          <w:tcPr>
            <w:tcW w:w="3190" w:type="dxa"/>
            <w:gridSpan w:val="3"/>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4657" w:type="dxa"/>
            <w:gridSpan w:val="5"/>
            <w:vAlign w:val="center"/>
          </w:tcPr>
          <w:p>
            <w:pPr>
              <w:spacing w:line="360" w:lineRule="auto"/>
              <w:jc w:val="center"/>
              <w:rPr>
                <w:rFonts w:ascii="宋体" w:hAnsi="宋体"/>
                <w:bCs/>
                <w:sz w:val="24"/>
              </w:rPr>
            </w:pPr>
            <w:r>
              <w:rPr>
                <w:rFonts w:hint="eastAsia" w:ascii="宋体" w:hAnsi="宋体"/>
                <w:bCs/>
                <w:sz w:val="24"/>
              </w:rPr>
              <w:t>近三年内有经营活动中有无重大违法纪录</w:t>
            </w:r>
          </w:p>
        </w:tc>
        <w:tc>
          <w:tcPr>
            <w:tcW w:w="4739" w:type="dxa"/>
            <w:gridSpan w:val="4"/>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2376" w:type="dxa"/>
            <w:gridSpan w:val="3"/>
            <w:vAlign w:val="center"/>
          </w:tcPr>
          <w:p>
            <w:pPr>
              <w:spacing w:line="360" w:lineRule="auto"/>
              <w:jc w:val="center"/>
              <w:rPr>
                <w:rFonts w:ascii="宋体" w:hAnsi="宋体"/>
                <w:bCs/>
                <w:sz w:val="24"/>
              </w:rPr>
            </w:pPr>
            <w:r>
              <w:rPr>
                <w:rFonts w:hint="eastAsia" w:ascii="宋体" w:hAnsi="宋体"/>
                <w:bCs/>
                <w:sz w:val="24"/>
              </w:rPr>
              <w:t>是否依法缴纳税收</w:t>
            </w:r>
          </w:p>
        </w:tc>
        <w:tc>
          <w:tcPr>
            <w:tcW w:w="2281" w:type="dxa"/>
            <w:gridSpan w:val="2"/>
            <w:vAlign w:val="center"/>
          </w:tcPr>
          <w:p>
            <w:pPr>
              <w:spacing w:line="360" w:lineRule="auto"/>
              <w:jc w:val="center"/>
              <w:rPr>
                <w:rFonts w:ascii="宋体" w:hAnsi="宋体"/>
                <w:bCs/>
                <w:sz w:val="24"/>
              </w:rPr>
            </w:pPr>
          </w:p>
        </w:tc>
        <w:tc>
          <w:tcPr>
            <w:tcW w:w="3248" w:type="dxa"/>
            <w:gridSpan w:val="3"/>
            <w:vAlign w:val="center"/>
          </w:tcPr>
          <w:p>
            <w:pPr>
              <w:spacing w:line="360" w:lineRule="auto"/>
              <w:jc w:val="center"/>
              <w:rPr>
                <w:rFonts w:ascii="宋体" w:hAnsi="宋体"/>
                <w:bCs/>
                <w:sz w:val="24"/>
              </w:rPr>
            </w:pPr>
            <w:r>
              <w:rPr>
                <w:rFonts w:hint="eastAsia" w:ascii="宋体" w:hAnsi="宋体"/>
                <w:bCs/>
                <w:sz w:val="24"/>
              </w:rPr>
              <w:t>是否依法缴纳社会保障资金</w:t>
            </w:r>
          </w:p>
        </w:tc>
        <w:tc>
          <w:tcPr>
            <w:tcW w:w="1491"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单位</w:t>
            </w:r>
          </w:p>
          <w:p>
            <w:pPr>
              <w:spacing w:line="360" w:lineRule="auto"/>
              <w:jc w:val="center"/>
              <w:rPr>
                <w:rFonts w:ascii="宋体" w:hAnsi="宋体"/>
                <w:bCs/>
                <w:sz w:val="24"/>
              </w:rPr>
            </w:pPr>
            <w:r>
              <w:rPr>
                <w:rFonts w:hint="eastAsia" w:ascii="宋体" w:hAnsi="宋体"/>
                <w:bCs/>
                <w:sz w:val="24"/>
              </w:rPr>
              <w:t>概况</w:t>
            </w: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注册资本</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万元</w:t>
            </w:r>
          </w:p>
        </w:tc>
        <w:tc>
          <w:tcPr>
            <w:tcW w:w="1549" w:type="dxa"/>
            <w:vAlign w:val="center"/>
          </w:tcPr>
          <w:p>
            <w:pPr>
              <w:spacing w:line="360" w:lineRule="auto"/>
              <w:jc w:val="center"/>
              <w:rPr>
                <w:rFonts w:ascii="宋体" w:hAnsi="宋体"/>
                <w:bCs/>
                <w:sz w:val="24"/>
              </w:rPr>
            </w:pPr>
            <w:r>
              <w:rPr>
                <w:rFonts w:hint="eastAsia" w:ascii="宋体" w:hAnsi="宋体"/>
                <w:bCs/>
                <w:sz w:val="24"/>
              </w:rPr>
              <w:t>占地面积</w:t>
            </w:r>
          </w:p>
        </w:tc>
        <w:tc>
          <w:tcPr>
            <w:tcW w:w="3190" w:type="dxa"/>
            <w:gridSpan w:val="3"/>
            <w:vAlign w:val="center"/>
          </w:tcPr>
          <w:p>
            <w:pPr>
              <w:spacing w:line="360" w:lineRule="auto"/>
              <w:jc w:val="center"/>
              <w:rPr>
                <w:rFonts w:ascii="宋体" w:hAnsi="宋体"/>
                <w:bCs/>
                <w:sz w:val="24"/>
              </w:rPr>
            </w:pPr>
            <w:r>
              <w:rPr>
                <w:rFonts w:hint="eastAsia" w:ascii="宋体" w:hAnsi="宋体"/>
                <w:bCs/>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1242" w:type="dxa"/>
            <w:vMerge w:val="continue"/>
            <w:vAlign w:val="center"/>
          </w:tcPr>
          <w:p>
            <w:pPr>
              <w:spacing w:line="360" w:lineRule="auto"/>
              <w:jc w:val="center"/>
              <w:rPr>
                <w:rFonts w:ascii="宋体" w:hAnsi="宋体"/>
                <w:bCs/>
                <w:sz w:val="24"/>
              </w:rPr>
            </w:pPr>
          </w:p>
        </w:tc>
        <w:tc>
          <w:tcPr>
            <w:tcW w:w="1866" w:type="dxa"/>
            <w:gridSpan w:val="3"/>
            <w:vAlign w:val="center"/>
          </w:tcPr>
          <w:p>
            <w:pPr>
              <w:spacing w:line="360" w:lineRule="auto"/>
              <w:jc w:val="center"/>
              <w:rPr>
                <w:rFonts w:ascii="宋体" w:hAnsi="宋体"/>
                <w:bCs/>
                <w:sz w:val="24"/>
              </w:rPr>
            </w:pPr>
            <w:r>
              <w:rPr>
                <w:rFonts w:hint="eastAsia" w:ascii="宋体" w:hAnsi="宋体"/>
                <w:bCs/>
                <w:sz w:val="24"/>
              </w:rPr>
              <w:t>职工总数</w:t>
            </w:r>
          </w:p>
        </w:tc>
        <w:tc>
          <w:tcPr>
            <w:tcW w:w="1549" w:type="dxa"/>
            <w:vAlign w:val="center"/>
          </w:tcPr>
          <w:p>
            <w:pPr>
              <w:spacing w:line="360" w:lineRule="auto"/>
              <w:jc w:val="center"/>
              <w:rPr>
                <w:rFonts w:ascii="宋体" w:hAnsi="宋体"/>
                <w:bCs/>
                <w:sz w:val="24"/>
              </w:rPr>
            </w:pPr>
            <w:r>
              <w:rPr>
                <w:rFonts w:hint="eastAsia" w:ascii="宋体" w:hAnsi="宋体"/>
                <w:bCs/>
                <w:sz w:val="24"/>
              </w:rPr>
              <w:t xml:space="preserve">      人</w:t>
            </w:r>
          </w:p>
        </w:tc>
        <w:tc>
          <w:tcPr>
            <w:tcW w:w="1549" w:type="dxa"/>
            <w:vAlign w:val="center"/>
          </w:tcPr>
          <w:p>
            <w:pPr>
              <w:spacing w:line="360" w:lineRule="auto"/>
              <w:jc w:val="center"/>
              <w:rPr>
                <w:rFonts w:ascii="宋体" w:hAnsi="宋体"/>
                <w:bCs/>
                <w:sz w:val="24"/>
              </w:rPr>
            </w:pPr>
            <w:r>
              <w:rPr>
                <w:rFonts w:hint="eastAsia" w:ascii="宋体" w:hAnsi="宋体"/>
                <w:bCs/>
                <w:sz w:val="24"/>
              </w:rPr>
              <w:t>建筑面积</w:t>
            </w:r>
          </w:p>
        </w:tc>
        <w:tc>
          <w:tcPr>
            <w:tcW w:w="3190" w:type="dxa"/>
            <w:gridSpan w:val="3"/>
            <w:vAlign w:val="center"/>
          </w:tcPr>
          <w:p>
            <w:pPr>
              <w:spacing w:line="360" w:lineRule="auto"/>
              <w:ind w:firstLine="1800" w:firstLineChars="750"/>
              <w:jc w:val="center"/>
              <w:rPr>
                <w:rFonts w:ascii="宋体" w:hAnsi="宋体"/>
                <w:bCs/>
                <w:sz w:val="24"/>
              </w:rPr>
            </w:pPr>
            <w:r>
              <w:rPr>
                <w:rFonts w:hint="eastAsia" w:ascii="宋体" w:hAnsi="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restart"/>
            <w:vAlign w:val="center"/>
          </w:tcPr>
          <w:p>
            <w:pPr>
              <w:spacing w:line="360" w:lineRule="auto"/>
              <w:ind w:firstLine="240" w:firstLineChars="100"/>
              <w:rPr>
                <w:rFonts w:ascii="宋体" w:hAnsi="宋体"/>
                <w:bCs/>
                <w:sz w:val="24"/>
              </w:rPr>
            </w:pPr>
            <w:r>
              <w:rPr>
                <w:rFonts w:hint="eastAsia" w:ascii="宋体" w:hAnsi="宋体"/>
                <w:bCs/>
                <w:sz w:val="24"/>
              </w:rPr>
              <w:t>资产情况</w:t>
            </w: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净资产：        万元</w:t>
            </w:r>
          </w:p>
        </w:tc>
        <w:tc>
          <w:tcPr>
            <w:tcW w:w="3190" w:type="dxa"/>
            <w:gridSpan w:val="3"/>
            <w:vMerge w:val="restart"/>
            <w:vAlign w:val="center"/>
          </w:tcPr>
          <w:p>
            <w:pPr>
              <w:spacing w:line="360" w:lineRule="auto"/>
              <w:jc w:val="center"/>
              <w:rPr>
                <w:rFonts w:ascii="宋体" w:hAnsi="宋体"/>
                <w:bCs/>
                <w:sz w:val="24"/>
              </w:rPr>
            </w:pPr>
            <w:r>
              <w:rPr>
                <w:rFonts w:hint="eastAsia" w:ascii="宋体" w:hAnsi="宋体"/>
                <w:bCs/>
                <w:sz w:val="24"/>
              </w:rPr>
              <w:t>固定资产原值 ：      万元</w:t>
            </w:r>
          </w:p>
          <w:p>
            <w:pPr>
              <w:spacing w:line="360" w:lineRule="auto"/>
              <w:jc w:val="center"/>
              <w:rPr>
                <w:rFonts w:ascii="宋体" w:hAnsi="宋体"/>
                <w:bCs/>
                <w:sz w:val="24"/>
              </w:rPr>
            </w:pPr>
            <w:r>
              <w:rPr>
                <w:rFonts w:hint="eastAsia" w:ascii="宋体" w:hAnsi="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1242" w:type="dxa"/>
            <w:vMerge w:val="continue"/>
            <w:vAlign w:val="center"/>
          </w:tcPr>
          <w:p>
            <w:pPr>
              <w:spacing w:line="360" w:lineRule="auto"/>
              <w:jc w:val="center"/>
              <w:rPr>
                <w:rFonts w:ascii="宋体" w:hAnsi="宋体"/>
                <w:bCs/>
                <w:sz w:val="24"/>
              </w:rPr>
            </w:pPr>
          </w:p>
        </w:tc>
        <w:tc>
          <w:tcPr>
            <w:tcW w:w="1866" w:type="dxa"/>
            <w:gridSpan w:val="3"/>
            <w:vMerge w:val="continue"/>
            <w:vAlign w:val="center"/>
          </w:tcPr>
          <w:p>
            <w:pPr>
              <w:spacing w:line="360" w:lineRule="auto"/>
              <w:jc w:val="center"/>
              <w:rPr>
                <w:rFonts w:ascii="宋体" w:hAnsi="宋体"/>
                <w:bCs/>
                <w:sz w:val="24"/>
              </w:rPr>
            </w:pPr>
          </w:p>
        </w:tc>
        <w:tc>
          <w:tcPr>
            <w:tcW w:w="3098" w:type="dxa"/>
            <w:gridSpan w:val="2"/>
            <w:vAlign w:val="center"/>
          </w:tcPr>
          <w:p>
            <w:pPr>
              <w:spacing w:line="360" w:lineRule="auto"/>
              <w:jc w:val="center"/>
              <w:rPr>
                <w:rFonts w:ascii="宋体" w:hAnsi="宋体"/>
                <w:bCs/>
                <w:sz w:val="24"/>
              </w:rPr>
            </w:pPr>
            <w:r>
              <w:rPr>
                <w:rFonts w:hint="eastAsia" w:ascii="宋体" w:hAnsi="宋体"/>
                <w:bCs/>
                <w:sz w:val="24"/>
              </w:rPr>
              <w:t>负 债：         万元</w:t>
            </w:r>
          </w:p>
        </w:tc>
        <w:tc>
          <w:tcPr>
            <w:tcW w:w="3190" w:type="dxa"/>
            <w:gridSpan w:val="3"/>
            <w:vMerge w:val="continue"/>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trPr>
        <w:tc>
          <w:tcPr>
            <w:tcW w:w="1242" w:type="dxa"/>
            <w:vMerge w:val="restart"/>
            <w:vAlign w:val="center"/>
          </w:tcPr>
          <w:p>
            <w:pPr>
              <w:spacing w:line="360" w:lineRule="auto"/>
              <w:jc w:val="center"/>
              <w:rPr>
                <w:rFonts w:ascii="宋体" w:hAnsi="宋体"/>
                <w:bCs/>
                <w:sz w:val="24"/>
              </w:rPr>
            </w:pPr>
            <w:r>
              <w:rPr>
                <w:rFonts w:hint="eastAsia" w:ascii="宋体" w:hAnsi="宋体"/>
                <w:bCs/>
                <w:sz w:val="24"/>
              </w:rPr>
              <w:t>财务状况</w:t>
            </w:r>
          </w:p>
          <w:p>
            <w:pPr>
              <w:spacing w:line="360" w:lineRule="auto"/>
              <w:jc w:val="center"/>
              <w:rPr>
                <w:rFonts w:ascii="宋体" w:hAnsi="宋体"/>
                <w:bCs/>
                <w:sz w:val="24"/>
              </w:rPr>
            </w:pPr>
            <w:r>
              <w:rPr>
                <w:rFonts w:hint="eastAsia" w:ascii="宋体" w:hAnsi="宋体"/>
                <w:bCs/>
                <w:sz w:val="24"/>
              </w:rPr>
              <w:t>（近2年）</w:t>
            </w:r>
          </w:p>
        </w:tc>
        <w:tc>
          <w:tcPr>
            <w:tcW w:w="1866" w:type="dxa"/>
            <w:gridSpan w:val="3"/>
            <w:vAlign w:val="center"/>
          </w:tcPr>
          <w:p>
            <w:pPr>
              <w:spacing w:line="360" w:lineRule="auto"/>
              <w:jc w:val="center"/>
              <w:rPr>
                <w:rFonts w:ascii="宋体" w:hAnsi="宋体"/>
                <w:bCs/>
                <w:sz w:val="24"/>
              </w:rPr>
            </w:pPr>
          </w:p>
        </w:tc>
        <w:tc>
          <w:tcPr>
            <w:tcW w:w="1549" w:type="dxa"/>
            <w:vAlign w:val="center"/>
          </w:tcPr>
          <w:p>
            <w:pPr>
              <w:spacing w:line="360" w:lineRule="auto"/>
              <w:jc w:val="center"/>
              <w:rPr>
                <w:rFonts w:ascii="宋体" w:hAnsi="宋体"/>
                <w:bCs/>
                <w:sz w:val="24"/>
              </w:rPr>
            </w:pPr>
            <w:r>
              <w:rPr>
                <w:rFonts w:hint="eastAsia" w:ascii="宋体" w:hAnsi="宋体"/>
                <w:bCs/>
                <w:sz w:val="24"/>
              </w:rPr>
              <w:t>主营收入</w:t>
            </w:r>
          </w:p>
          <w:p>
            <w:pPr>
              <w:spacing w:line="360" w:lineRule="auto"/>
              <w:jc w:val="center"/>
              <w:rPr>
                <w:rFonts w:ascii="宋体" w:hAnsi="宋体"/>
                <w:bCs/>
                <w:sz w:val="24"/>
              </w:rPr>
            </w:pPr>
            <w:r>
              <w:rPr>
                <w:rFonts w:hint="eastAsia" w:ascii="宋体" w:hAnsi="宋体"/>
                <w:bCs/>
                <w:sz w:val="24"/>
              </w:rPr>
              <w:t>（万元）</w:t>
            </w:r>
          </w:p>
        </w:tc>
        <w:tc>
          <w:tcPr>
            <w:tcW w:w="1549" w:type="dxa"/>
            <w:vAlign w:val="center"/>
          </w:tcPr>
          <w:p>
            <w:pPr>
              <w:spacing w:line="360" w:lineRule="auto"/>
              <w:jc w:val="center"/>
              <w:rPr>
                <w:rFonts w:ascii="宋体" w:hAnsi="宋体"/>
                <w:bCs/>
                <w:sz w:val="24"/>
              </w:rPr>
            </w:pPr>
            <w:r>
              <w:rPr>
                <w:rFonts w:hint="eastAsia" w:ascii="宋体" w:hAnsi="宋体"/>
                <w:bCs/>
                <w:sz w:val="24"/>
              </w:rPr>
              <w:t>收入总额</w:t>
            </w:r>
          </w:p>
          <w:p>
            <w:pPr>
              <w:spacing w:line="360" w:lineRule="auto"/>
              <w:jc w:val="center"/>
              <w:rPr>
                <w:rFonts w:ascii="宋体" w:hAnsi="宋体"/>
                <w:bCs/>
                <w:sz w:val="24"/>
              </w:rPr>
            </w:pPr>
            <w:r>
              <w:rPr>
                <w:rFonts w:hint="eastAsia" w:ascii="宋体" w:hAnsi="宋体"/>
                <w:bCs/>
                <w:sz w:val="24"/>
              </w:rPr>
              <w:t>（万元）</w:t>
            </w:r>
          </w:p>
        </w:tc>
        <w:tc>
          <w:tcPr>
            <w:tcW w:w="1583" w:type="dxa"/>
            <w:vAlign w:val="center"/>
          </w:tcPr>
          <w:p>
            <w:pPr>
              <w:spacing w:line="360" w:lineRule="auto"/>
              <w:jc w:val="center"/>
              <w:rPr>
                <w:rFonts w:ascii="宋体" w:hAnsi="宋体"/>
                <w:bCs/>
                <w:sz w:val="24"/>
              </w:rPr>
            </w:pPr>
            <w:r>
              <w:rPr>
                <w:rFonts w:hint="eastAsia" w:ascii="宋体" w:hAnsi="宋体"/>
                <w:bCs/>
                <w:sz w:val="24"/>
              </w:rPr>
              <w:t>利润总额</w:t>
            </w:r>
          </w:p>
          <w:p>
            <w:pPr>
              <w:spacing w:line="360" w:lineRule="auto"/>
              <w:jc w:val="center"/>
              <w:rPr>
                <w:rFonts w:ascii="宋体" w:hAnsi="宋体"/>
                <w:bCs/>
                <w:sz w:val="24"/>
              </w:rPr>
            </w:pPr>
            <w:r>
              <w:rPr>
                <w:rFonts w:hint="eastAsia" w:ascii="宋体" w:hAnsi="宋体"/>
                <w:bCs/>
                <w:sz w:val="24"/>
              </w:rPr>
              <w:t>（万元）</w:t>
            </w:r>
          </w:p>
        </w:tc>
        <w:tc>
          <w:tcPr>
            <w:tcW w:w="1607" w:type="dxa"/>
            <w:gridSpan w:val="2"/>
            <w:vAlign w:val="center"/>
          </w:tcPr>
          <w:p>
            <w:pPr>
              <w:spacing w:line="360" w:lineRule="auto"/>
              <w:ind w:firstLine="240" w:firstLineChars="100"/>
              <w:jc w:val="center"/>
              <w:rPr>
                <w:rFonts w:ascii="宋体" w:hAnsi="宋体"/>
                <w:bCs/>
                <w:sz w:val="24"/>
              </w:rPr>
            </w:pPr>
            <w:r>
              <w:rPr>
                <w:rFonts w:hint="eastAsia" w:ascii="宋体" w:hAnsi="宋体"/>
                <w:bCs/>
                <w:sz w:val="24"/>
              </w:rPr>
              <w:t>净利润</w:t>
            </w:r>
          </w:p>
          <w:p>
            <w:pPr>
              <w:spacing w:line="360" w:lineRule="auto"/>
              <w:ind w:firstLine="240" w:firstLineChars="100"/>
              <w:jc w:val="center"/>
              <w:rPr>
                <w:rFonts w:ascii="宋体" w:hAnsi="宋体"/>
                <w:bCs/>
                <w:sz w:val="24"/>
              </w:rPr>
            </w:pPr>
            <w:r>
              <w:rPr>
                <w:rFonts w:hint="eastAsia" w:ascii="宋体" w:hAnsi="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242" w:type="dxa"/>
            <w:vMerge w:val="continue"/>
            <w:vAlign w:val="center"/>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vAlign w:val="center"/>
          </w:tcPr>
          <w:p>
            <w:pPr>
              <w:spacing w:line="360" w:lineRule="auto"/>
              <w:rPr>
                <w:rFonts w:ascii="宋体" w:hAnsi="宋体"/>
                <w:bCs/>
                <w:sz w:val="24"/>
              </w:rPr>
            </w:pPr>
          </w:p>
        </w:tc>
        <w:tc>
          <w:tcPr>
            <w:tcW w:w="1549" w:type="dxa"/>
            <w:vAlign w:val="center"/>
          </w:tcPr>
          <w:p>
            <w:pPr>
              <w:spacing w:line="360" w:lineRule="auto"/>
              <w:rPr>
                <w:rFonts w:ascii="宋体" w:hAnsi="宋体"/>
                <w:bCs/>
                <w:sz w:val="24"/>
              </w:rPr>
            </w:pPr>
          </w:p>
        </w:tc>
        <w:tc>
          <w:tcPr>
            <w:tcW w:w="1583" w:type="dxa"/>
            <w:vAlign w:val="center"/>
          </w:tcPr>
          <w:p>
            <w:pPr>
              <w:spacing w:line="360" w:lineRule="auto"/>
              <w:rPr>
                <w:rFonts w:ascii="宋体" w:hAnsi="宋体"/>
                <w:bCs/>
                <w:sz w:val="24"/>
              </w:rPr>
            </w:pPr>
          </w:p>
        </w:tc>
        <w:tc>
          <w:tcPr>
            <w:tcW w:w="1607" w:type="dxa"/>
            <w:gridSpan w:val="2"/>
            <w:vAlign w:val="center"/>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1242" w:type="dxa"/>
            <w:vMerge w:val="continue"/>
          </w:tcPr>
          <w:p>
            <w:pPr>
              <w:spacing w:line="360" w:lineRule="auto"/>
              <w:rPr>
                <w:rFonts w:ascii="宋体" w:hAnsi="宋体"/>
                <w:bCs/>
                <w:sz w:val="24"/>
              </w:rPr>
            </w:pPr>
          </w:p>
        </w:tc>
        <w:tc>
          <w:tcPr>
            <w:tcW w:w="1866" w:type="dxa"/>
            <w:gridSpan w:val="3"/>
            <w:vAlign w:val="center"/>
          </w:tcPr>
          <w:p>
            <w:pPr>
              <w:spacing w:line="360" w:lineRule="auto"/>
              <w:rPr>
                <w:rFonts w:ascii="宋体" w:hAnsi="宋体"/>
                <w:bCs/>
                <w:sz w:val="24"/>
              </w:rPr>
            </w:pPr>
            <w:r>
              <w:rPr>
                <w:rFonts w:hint="eastAsia" w:ascii="宋体" w:hAnsi="宋体"/>
                <w:bCs/>
                <w:sz w:val="24"/>
              </w:rPr>
              <w:t xml:space="preserve">          年</w:t>
            </w:r>
          </w:p>
        </w:tc>
        <w:tc>
          <w:tcPr>
            <w:tcW w:w="1549" w:type="dxa"/>
          </w:tcPr>
          <w:p>
            <w:pPr>
              <w:spacing w:line="360" w:lineRule="auto"/>
              <w:rPr>
                <w:rFonts w:ascii="宋体" w:hAnsi="宋体"/>
                <w:bCs/>
                <w:sz w:val="24"/>
              </w:rPr>
            </w:pPr>
          </w:p>
        </w:tc>
        <w:tc>
          <w:tcPr>
            <w:tcW w:w="1549" w:type="dxa"/>
          </w:tcPr>
          <w:p>
            <w:pPr>
              <w:spacing w:line="360" w:lineRule="auto"/>
              <w:rPr>
                <w:rFonts w:ascii="宋体" w:hAnsi="宋体"/>
                <w:bCs/>
                <w:sz w:val="24"/>
              </w:rPr>
            </w:pPr>
          </w:p>
        </w:tc>
        <w:tc>
          <w:tcPr>
            <w:tcW w:w="1583" w:type="dxa"/>
          </w:tcPr>
          <w:p>
            <w:pPr>
              <w:spacing w:line="360" w:lineRule="auto"/>
              <w:rPr>
                <w:rFonts w:ascii="宋体" w:hAnsi="宋体"/>
                <w:bCs/>
                <w:sz w:val="24"/>
              </w:rPr>
            </w:pPr>
          </w:p>
        </w:tc>
        <w:tc>
          <w:tcPr>
            <w:tcW w:w="1607" w:type="dxa"/>
            <w:gridSpan w:val="2"/>
          </w:tcPr>
          <w:p>
            <w:pPr>
              <w:spacing w:line="360" w:lineRule="auto"/>
              <w:rPr>
                <w:rFonts w:ascii="宋体" w:hAnsi="宋体"/>
                <w:bCs/>
                <w:sz w:val="24"/>
              </w:rPr>
            </w:pPr>
          </w:p>
        </w:tc>
      </w:tr>
    </w:tbl>
    <w:p>
      <w:pPr>
        <w:pStyle w:val="6"/>
        <w:keepNext w:val="0"/>
        <w:keepLines w:val="0"/>
        <w:spacing w:before="0" w:after="0" w:line="360" w:lineRule="auto"/>
        <w:jc w:val="center"/>
        <w:rPr>
          <w:rFonts w:ascii="黑体" w:hAnsi="黑体" w:eastAsia="黑体"/>
          <w:b w:val="0"/>
          <w:bCs w:val="0"/>
        </w:rPr>
      </w:pPr>
      <w:r>
        <w:rPr>
          <w:rFonts w:hint="eastAsia" w:ascii="黑体" w:hAnsi="黑体" w:eastAsia="黑体"/>
          <w:b w:val="0"/>
        </w:rPr>
        <w:t>三、投标人资格声明（格式）</w:t>
      </w:r>
    </w:p>
    <w:p>
      <w:pPr>
        <w:spacing w:line="360" w:lineRule="auto"/>
        <w:ind w:firstLine="480" w:firstLineChars="200"/>
        <w:rPr>
          <w:rFonts w:ascii="宋体" w:hAnsi="宋体"/>
          <w:bCs/>
          <w:sz w:val="24"/>
        </w:rPr>
      </w:pPr>
      <w:r>
        <w:rPr>
          <w:rFonts w:hint="eastAsia" w:ascii="宋体" w:hAnsi="宋体"/>
          <w:bCs/>
          <w:sz w:val="24"/>
        </w:rPr>
        <w:t>我们保证上述声明中的资料和数据是真实的、正确的，我们同意如贵方要求，可以出示相关证明文件。</w:t>
      </w:r>
    </w:p>
    <w:p>
      <w:pPr>
        <w:spacing w:line="360" w:lineRule="auto"/>
        <w:rPr>
          <w:rFonts w:ascii="宋体" w:hAnsi="宋体"/>
          <w:bCs/>
          <w:sz w:val="24"/>
          <w:u w:val="single"/>
        </w:rPr>
      </w:pPr>
      <w:r>
        <w:rPr>
          <w:rFonts w:hint="eastAsia" w:ascii="宋体" w:hAnsi="宋体"/>
          <w:bCs/>
          <w:sz w:val="24"/>
        </w:rPr>
        <w:t>授权代表签字：</w:t>
      </w:r>
    </w:p>
    <w:p>
      <w:pPr>
        <w:spacing w:line="360" w:lineRule="auto"/>
        <w:rPr>
          <w:rFonts w:ascii="宋体" w:hAnsi="宋体"/>
          <w:bCs/>
          <w:sz w:val="24"/>
          <w:u w:val="single"/>
        </w:rPr>
      </w:pPr>
      <w:r>
        <w:rPr>
          <w:rFonts w:hint="eastAsia" w:ascii="宋体" w:hAnsi="宋体"/>
          <w:bCs/>
          <w:sz w:val="24"/>
        </w:rPr>
        <w:t>授权代表的职务：</w:t>
      </w:r>
    </w:p>
    <w:p>
      <w:pPr>
        <w:spacing w:line="360" w:lineRule="auto"/>
        <w:rPr>
          <w:rFonts w:ascii="宋体" w:hAnsi="宋体"/>
          <w:bCs/>
          <w:sz w:val="24"/>
          <w:u w:val="single"/>
        </w:rPr>
      </w:pPr>
      <w:r>
        <w:rPr>
          <w:rFonts w:hint="eastAsia" w:ascii="宋体" w:hAnsi="宋体"/>
          <w:bCs/>
          <w:sz w:val="24"/>
        </w:rPr>
        <w:t>电话号和传真号：</w:t>
      </w:r>
    </w:p>
    <w:p>
      <w:pPr>
        <w:spacing w:line="360" w:lineRule="auto"/>
        <w:rPr>
          <w:rFonts w:ascii="宋体" w:hAnsi="宋体"/>
          <w:bCs/>
          <w:sz w:val="24"/>
        </w:rPr>
      </w:pPr>
      <w:r>
        <w:rPr>
          <w:rFonts w:hint="eastAsia" w:ascii="宋体" w:hAnsi="宋体"/>
          <w:bCs/>
          <w:sz w:val="24"/>
        </w:rPr>
        <w:t>投标人</w:t>
      </w:r>
      <w:r>
        <w:rPr>
          <w:rFonts w:hint="eastAsia" w:ascii="宋体" w:hAnsi="宋体"/>
          <w:bCs/>
          <w:color w:val="000000"/>
          <w:sz w:val="24"/>
        </w:rPr>
        <w:t>（单位公章或投标专用章）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日期：年  月  日</w:t>
      </w:r>
    </w:p>
    <w:p>
      <w:pPr>
        <w:pageBreakBefore/>
        <w:spacing w:line="360" w:lineRule="auto"/>
        <w:ind w:firstLine="2720" w:firstLineChars="850"/>
        <w:rPr>
          <w:rFonts w:ascii="黑体" w:hAnsi="Arial" w:eastAsia="黑体"/>
          <w:sz w:val="32"/>
          <w:szCs w:val="32"/>
        </w:rPr>
      </w:pPr>
      <w:r>
        <w:rPr>
          <w:rFonts w:hint="eastAsia" w:ascii="黑体" w:hAnsi="Arial" w:eastAsia="黑体"/>
          <w:sz w:val="32"/>
          <w:szCs w:val="32"/>
        </w:rPr>
        <w:t>四、开标一览表（格式）</w:t>
      </w:r>
    </w:p>
    <w:p>
      <w:pPr>
        <w:spacing w:line="360" w:lineRule="auto"/>
        <w:rPr>
          <w:rFonts w:ascii="黑体" w:hAnsi="Arial" w:eastAsia="黑体"/>
          <w:szCs w:val="28"/>
        </w:rPr>
      </w:pPr>
    </w:p>
    <w:tbl>
      <w:tblPr>
        <w:tblStyle w:val="54"/>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编 号</w:t>
            </w:r>
          </w:p>
        </w:tc>
        <w:tc>
          <w:tcPr>
            <w:tcW w:w="6652" w:type="dxa"/>
            <w:vAlign w:val="center"/>
          </w:tcPr>
          <w:p>
            <w:pPr>
              <w:pStyle w:val="4"/>
              <w:spacing w:before="0" w:after="0" w:line="360" w:lineRule="auto"/>
              <w:jc w:val="left"/>
              <w:rPr>
                <w:rFonts w:ascii="Times New Roman"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5" w:hRule="atLeast"/>
        </w:trPr>
        <w:tc>
          <w:tcPr>
            <w:tcW w:w="2785" w:type="dxa"/>
            <w:vAlign w:val="center"/>
          </w:tcPr>
          <w:p>
            <w:pPr>
              <w:spacing w:line="360" w:lineRule="auto"/>
              <w:ind w:firstLine="482" w:firstLineChars="200"/>
              <w:rPr>
                <w:rFonts w:ascii="宋体"/>
                <w:b/>
                <w:bCs/>
                <w:sz w:val="24"/>
              </w:rPr>
            </w:pPr>
            <w:r>
              <w:rPr>
                <w:rFonts w:hint="eastAsia" w:ascii="宋体"/>
                <w:b/>
                <w:bCs/>
                <w:sz w:val="24"/>
              </w:rPr>
              <w:t>项 目 名 称</w:t>
            </w:r>
          </w:p>
        </w:tc>
        <w:tc>
          <w:tcPr>
            <w:tcW w:w="6652" w:type="dxa"/>
            <w:vAlign w:val="center"/>
          </w:tcPr>
          <w:p>
            <w:pPr>
              <w:spacing w:line="360" w:lineRule="auto"/>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9437" w:type="dxa"/>
            <w:gridSpan w:val="2"/>
            <w:vAlign w:val="center"/>
          </w:tcPr>
          <w:p>
            <w:pPr>
              <w:spacing w:line="360" w:lineRule="auto"/>
              <w:jc w:val="center"/>
              <w:rPr>
                <w:rFonts w:ascii="宋体" w:hAnsi="宋体"/>
                <w:b/>
                <w:bCs/>
                <w:sz w:val="24"/>
                <w:szCs w:val="24"/>
              </w:rPr>
            </w:pPr>
          </w:p>
          <w:p>
            <w:pPr>
              <w:spacing w:line="360" w:lineRule="auto"/>
              <w:rPr>
                <w:rFonts w:ascii="宋体" w:hAnsi="宋体"/>
                <w:b/>
                <w:bCs/>
                <w:sz w:val="24"/>
                <w:szCs w:val="24"/>
              </w:rPr>
            </w:pPr>
            <w:r>
              <w:rPr>
                <w:rFonts w:hint="eastAsia" w:ascii="宋体" w:hAnsi="宋体"/>
                <w:b/>
                <w:bCs/>
                <w:sz w:val="24"/>
                <w:szCs w:val="24"/>
              </w:rPr>
              <w:t>项目投标报价：（大写）</w:t>
            </w:r>
            <w:r>
              <w:rPr>
                <w:rFonts w:hint="eastAsia" w:ascii="宋体" w:hAnsi="宋体"/>
                <w:b/>
                <w:bCs/>
                <w:sz w:val="24"/>
                <w:szCs w:val="24"/>
                <w:u w:val="single"/>
              </w:rPr>
              <w:t xml:space="preserve">                    </w:t>
            </w:r>
            <w:r>
              <w:rPr>
                <w:rFonts w:hint="eastAsia" w:ascii="宋体" w:hAnsi="宋体"/>
                <w:b/>
                <w:bCs/>
                <w:sz w:val="24"/>
                <w:szCs w:val="24"/>
              </w:rPr>
              <w:t xml:space="preserve"> ，小写：</w:t>
            </w:r>
            <w:r>
              <w:rPr>
                <w:rFonts w:hint="eastAsia" w:ascii="宋体" w:hAnsi="宋体"/>
                <w:b/>
                <w:bCs/>
                <w:sz w:val="24"/>
                <w:szCs w:val="24"/>
                <w:u w:val="single"/>
              </w:rPr>
              <w:t xml:space="preserve">                 </w:t>
            </w:r>
            <w:r>
              <w:rPr>
                <w:rFonts w:hint="eastAsia" w:ascii="宋体" w:hAnsi="宋体"/>
                <w:b/>
                <w:bCs/>
                <w:sz w:val="24"/>
                <w:szCs w:val="24"/>
              </w:rPr>
              <w:t>。</w:t>
            </w:r>
          </w:p>
          <w:p>
            <w:pPr>
              <w:pStyle w:val="17"/>
              <w:ind w:firstLine="482"/>
              <w:jc w:val="center"/>
              <w:rPr>
                <w:rFonts w:ascii="宋体" w:hAnsi="宋体" w:eastAsia="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trPr>
        <w:tc>
          <w:tcPr>
            <w:tcW w:w="9437" w:type="dxa"/>
            <w:gridSpan w:val="2"/>
            <w:vAlign w:val="center"/>
          </w:tcPr>
          <w:p>
            <w:pPr>
              <w:pStyle w:val="44"/>
              <w:widowControl w:val="0"/>
              <w:spacing w:before="0" w:beforeAutospacing="0" w:after="0" w:afterAutospacing="0" w:line="360" w:lineRule="auto"/>
              <w:contextualSpacing/>
              <w:jc w:val="both"/>
              <w:rPr>
                <w:b/>
                <w:bCs/>
              </w:rPr>
            </w:pPr>
            <w:r>
              <w:rPr>
                <w:rFonts w:hint="eastAsia" w:hAnsi="Times New Roman" w:cs="Times New Roman"/>
                <w:b/>
                <w:bCs/>
                <w:kern w:val="2"/>
                <w:szCs w:val="21"/>
              </w:rPr>
              <w:t>服务期：</w:t>
            </w:r>
            <w:r>
              <w:rPr>
                <w:rFonts w:hint="eastAsia"/>
              </w:rPr>
              <w:t>2022年7月31日前完成成果交付并通过专家论证。具体时间安排根据采购人要求进行调整。</w:t>
            </w:r>
          </w:p>
        </w:tc>
      </w:tr>
    </w:tbl>
    <w:p>
      <w:pPr>
        <w:spacing w:line="360" w:lineRule="auto"/>
        <w:rPr>
          <w:rFonts w:ascii="宋体"/>
          <w:sz w:val="24"/>
        </w:rPr>
      </w:pPr>
    </w:p>
    <w:p>
      <w:pPr>
        <w:spacing w:line="360" w:lineRule="auto"/>
        <w:rPr>
          <w:rFonts w:ascii="宋体"/>
          <w:b/>
          <w:sz w:val="24"/>
        </w:rPr>
      </w:pPr>
    </w:p>
    <w:p>
      <w:pPr>
        <w:spacing w:line="360" w:lineRule="auto"/>
        <w:ind w:firstLine="2125" w:firstLineChars="882"/>
        <w:jc w:val="center"/>
        <w:rPr>
          <w:rFonts w:ascii="宋体"/>
          <w:b/>
          <w:sz w:val="24"/>
        </w:rPr>
      </w:pPr>
      <w:r>
        <w:rPr>
          <w:rFonts w:hint="eastAsia" w:ascii="宋体"/>
          <w:b/>
          <w:sz w:val="24"/>
        </w:rPr>
        <w:t xml:space="preserve">            投标人（单位公章或投标专用章）：</w:t>
      </w:r>
    </w:p>
    <w:p>
      <w:pPr>
        <w:spacing w:line="360" w:lineRule="auto"/>
        <w:ind w:firstLine="2125" w:firstLineChars="882"/>
        <w:jc w:val="center"/>
        <w:rPr>
          <w:rFonts w:ascii="宋体"/>
          <w:b/>
          <w:sz w:val="24"/>
        </w:rPr>
      </w:pPr>
      <w:r>
        <w:rPr>
          <w:rFonts w:hint="eastAsia" w:ascii="宋体"/>
          <w:b/>
          <w:sz w:val="24"/>
        </w:rPr>
        <w:t xml:space="preserve">                 法定代表人或授权代表（签字或盖章）：</w:t>
      </w:r>
    </w:p>
    <w:p>
      <w:pPr>
        <w:spacing w:line="360" w:lineRule="auto"/>
        <w:ind w:firstLine="5368" w:firstLineChars="2228"/>
        <w:rPr>
          <w:b/>
          <w:sz w:val="24"/>
        </w:rPr>
      </w:pPr>
      <w:r>
        <w:rPr>
          <w:rFonts w:hint="eastAsia"/>
          <w:b/>
          <w:sz w:val="24"/>
        </w:rPr>
        <w:t>日期：     年 月 日</w:t>
      </w:r>
    </w:p>
    <w:p>
      <w:pPr>
        <w:spacing w:line="360" w:lineRule="auto"/>
        <w:ind w:firstLine="5542" w:firstLineChars="2300"/>
        <w:jc w:val="center"/>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ind w:firstLine="5542" w:firstLineChars="2300"/>
        <w:rPr>
          <w:b/>
          <w:sz w:val="24"/>
        </w:rPr>
      </w:pPr>
    </w:p>
    <w:p>
      <w:pPr>
        <w:spacing w:line="360" w:lineRule="auto"/>
        <w:rPr>
          <w:b/>
          <w:sz w:val="24"/>
        </w:rPr>
      </w:pPr>
    </w:p>
    <w:p>
      <w:pPr>
        <w:pStyle w:val="17"/>
        <w:ind w:firstLine="480"/>
        <w:rPr>
          <w:rFonts w:ascii="宋体" w:cs="宋体"/>
          <w:b/>
          <w:color w:val="000000"/>
          <w:kern w:val="0"/>
          <w:sz w:val="24"/>
        </w:rPr>
      </w:pPr>
    </w:p>
    <w:p>
      <w:pPr>
        <w:pStyle w:val="17"/>
        <w:ind w:firstLine="0" w:firstLineChars="0"/>
        <w:rPr>
          <w:rFonts w:ascii="宋体" w:cs="宋体"/>
          <w:b/>
          <w:color w:val="000000"/>
          <w:kern w:val="0"/>
          <w:sz w:val="24"/>
        </w:rPr>
      </w:pPr>
    </w:p>
    <w:p>
      <w:pPr>
        <w:pStyle w:val="17"/>
        <w:ind w:firstLine="0" w:firstLineChars="0"/>
        <w:rPr>
          <w:rFonts w:ascii="宋体" w:cs="宋体"/>
          <w:b/>
          <w:color w:val="000000"/>
          <w:kern w:val="0"/>
          <w:sz w:val="24"/>
        </w:rPr>
      </w:pPr>
    </w:p>
    <w:p>
      <w:pPr>
        <w:pStyle w:val="17"/>
        <w:ind w:firstLine="0" w:firstLineChars="0"/>
        <w:jc w:val="center"/>
        <w:rPr>
          <w:rFonts w:ascii="黑体" w:hAnsi="Arial" w:eastAsia="黑体"/>
          <w:color w:val="000000"/>
          <w:sz w:val="32"/>
          <w:szCs w:val="32"/>
        </w:rPr>
      </w:pPr>
      <w:r>
        <w:rPr>
          <w:rFonts w:hint="eastAsia" w:ascii="黑体" w:hAnsi="Arial" w:eastAsia="黑体"/>
          <w:color w:val="000000"/>
          <w:sz w:val="32"/>
          <w:szCs w:val="32"/>
        </w:rPr>
        <w:t>五、专家人员响应一览表</w:t>
      </w:r>
    </w:p>
    <w:p>
      <w:pPr>
        <w:pStyle w:val="17"/>
        <w:ind w:firstLine="0" w:firstLineChars="0"/>
        <w:rPr>
          <w:rFonts w:asciiTheme="minorEastAsia" w:hAnsiTheme="minorEastAsia" w:eastAsiaTheme="minorEastAsia"/>
          <w:color w:val="000000"/>
          <w:sz w:val="24"/>
          <w:szCs w:val="32"/>
        </w:rPr>
      </w:pPr>
      <w:r>
        <w:rPr>
          <w:rFonts w:hint="eastAsia" w:asciiTheme="minorEastAsia" w:hAnsiTheme="minorEastAsia" w:eastAsiaTheme="minorEastAsia"/>
          <w:color w:val="000000"/>
          <w:sz w:val="24"/>
          <w:szCs w:val="32"/>
        </w:rPr>
        <w:t>盐城幼儿师范高等专科学校课题组专家名单：</w:t>
      </w:r>
    </w:p>
    <w:tbl>
      <w:tblPr>
        <w:tblStyle w:val="54"/>
        <w:tblW w:w="9366" w:type="dxa"/>
        <w:tblInd w:w="98" w:type="dxa"/>
        <w:tblLayout w:type="fixed"/>
        <w:tblCellMar>
          <w:top w:w="0" w:type="dxa"/>
          <w:left w:w="108" w:type="dxa"/>
          <w:bottom w:w="0" w:type="dxa"/>
          <w:right w:w="108" w:type="dxa"/>
        </w:tblCellMar>
      </w:tblPr>
      <w:tblGrid>
        <w:gridCol w:w="1087"/>
        <w:gridCol w:w="948"/>
        <w:gridCol w:w="1206"/>
        <w:gridCol w:w="3432"/>
        <w:gridCol w:w="1417"/>
        <w:gridCol w:w="1276"/>
      </w:tblGrid>
      <w:tr>
        <w:tblPrEx>
          <w:tblLayout w:type="fixed"/>
          <w:tblCellMar>
            <w:top w:w="0" w:type="dxa"/>
            <w:left w:w="108" w:type="dxa"/>
            <w:bottom w:w="0" w:type="dxa"/>
            <w:right w:w="108" w:type="dxa"/>
          </w:tblCellMar>
        </w:tblPrEx>
        <w:trPr>
          <w:trHeight w:val="310" w:hRule="atLeast"/>
        </w:trPr>
        <w:tc>
          <w:tcPr>
            <w:tcW w:w="1087"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姓名</w:t>
            </w:r>
          </w:p>
        </w:tc>
        <w:tc>
          <w:tcPr>
            <w:tcW w:w="948"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学历</w:t>
            </w:r>
          </w:p>
        </w:tc>
        <w:tc>
          <w:tcPr>
            <w:tcW w:w="120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职称</w:t>
            </w:r>
          </w:p>
        </w:tc>
        <w:tc>
          <w:tcPr>
            <w:tcW w:w="3432"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单位职务</w:t>
            </w:r>
          </w:p>
        </w:tc>
        <w:tc>
          <w:tcPr>
            <w:tcW w:w="1417"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在团队中的角色</w:t>
            </w:r>
          </w:p>
        </w:tc>
        <w:tc>
          <w:tcPr>
            <w:tcW w:w="1276" w:type="dxa"/>
            <w:tcBorders>
              <w:top w:val="single" w:color="auto" w:sz="4" w:space="0"/>
              <w:left w:val="nil"/>
              <w:bottom w:val="single" w:color="auto" w:sz="4" w:space="0"/>
              <w:right w:val="single" w:color="auto" w:sz="4" w:space="0"/>
            </w:tcBorders>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是否</w:t>
            </w:r>
          </w:p>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响应</w:t>
            </w:r>
          </w:p>
        </w:tc>
      </w:tr>
      <w:tr>
        <w:tblPrEx>
          <w:tblLayout w:type="fixed"/>
          <w:tblCellMar>
            <w:top w:w="0" w:type="dxa"/>
            <w:left w:w="108" w:type="dxa"/>
            <w:bottom w:w="0" w:type="dxa"/>
            <w:right w:w="108" w:type="dxa"/>
          </w:tblCellMar>
        </w:tblPrEx>
        <w:trPr>
          <w:trHeight w:val="6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马树超</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上海市职业教育协会会长、上海市教育科学研究院原副院长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顾问</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孙崇文</w:t>
            </w:r>
          </w:p>
        </w:tc>
        <w:tc>
          <w:tcPr>
            <w:tcW w:w="94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上海市教育科学研究院副院长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顾问</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郭  扬</w:t>
            </w:r>
          </w:p>
        </w:tc>
        <w:tc>
          <w:tcPr>
            <w:tcW w:w="94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上海市教育科学研究院职业技术教育研究所原所长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顾问</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6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  晨</w:t>
            </w:r>
          </w:p>
        </w:tc>
        <w:tc>
          <w:tcPr>
            <w:tcW w:w="94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本科</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副研究员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上海市教育科学研究院职业技术教育研究所副所长（主持工作）</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课题组组长</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孙兴洋</w:t>
            </w:r>
          </w:p>
        </w:tc>
        <w:tc>
          <w:tcPr>
            <w:tcW w:w="94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教授</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无锡科技职业学院校长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顾问</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经贵宝</w:t>
            </w:r>
          </w:p>
        </w:tc>
        <w:tc>
          <w:tcPr>
            <w:tcW w:w="94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江苏省教育厅语言文字与继续教育处一级调研员</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顾问</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胡  育</w:t>
            </w:r>
          </w:p>
        </w:tc>
        <w:tc>
          <w:tcPr>
            <w:tcW w:w="94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上海市托幼协会秘书长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顾问</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郭文富</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助理研究员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上海市教育科学研究院职教所副所长</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课题组成员</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肖鹏程</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助理研究员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上海市教育科学研究院职教所</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课题组成员</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黄  芳</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助理研究员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上海市教育科学研究院职教所</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课题组成员</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李冲越</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助理研究员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上海市教育科学研究院职教所</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课题组成员</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胡丽亚</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助理研究员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上海市教育科学研究院职教所</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课题组成员</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徐静茹</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助理研究员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上海市教育科学研究院职教所</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课题组成员</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300" w:hRule="atLeast"/>
        </w:trPr>
        <w:tc>
          <w:tcPr>
            <w:tcW w:w="10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钟  华</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硕士</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助理研究员</w:t>
            </w:r>
          </w:p>
        </w:tc>
        <w:tc>
          <w:tcPr>
            <w:tcW w:w="34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上海市教育科学研究院职教所</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课题组成员</w:t>
            </w:r>
          </w:p>
        </w:tc>
        <w:tc>
          <w:tcPr>
            <w:tcW w:w="1276" w:type="dxa"/>
            <w:tcBorders>
              <w:top w:val="nil"/>
              <w:left w:val="nil"/>
              <w:bottom w:val="single" w:color="auto" w:sz="4" w:space="0"/>
              <w:right w:val="single" w:color="auto" w:sz="4" w:space="0"/>
            </w:tcBorders>
          </w:tcPr>
          <w:p>
            <w:pPr>
              <w:widowControl/>
              <w:jc w:val="center"/>
              <w:rPr>
                <w:rFonts w:ascii="宋体" w:hAnsi="宋体" w:cs="宋体"/>
                <w:color w:val="000000"/>
                <w:kern w:val="0"/>
                <w:sz w:val="24"/>
                <w:szCs w:val="24"/>
              </w:rPr>
            </w:pPr>
          </w:p>
        </w:tc>
      </w:tr>
    </w:tbl>
    <w:p>
      <w:pPr>
        <w:snapToGrid w:val="0"/>
        <w:spacing w:line="480" w:lineRule="exact"/>
        <w:jc w:val="center"/>
        <w:rPr>
          <w:rFonts w:ascii="黑体" w:hAnsi="Arial" w:eastAsia="黑体"/>
          <w:color w:val="000000"/>
          <w:sz w:val="32"/>
          <w:szCs w:val="32"/>
        </w:rPr>
      </w:pPr>
    </w:p>
    <w:p>
      <w:pPr>
        <w:pStyle w:val="2"/>
      </w:pPr>
    </w:p>
    <w:p>
      <w:pPr>
        <w:pStyle w:val="2"/>
        <w:jc w:val="center"/>
        <w:rPr>
          <w:rFonts w:ascii="宋体" w:hAnsi="宋体"/>
        </w:rPr>
      </w:pPr>
      <w:r>
        <w:rPr>
          <w:rFonts w:hint="eastAsia" w:ascii="宋体" w:hAnsi="宋体"/>
        </w:rPr>
        <w:t>投标人全称（加盖公章）：</w:t>
      </w:r>
    </w:p>
    <w:p>
      <w:pPr>
        <w:jc w:val="center"/>
        <w:rPr>
          <w:rFonts w:ascii="宋体" w:hAnsi="宋体"/>
          <w:color w:val="000000"/>
          <w:sz w:val="24"/>
          <w:szCs w:val="24"/>
        </w:rPr>
      </w:pPr>
      <w:r>
        <w:rPr>
          <w:rFonts w:hint="eastAsia" w:ascii="宋体" w:hAnsi="宋体"/>
          <w:color w:val="000000"/>
          <w:sz w:val="24"/>
          <w:szCs w:val="24"/>
        </w:rPr>
        <w:t>法定代表人或授权代表签字：</w:t>
      </w:r>
    </w:p>
    <w:p>
      <w:pPr>
        <w:pStyle w:val="2"/>
      </w:pPr>
    </w:p>
    <w:p>
      <w:pPr>
        <w:pStyle w:val="2"/>
      </w:pPr>
    </w:p>
    <w:p>
      <w:pPr>
        <w:pStyle w:val="2"/>
      </w:pPr>
    </w:p>
    <w:p>
      <w:pPr>
        <w:rPr>
          <w:rFonts w:ascii="宋体" w:hAnsi="宋体"/>
          <w:b/>
          <w:sz w:val="24"/>
          <w:szCs w:val="24"/>
        </w:rPr>
      </w:pPr>
      <w:r>
        <w:rPr>
          <w:rFonts w:hint="eastAsia" w:ascii="宋体" w:hAnsi="宋体"/>
          <w:b/>
          <w:bCs/>
          <w:sz w:val="24"/>
        </w:rPr>
        <w:t>注：本表投标人需逐条应答，若投标人有不响应人员，需说明情况，招标人有权就不响应情况做废标处理。</w:t>
      </w:r>
    </w:p>
    <w:p>
      <w:pPr>
        <w:pStyle w:val="2"/>
        <w:jc w:val="center"/>
      </w:pPr>
    </w:p>
    <w:p>
      <w:pPr>
        <w:pStyle w:val="2"/>
      </w:pPr>
    </w:p>
    <w:p>
      <w:pPr>
        <w:snapToGrid w:val="0"/>
        <w:spacing w:line="480" w:lineRule="exact"/>
        <w:jc w:val="center"/>
        <w:rPr>
          <w:rFonts w:ascii="宋体" w:hAnsi="宋体"/>
          <w:color w:val="000000"/>
          <w:sz w:val="24"/>
        </w:rPr>
      </w:pPr>
      <w:r>
        <w:rPr>
          <w:rFonts w:hint="eastAsia" w:ascii="黑体" w:hAnsi="Arial" w:eastAsia="黑体"/>
          <w:color w:val="000000"/>
          <w:sz w:val="32"/>
          <w:szCs w:val="32"/>
        </w:rPr>
        <w:t>六、技术方案、服务承诺</w:t>
      </w:r>
    </w:p>
    <w:p>
      <w:pPr>
        <w:pStyle w:val="17"/>
        <w:ind w:firstLine="600"/>
        <w:rPr>
          <w:color w:val="000000"/>
        </w:rPr>
      </w:pPr>
      <w:r>
        <w:rPr>
          <w:color w:val="000000"/>
        </w:rPr>
        <w:t>格式自拟</w:t>
      </w:r>
    </w:p>
    <w:p>
      <w:pPr>
        <w:pStyle w:val="17"/>
        <w:ind w:firstLine="600"/>
        <w:rPr>
          <w:color w:val="000000"/>
        </w:rPr>
      </w:pPr>
    </w:p>
    <w:p>
      <w:pPr>
        <w:spacing w:line="360" w:lineRule="auto"/>
        <w:rPr>
          <w:color w:val="000000"/>
        </w:rPr>
      </w:pPr>
    </w:p>
    <w:p>
      <w:pPr>
        <w:pStyle w:val="17"/>
        <w:ind w:firstLine="600"/>
        <w:rPr>
          <w:color w:val="000000"/>
        </w:rPr>
      </w:pPr>
    </w:p>
    <w:p>
      <w:pPr>
        <w:pStyle w:val="17"/>
        <w:ind w:firstLine="600"/>
        <w:rPr>
          <w:color w:val="000000"/>
        </w:rPr>
      </w:pPr>
    </w:p>
    <w:p>
      <w:pPr>
        <w:pStyle w:val="17"/>
        <w:ind w:firstLine="482"/>
        <w:jc w:val="right"/>
        <w:rPr>
          <w:rFonts w:ascii="宋体" w:hAnsi="宋体" w:eastAsia="宋体"/>
          <w:b/>
          <w:color w:val="000000"/>
          <w:sz w:val="24"/>
          <w:szCs w:val="24"/>
        </w:rPr>
      </w:pPr>
      <w:r>
        <w:rPr>
          <w:rFonts w:hint="eastAsia" w:ascii="宋体" w:hAnsi="宋体" w:eastAsia="宋体"/>
          <w:b/>
          <w:color w:val="000000"/>
          <w:sz w:val="24"/>
          <w:szCs w:val="24"/>
        </w:rPr>
        <w:t xml:space="preserve">                                    投标人（单位公章或投标专用章）:</w:t>
      </w:r>
    </w:p>
    <w:p>
      <w:pPr>
        <w:pStyle w:val="17"/>
        <w:ind w:firstLine="482"/>
        <w:jc w:val="right"/>
        <w:rPr>
          <w:rFonts w:ascii="宋体" w:hAnsi="宋体" w:eastAsia="宋体"/>
          <w:b/>
          <w:color w:val="000000"/>
          <w:sz w:val="24"/>
          <w:szCs w:val="24"/>
        </w:rPr>
      </w:pPr>
      <w:r>
        <w:rPr>
          <w:rFonts w:ascii="宋体" w:hAnsi="宋体" w:eastAsia="宋体"/>
          <w:b/>
          <w:color w:val="000000"/>
          <w:sz w:val="24"/>
          <w:szCs w:val="24"/>
        </w:rPr>
        <w:t>法定代表人或授权代表</w:t>
      </w:r>
      <w:r>
        <w:rPr>
          <w:rFonts w:hint="eastAsia" w:ascii="宋体" w:hAnsi="宋体" w:eastAsia="宋体"/>
          <w:b/>
          <w:color w:val="000000"/>
          <w:sz w:val="24"/>
          <w:szCs w:val="24"/>
        </w:rPr>
        <w:t>（</w:t>
      </w:r>
      <w:r>
        <w:rPr>
          <w:rFonts w:ascii="宋体" w:hAnsi="宋体" w:eastAsia="宋体"/>
          <w:b/>
          <w:color w:val="000000"/>
          <w:sz w:val="24"/>
          <w:szCs w:val="24"/>
        </w:rPr>
        <w:t>签字或盖章</w:t>
      </w:r>
      <w:r>
        <w:rPr>
          <w:rFonts w:hint="eastAsia" w:ascii="宋体" w:hAnsi="宋体" w:eastAsia="宋体"/>
          <w:b/>
          <w:color w:val="000000"/>
          <w:sz w:val="24"/>
          <w:szCs w:val="24"/>
        </w:rPr>
        <w:t>）:</w:t>
      </w:r>
    </w:p>
    <w:p>
      <w:pPr>
        <w:pStyle w:val="17"/>
        <w:ind w:firstLine="482"/>
        <w:jc w:val="right"/>
        <w:rPr>
          <w:rFonts w:ascii="宋体" w:hAnsi="宋体" w:eastAsia="宋体"/>
          <w:b/>
          <w:color w:val="000000"/>
          <w:sz w:val="24"/>
          <w:szCs w:val="24"/>
        </w:rPr>
      </w:pPr>
      <w:r>
        <w:rPr>
          <w:rFonts w:ascii="宋体" w:hAnsi="宋体" w:eastAsia="宋体"/>
          <w:b/>
          <w:color w:val="000000"/>
          <w:sz w:val="24"/>
          <w:szCs w:val="24"/>
        </w:rPr>
        <w:t xml:space="preserve">    年</w:t>
      </w:r>
      <w:r>
        <w:rPr>
          <w:rFonts w:hint="eastAsia" w:ascii="宋体" w:hAnsi="宋体" w:eastAsia="宋体"/>
          <w:b/>
          <w:color w:val="000000"/>
          <w:sz w:val="24"/>
          <w:szCs w:val="24"/>
        </w:rPr>
        <w:t xml:space="preserve">   月    日</w:t>
      </w:r>
    </w:p>
    <w:p>
      <w:pPr>
        <w:rPr>
          <w:rFonts w:ascii="宋体" w:hAnsi="宋体"/>
          <w:b/>
          <w:sz w:val="24"/>
          <w:szCs w:val="24"/>
        </w:rPr>
      </w:pPr>
    </w:p>
    <w:p>
      <w:pPr>
        <w:pStyle w:val="3"/>
        <w:tabs>
          <w:tab w:val="left" w:pos="2900"/>
        </w:tabs>
        <w:autoSpaceDE w:val="0"/>
        <w:autoSpaceDN w:val="0"/>
        <w:adjustRightInd w:val="0"/>
        <w:spacing w:before="290" w:after="290" w:line="400" w:lineRule="exact"/>
        <w:rPr>
          <w:rFonts w:ascii="宋体" w:hAnsi="宋体"/>
          <w:sz w:val="24"/>
          <w:szCs w:val="24"/>
        </w:rPr>
      </w:pPr>
      <w:bookmarkStart w:id="55" w:name="_Toc447617937"/>
    </w:p>
    <w:p/>
    <w:p>
      <w:pPr>
        <w:pStyle w:val="3"/>
        <w:tabs>
          <w:tab w:val="left" w:pos="2900"/>
        </w:tabs>
        <w:autoSpaceDE w:val="0"/>
        <w:autoSpaceDN w:val="0"/>
        <w:adjustRightInd w:val="0"/>
        <w:spacing w:before="290" w:after="290" w:line="400" w:lineRule="exact"/>
        <w:rPr>
          <w:rFonts w:ascii="宋体" w:hAnsi="宋体"/>
          <w:szCs w:val="32"/>
        </w:rPr>
      </w:pPr>
    </w:p>
    <w:p/>
    <w:p/>
    <w:bookmarkEnd w:id="55"/>
    <w:p>
      <w:pPr>
        <w:pageBreakBefore/>
        <w:spacing w:line="360" w:lineRule="auto"/>
        <w:jc w:val="center"/>
        <w:rPr>
          <w:rFonts w:ascii="黑体" w:hAnsi="Arial" w:eastAsia="黑体"/>
          <w:sz w:val="32"/>
          <w:szCs w:val="32"/>
        </w:rPr>
      </w:pPr>
      <w:r>
        <w:rPr>
          <w:rFonts w:hint="eastAsia" w:ascii="黑体" w:hAnsi="Arial" w:eastAsia="黑体"/>
          <w:sz w:val="32"/>
          <w:szCs w:val="32"/>
        </w:rPr>
        <w:t>六、相关资信证明</w:t>
      </w:r>
    </w:p>
    <w:p>
      <w:pPr>
        <w:spacing w:line="360" w:lineRule="auto"/>
        <w:ind w:firstLine="480" w:firstLineChars="200"/>
        <w:rPr>
          <w:rFonts w:ascii="黑体" w:hAnsi="Arial" w:eastAsia="黑体"/>
          <w:sz w:val="32"/>
          <w:szCs w:val="32"/>
        </w:rPr>
      </w:pPr>
      <w:r>
        <w:rPr>
          <w:rFonts w:hint="eastAsia" w:ascii="宋体" w:hAnsi="宋体" w:cs="宋体"/>
          <w:sz w:val="24"/>
        </w:rPr>
        <w:t>文件1  法人或者其他组织的营业执照等证明文件，自然人的身份证明（复印件）</w:t>
      </w:r>
    </w:p>
    <w:p>
      <w:pPr>
        <w:snapToGrid w:val="0"/>
        <w:spacing w:line="360" w:lineRule="auto"/>
        <w:ind w:firstLine="480" w:firstLineChars="200"/>
        <w:rPr>
          <w:rFonts w:ascii="宋体" w:hAnsi="宋体" w:cs="宋体"/>
          <w:sz w:val="24"/>
        </w:rPr>
      </w:pPr>
      <w:r>
        <w:rPr>
          <w:rFonts w:hint="eastAsia" w:ascii="宋体" w:hAnsi="宋体" w:cs="宋体"/>
          <w:sz w:val="24"/>
        </w:rPr>
        <w:t>文件2  上一年度财务状况报表（复印件，成立不满一年不需提供）</w:t>
      </w:r>
    </w:p>
    <w:p>
      <w:pPr>
        <w:snapToGrid w:val="0"/>
        <w:spacing w:line="36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36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36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snapToGrid w:val="0"/>
        <w:spacing w:line="360" w:lineRule="auto"/>
        <w:ind w:firstLine="480" w:firstLineChars="200"/>
        <w:rPr>
          <w:rFonts w:ascii="宋体" w:hAnsi="宋体" w:cs="宋体"/>
          <w:sz w:val="24"/>
        </w:rPr>
      </w:pPr>
      <w:r>
        <w:rPr>
          <w:rFonts w:hint="eastAsia" w:ascii="宋体" w:hAnsi="宋体" w:cs="宋体"/>
          <w:sz w:val="24"/>
        </w:rPr>
        <w:t>文件6  法人授权书</w:t>
      </w:r>
    </w:p>
    <w:p>
      <w:pPr>
        <w:snapToGrid w:val="0"/>
        <w:spacing w:line="360" w:lineRule="auto"/>
        <w:ind w:firstLine="480"/>
        <w:rPr>
          <w:rFonts w:ascii="宋体" w:hAnsi="宋体" w:cs="宋体"/>
          <w:color w:val="000000"/>
          <w:sz w:val="24"/>
          <w:u w:val="single"/>
        </w:rPr>
      </w:pPr>
      <w:r>
        <w:rPr>
          <w:rFonts w:hint="eastAsia" w:ascii="宋体" w:hAnsi="宋体" w:cs="宋体"/>
          <w:sz w:val="24"/>
        </w:rPr>
        <w:t>文件7 单一来源采购文件中规定要求提供的证明材料和投标人认为需要提供的其他材料</w:t>
      </w:r>
    </w:p>
    <w:p/>
    <w:p>
      <w:pPr>
        <w:tabs>
          <w:tab w:val="left" w:pos="6108"/>
        </w:tabs>
      </w:pPr>
    </w:p>
    <w:p>
      <w:pPr>
        <w:snapToGrid w:val="0"/>
        <w:spacing w:before="50" w:after="50"/>
        <w:jc w:val="center"/>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17"/>
        <w:ind w:firstLine="640"/>
        <w:rPr>
          <w:rFonts w:ascii="黑体" w:eastAsia="黑体"/>
          <w:sz w:val="32"/>
          <w:szCs w:val="32"/>
        </w:rPr>
      </w:pPr>
    </w:p>
    <w:p>
      <w:pPr>
        <w:pStyle w:val="6"/>
        <w:keepNext w:val="0"/>
        <w:keepLines w:val="0"/>
        <w:pageBreakBefore/>
        <w:spacing w:before="0" w:after="0" w:line="360" w:lineRule="auto"/>
        <w:ind w:left="709"/>
        <w:jc w:val="center"/>
        <w:rPr>
          <w:rFonts w:ascii="宋体" w:hAnsi="宋体"/>
          <w:bCs w:val="0"/>
          <w:sz w:val="24"/>
          <w:szCs w:val="24"/>
        </w:rPr>
      </w:pPr>
      <w:r>
        <w:rPr>
          <w:rFonts w:hint="eastAsia" w:ascii="宋体" w:hAnsi="宋体"/>
          <w:bCs w:val="0"/>
          <w:sz w:val="24"/>
          <w:szCs w:val="24"/>
        </w:rPr>
        <w:t>具备履行合同所必需的设备和专业技术能力的书面声明</w:t>
      </w:r>
    </w:p>
    <w:p>
      <w:pPr>
        <w:spacing w:line="360" w:lineRule="auto"/>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bCs/>
          <w:sz w:val="24"/>
        </w:rPr>
      </w:pPr>
      <w:r>
        <w:rPr>
          <w:rFonts w:hint="eastAsia" w:ascii="宋体" w:hAnsi="宋体"/>
          <w:bCs/>
          <w:sz w:val="24"/>
        </w:rPr>
        <w:t>主要设备有：  。</w:t>
      </w:r>
    </w:p>
    <w:p>
      <w:pPr>
        <w:spacing w:line="360" w:lineRule="auto"/>
        <w:ind w:firstLine="492"/>
        <w:rPr>
          <w:rFonts w:ascii="宋体" w:hAnsi="宋体"/>
          <w:bCs/>
          <w:sz w:val="24"/>
        </w:rPr>
      </w:pPr>
      <w:r>
        <w:rPr>
          <w:rFonts w:hint="eastAsia" w:ascii="宋体" w:hAnsi="宋体"/>
          <w:bCs/>
          <w:sz w:val="24"/>
        </w:rPr>
        <w:t>主要专业技术能力有：   。</w:t>
      </w:r>
    </w:p>
    <w:p>
      <w:pPr>
        <w:spacing w:line="360" w:lineRule="auto"/>
        <w:rPr>
          <w:rFonts w:ascii="宋体" w:hAnsi="宋体"/>
          <w:bCs/>
          <w:sz w:val="24"/>
        </w:rPr>
      </w:pPr>
    </w:p>
    <w:p>
      <w:pPr>
        <w:spacing w:line="360" w:lineRule="auto"/>
        <w:ind w:firstLine="4440" w:firstLineChars="1850"/>
        <w:rPr>
          <w:rFonts w:ascii="宋体" w:hAnsi="宋体"/>
          <w:bCs/>
          <w:sz w:val="24"/>
        </w:rPr>
      </w:pPr>
      <w:r>
        <w:rPr>
          <w:rFonts w:hint="eastAsia" w:ascii="宋体" w:hAnsi="宋体"/>
          <w:bCs/>
          <w:sz w:val="24"/>
        </w:rPr>
        <w:t xml:space="preserve"> 供应商名称</w:t>
      </w:r>
      <w:r>
        <w:rPr>
          <w:rFonts w:hint="eastAsia" w:ascii="宋体" w:hAnsi="宋体"/>
          <w:bCs/>
          <w:color w:val="000000"/>
          <w:sz w:val="24"/>
        </w:rPr>
        <w:t>（公章或投标专用章）</w:t>
      </w:r>
      <w:r>
        <w:rPr>
          <w:rFonts w:hint="eastAsia" w:ascii="宋体" w:hAnsi="宋体"/>
          <w:bCs/>
          <w:sz w:val="24"/>
        </w:rPr>
        <w:t>：</w:t>
      </w:r>
    </w:p>
    <w:p>
      <w:pPr>
        <w:spacing w:line="360" w:lineRule="auto"/>
        <w:jc w:val="center"/>
        <w:rPr>
          <w:rFonts w:ascii="宋体" w:hAnsi="宋体"/>
          <w:bCs/>
          <w:sz w:val="24"/>
        </w:rPr>
      </w:pPr>
      <w:r>
        <w:rPr>
          <w:rFonts w:hint="eastAsia" w:ascii="宋体" w:hAnsi="宋体"/>
          <w:bCs/>
          <w:sz w:val="24"/>
        </w:rPr>
        <w:t xml:space="preserve">                     日期：  年   月   日</w:t>
      </w:r>
    </w:p>
    <w:p>
      <w:pPr>
        <w:pStyle w:val="5"/>
        <w:pageBreakBefore/>
        <w:spacing w:line="360" w:lineRule="auto"/>
        <w:ind w:firstLine="0"/>
        <w:jc w:val="center"/>
      </w:pPr>
      <w:r>
        <w:rPr>
          <w:rFonts w:hint="eastAsia" w:ascii="宋体" w:hAnsi="宋体"/>
          <w:b/>
          <w:bCs/>
          <w:sz w:val="24"/>
          <w:szCs w:val="24"/>
        </w:rPr>
        <w:t>参加政府采购活动前 3 年内在经营活动中没有重大违法记录的书面声明</w:t>
      </w:r>
    </w:p>
    <w:p>
      <w:pPr>
        <w:spacing w:line="360" w:lineRule="auto"/>
        <w:rPr>
          <w:rFonts w:ascii="宋体" w:hAnsi="宋体"/>
          <w:b/>
          <w:bCs/>
          <w:sz w:val="44"/>
          <w:szCs w:val="44"/>
        </w:rPr>
      </w:pPr>
      <w:r>
        <w:rPr>
          <w:rFonts w:hint="eastAsia" w:ascii="宋体" w:hAnsi="宋体"/>
          <w:b/>
          <w:bCs/>
          <w:sz w:val="44"/>
          <w:szCs w:val="44"/>
        </w:rPr>
        <w:t xml:space="preserve">                声  明</w:t>
      </w:r>
    </w:p>
    <w:p>
      <w:pPr>
        <w:spacing w:line="360" w:lineRule="auto"/>
        <w:ind w:firstLine="480" w:firstLineChars="200"/>
        <w:rPr>
          <w:rFonts w:ascii="宋体" w:hAnsi="宋体"/>
          <w:bCs/>
          <w:sz w:val="24"/>
        </w:rPr>
      </w:pPr>
      <w:r>
        <w:rPr>
          <w:rFonts w:hint="eastAsia" w:ascii="宋体" w:hAnsi="宋体"/>
          <w:bCs/>
          <w:sz w:val="24"/>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firstLine="3360" w:firstLineChars="1400"/>
        <w:rPr>
          <w:rFonts w:ascii="宋体" w:hAnsi="宋体"/>
          <w:bCs/>
          <w:sz w:val="24"/>
        </w:rPr>
      </w:pPr>
      <w:r>
        <w:rPr>
          <w:rFonts w:hint="eastAsia" w:ascii="宋体" w:hAnsi="宋体"/>
          <w:bCs/>
          <w:sz w:val="24"/>
        </w:rPr>
        <w:t>供应商名称</w:t>
      </w:r>
      <w:r>
        <w:rPr>
          <w:rFonts w:hint="eastAsia" w:ascii="宋体" w:hAnsi="宋体"/>
          <w:bCs/>
          <w:color w:val="000000"/>
          <w:sz w:val="24"/>
        </w:rPr>
        <w:t>（公章或投标专用章）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授权代表签字：_______________</w:t>
      </w:r>
    </w:p>
    <w:p>
      <w:pPr>
        <w:spacing w:line="360" w:lineRule="auto"/>
        <w:rPr>
          <w:rFonts w:ascii="宋体" w:hAnsi="宋体"/>
          <w:bCs/>
          <w:sz w:val="24"/>
        </w:rPr>
      </w:pPr>
      <w:r>
        <w:rPr>
          <w:rFonts w:hint="eastAsia" w:ascii="宋体" w:hAnsi="宋体"/>
          <w:bCs/>
          <w:sz w:val="24"/>
        </w:rPr>
        <w:t xml:space="preserve">                               日期：   年   月  日</w:t>
      </w:r>
    </w:p>
    <w:p>
      <w:pPr>
        <w:pStyle w:val="17"/>
        <w:ind w:firstLine="600"/>
      </w:pPr>
    </w:p>
    <w:p>
      <w:pPr>
        <w:widowControl/>
        <w:spacing w:line="500" w:lineRule="exact"/>
        <w:ind w:firstLine="1600" w:firstLineChars="500"/>
        <w:textAlignment w:val="baseline"/>
        <w:rPr>
          <w:rFonts w:ascii="黑体" w:eastAsia="黑体"/>
          <w:color w:val="000000"/>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widowControl/>
        <w:spacing w:line="500" w:lineRule="exact"/>
        <w:ind w:firstLine="1600" w:firstLineChars="500"/>
        <w:textAlignment w:val="baseline"/>
        <w:rPr>
          <w:rFonts w:ascii="黑体" w:eastAsia="黑体"/>
          <w:color w:val="000000"/>
          <w:sz w:val="32"/>
          <w:szCs w:val="32"/>
        </w:rPr>
      </w:pPr>
    </w:p>
    <w:p>
      <w:pPr>
        <w:widowControl/>
        <w:spacing w:line="500" w:lineRule="exact"/>
        <w:ind w:firstLine="2080" w:firstLineChars="650"/>
        <w:textAlignment w:val="baseline"/>
        <w:rPr>
          <w:rFonts w:ascii="黑体" w:eastAsia="黑体"/>
          <w:color w:val="000000"/>
          <w:sz w:val="32"/>
          <w:szCs w:val="32"/>
        </w:rPr>
      </w:pPr>
      <w:r>
        <w:rPr>
          <w:rFonts w:hint="eastAsia" w:ascii="黑体" w:eastAsia="黑体"/>
          <w:color w:val="000000"/>
          <w:sz w:val="32"/>
          <w:szCs w:val="32"/>
        </w:rPr>
        <w:t>盐城市政府采购事前信用承诺书</w:t>
      </w:r>
    </w:p>
    <w:p>
      <w:pPr>
        <w:widowControl/>
        <w:spacing w:line="500" w:lineRule="exact"/>
        <w:ind w:firstLine="640" w:firstLineChars="200"/>
        <w:jc w:val="left"/>
        <w:textAlignment w:val="baseline"/>
        <w:rPr>
          <w:rFonts w:ascii="方正仿宋_GBK" w:hAnsi="宋体" w:eastAsia="方正仿宋_GBK" w:cs="宋体"/>
          <w:kern w:val="0"/>
          <w:sz w:val="32"/>
          <w:szCs w:val="32"/>
        </w:rPr>
      </w:pP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textAlignment w:val="baseline"/>
        <w:rPr>
          <w:rFonts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textAlignment w:val="baseline"/>
        <w:rPr>
          <w:rFonts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textAlignment w:val="baseline"/>
        <w:rPr>
          <w:rFonts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textAlignment w:val="baseline"/>
        <w:rPr>
          <w:rFonts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textAlignment w:val="baseline"/>
        <w:rPr>
          <w:rFonts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textAlignment w:val="baseline"/>
        <w:rPr>
          <w:rFonts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textAlignment w:val="baseline"/>
        <w:rPr>
          <w:rFonts w:ascii="宋体" w:hAnsi="宋体"/>
          <w:color w:val="000000"/>
          <w:sz w:val="24"/>
        </w:rPr>
      </w:pP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法定代表人签名：</w:t>
      </w:r>
    </w:p>
    <w:p>
      <w:pPr>
        <w:widowControl/>
        <w:spacing w:line="500" w:lineRule="exact"/>
        <w:jc w:val="center"/>
        <w:textAlignment w:val="baseline"/>
        <w:rPr>
          <w:rFonts w:ascii="宋体" w:hAnsi="宋体"/>
          <w:color w:val="000000"/>
          <w:sz w:val="24"/>
        </w:rPr>
      </w:pPr>
      <w:r>
        <w:rPr>
          <w:rFonts w:hint="eastAsia" w:ascii="宋体" w:hAnsi="宋体"/>
          <w:color w:val="000000"/>
          <w:sz w:val="24"/>
        </w:rPr>
        <w:t xml:space="preserve">                   单位名称（盖章）：</w:t>
      </w:r>
    </w:p>
    <w:p>
      <w:pPr>
        <w:widowControl/>
        <w:spacing w:line="500" w:lineRule="exact"/>
        <w:jc w:val="center"/>
        <w:textAlignment w:val="baseline"/>
        <w:rPr>
          <w:rFonts w:ascii="黑体" w:eastAsia="黑体"/>
          <w:sz w:val="32"/>
          <w:szCs w:val="32"/>
        </w:rPr>
      </w:pPr>
      <w:r>
        <w:rPr>
          <w:rFonts w:hint="eastAsia" w:ascii="宋体" w:hAnsi="宋体"/>
          <w:color w:val="000000"/>
          <w:sz w:val="24"/>
        </w:rPr>
        <w:t xml:space="preserve">                 年    月    日</w:t>
      </w:r>
    </w:p>
    <w:p>
      <w:pPr>
        <w:pStyle w:val="17"/>
        <w:ind w:firstLine="640"/>
        <w:rPr>
          <w:rFonts w:ascii="黑体" w:eastAsia="黑体"/>
          <w:sz w:val="32"/>
          <w:szCs w:val="32"/>
        </w:rPr>
      </w:pPr>
    </w:p>
    <w:sectPr>
      <w:headerReference r:id="rId5" w:type="default"/>
      <w:footerReference r:id="rId6" w:type="default"/>
      <w:footerReference r:id="rId7" w:type="even"/>
      <w:pgSz w:w="11906" w:h="16838"/>
      <w:pgMar w:top="1418" w:right="1588" w:bottom="1418" w:left="1365"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479"/>
        <w:tab w:val="clear" w:pos="4153"/>
        <w:tab w:val="clear" w:pos="8306"/>
      </w:tabs>
    </w:pPr>
    <w:r>
      <w:pict>
        <v:shape id="_x0000_s3073" o:spid="_x0000_s3073" o:spt="202" type="#_x0000_t202" style="position:absolute;left:0pt;margin-top:0pt;height:14.6pt;width:19.8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pPr>
                  <w:pStyle w:val="31"/>
                </w:pPr>
                <w:r>
                  <w:fldChar w:fldCharType="begin"/>
                </w:r>
                <w:r>
                  <w:instrText xml:space="preserve"> PAGE  \* MERGEFORMAT </w:instrText>
                </w:r>
                <w:r>
                  <w:fldChar w:fldCharType="separate"/>
                </w:r>
                <w:r>
                  <w:t>9</w:t>
                </w:r>
                <w:r>
                  <w:fldChar w:fldCharType="end"/>
                </w:r>
              </w:p>
            </w:txbxContent>
          </v:textbox>
        </v:shape>
      </w:pic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b/>
        <w:i/>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1"/>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27</w:t>
                </w:r>
                <w:r>
                  <w:rPr>
                    <w:rFonts w:ascii="宋体" w:hAnsi="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7"/>
        <w:rPr>
          <w:rFonts w:ascii="仿宋" w:hAnsi="仿宋"/>
        </w:rPr>
      </w:pPr>
      <w:r>
        <w:footnoteRef/>
      </w:r>
      <w:r>
        <w:rPr>
          <w:rFonts w:hint="eastAsia"/>
        </w:rPr>
        <w:t>注：《本科层次职业</w:t>
      </w:r>
      <w:r>
        <w:rPr>
          <w:rFonts w:hint="eastAsia" w:ascii="仿宋" w:hAnsi="仿宋"/>
        </w:rPr>
        <w:t>学校设置标准（试行）》（教发〔</w:t>
      </w:r>
      <w:r>
        <w:rPr>
          <w:rFonts w:ascii="仿宋" w:hAnsi="仿宋"/>
        </w:rPr>
        <w:t>2021〕1号</w:t>
      </w:r>
      <w:r>
        <w:rPr>
          <w:rFonts w:hint="eastAsia" w:ascii="仿宋" w:hAnsi="仿宋"/>
        </w:rPr>
        <w:t>）明确要求：学校要有</w:t>
      </w:r>
      <w:r>
        <w:rPr>
          <w:rFonts w:ascii="仿宋" w:hAnsi="仿宋"/>
        </w:rPr>
        <w:t>3个以上专业群，原则上每个专业群含3</w:t>
      </w:r>
      <w:r>
        <w:rPr>
          <w:rFonts w:hint="eastAsia" w:ascii="仿宋" w:hAnsi="仿宋"/>
        </w:rPr>
        <w:t>-</w:t>
      </w:r>
      <w:r>
        <w:rPr>
          <w:rFonts w:ascii="仿宋" w:hAnsi="仿宋"/>
        </w:rPr>
        <w:t>5个专业</w:t>
      </w:r>
      <w:r>
        <w:rPr>
          <w:rFonts w:hint="eastAsia" w:ascii="仿宋" w:hAnsi="仿宋"/>
        </w:rPr>
        <w:t>。在创建职业本科的规范性材料中，学科专业群发展规划是必备的重要支撑材料。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eastAsia="隶书"/>
        <w:color w:val="FF0000"/>
        <w:spacing w:val="40"/>
        <w:sz w:val="21"/>
        <w:szCs w:val="21"/>
      </w:rPr>
    </w:pPr>
    <w:r>
      <w:rPr>
        <w:rFonts w:eastAsia="隶书"/>
        <w:color w:val="000000"/>
        <w:spacing w:val="40"/>
        <w:sz w:val="21"/>
        <w:szCs w:val="21"/>
      </w:rPr>
      <w:t>盐城幼儿师范高等专科学校单一来源采购文件</w:t>
    </w:r>
  </w:p>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6D728"/>
    <w:multiLevelType w:val="singleLevel"/>
    <w:tmpl w:val="7BC6D728"/>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A2MGUyZDFkYmFlYjEyNWRjZjZhMjkxMWRmMTBlMjYifQ=="/>
  </w:docVars>
  <w:rsids>
    <w:rsidRoot w:val="00822AF1"/>
    <w:rsid w:val="00000114"/>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2086"/>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1416"/>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9798D"/>
    <w:rsid w:val="000A2FC6"/>
    <w:rsid w:val="000A41F7"/>
    <w:rsid w:val="000A49E3"/>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5F73"/>
    <w:rsid w:val="00116CC8"/>
    <w:rsid w:val="00120640"/>
    <w:rsid w:val="001209A8"/>
    <w:rsid w:val="00120ADB"/>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6EBA"/>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32E"/>
    <w:rsid w:val="0018364B"/>
    <w:rsid w:val="0018552F"/>
    <w:rsid w:val="00185B7D"/>
    <w:rsid w:val="001860E5"/>
    <w:rsid w:val="0018667B"/>
    <w:rsid w:val="0018691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3ABC"/>
    <w:rsid w:val="001C5C56"/>
    <w:rsid w:val="001C5F27"/>
    <w:rsid w:val="001D01DB"/>
    <w:rsid w:val="001D1657"/>
    <w:rsid w:val="001D345D"/>
    <w:rsid w:val="001D4A32"/>
    <w:rsid w:val="001D63A1"/>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10ECA"/>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7F4"/>
    <w:rsid w:val="00225AFD"/>
    <w:rsid w:val="00230D01"/>
    <w:rsid w:val="00231963"/>
    <w:rsid w:val="00232B68"/>
    <w:rsid w:val="00233012"/>
    <w:rsid w:val="002330DE"/>
    <w:rsid w:val="002330E9"/>
    <w:rsid w:val="002334E4"/>
    <w:rsid w:val="00234032"/>
    <w:rsid w:val="00234745"/>
    <w:rsid w:val="00236135"/>
    <w:rsid w:val="00243056"/>
    <w:rsid w:val="0024324A"/>
    <w:rsid w:val="002435E3"/>
    <w:rsid w:val="002440FD"/>
    <w:rsid w:val="00244357"/>
    <w:rsid w:val="00244901"/>
    <w:rsid w:val="00244C9A"/>
    <w:rsid w:val="00244FFE"/>
    <w:rsid w:val="00245F22"/>
    <w:rsid w:val="00247653"/>
    <w:rsid w:val="00254FD3"/>
    <w:rsid w:val="002561D3"/>
    <w:rsid w:val="00256269"/>
    <w:rsid w:val="00260723"/>
    <w:rsid w:val="002607A3"/>
    <w:rsid w:val="00260BB7"/>
    <w:rsid w:val="00262FF0"/>
    <w:rsid w:val="00264A67"/>
    <w:rsid w:val="002664E2"/>
    <w:rsid w:val="0027038C"/>
    <w:rsid w:val="002716FB"/>
    <w:rsid w:val="00272A4B"/>
    <w:rsid w:val="0027505D"/>
    <w:rsid w:val="002751D4"/>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0BBB"/>
    <w:rsid w:val="002A1D98"/>
    <w:rsid w:val="002A257F"/>
    <w:rsid w:val="002A2FE1"/>
    <w:rsid w:val="002A31C4"/>
    <w:rsid w:val="002A5EB4"/>
    <w:rsid w:val="002B0699"/>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6BD"/>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04C2"/>
    <w:rsid w:val="00361414"/>
    <w:rsid w:val="0036323C"/>
    <w:rsid w:val="003637A9"/>
    <w:rsid w:val="00364C10"/>
    <w:rsid w:val="00364D92"/>
    <w:rsid w:val="003651A8"/>
    <w:rsid w:val="0036523B"/>
    <w:rsid w:val="00365E80"/>
    <w:rsid w:val="0036697F"/>
    <w:rsid w:val="00366A7D"/>
    <w:rsid w:val="00370538"/>
    <w:rsid w:val="00370BC6"/>
    <w:rsid w:val="00370EE3"/>
    <w:rsid w:val="0037127A"/>
    <w:rsid w:val="00371669"/>
    <w:rsid w:val="003723DE"/>
    <w:rsid w:val="00372F36"/>
    <w:rsid w:val="0037409D"/>
    <w:rsid w:val="0037454C"/>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55A2"/>
    <w:rsid w:val="00395F2D"/>
    <w:rsid w:val="00396B5C"/>
    <w:rsid w:val="00397211"/>
    <w:rsid w:val="0039792B"/>
    <w:rsid w:val="003A09F4"/>
    <w:rsid w:val="003A10AB"/>
    <w:rsid w:val="003A10F5"/>
    <w:rsid w:val="003A1A6E"/>
    <w:rsid w:val="003A347A"/>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9CF"/>
    <w:rsid w:val="003F5A9B"/>
    <w:rsid w:val="003F5CA7"/>
    <w:rsid w:val="004007DB"/>
    <w:rsid w:val="00400C8B"/>
    <w:rsid w:val="00401F92"/>
    <w:rsid w:val="004024F1"/>
    <w:rsid w:val="00403EE9"/>
    <w:rsid w:val="004043A2"/>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14ED"/>
    <w:rsid w:val="0042200D"/>
    <w:rsid w:val="00422355"/>
    <w:rsid w:val="00423691"/>
    <w:rsid w:val="004241DC"/>
    <w:rsid w:val="004248EB"/>
    <w:rsid w:val="004269BD"/>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8B"/>
    <w:rsid w:val="004541C8"/>
    <w:rsid w:val="0045494F"/>
    <w:rsid w:val="00455782"/>
    <w:rsid w:val="0046208D"/>
    <w:rsid w:val="00462769"/>
    <w:rsid w:val="00463547"/>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195"/>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465A"/>
    <w:rsid w:val="00504FB2"/>
    <w:rsid w:val="00505733"/>
    <w:rsid w:val="00506B42"/>
    <w:rsid w:val="005118AB"/>
    <w:rsid w:val="00512034"/>
    <w:rsid w:val="005126B7"/>
    <w:rsid w:val="005142D5"/>
    <w:rsid w:val="00514D3A"/>
    <w:rsid w:val="00514F73"/>
    <w:rsid w:val="00516513"/>
    <w:rsid w:val="005207F1"/>
    <w:rsid w:val="00527C3A"/>
    <w:rsid w:val="005314FE"/>
    <w:rsid w:val="00531D7F"/>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6ACF"/>
    <w:rsid w:val="005576F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4C9"/>
    <w:rsid w:val="005B296B"/>
    <w:rsid w:val="005B2A20"/>
    <w:rsid w:val="005B2F68"/>
    <w:rsid w:val="005B317C"/>
    <w:rsid w:val="005B37ED"/>
    <w:rsid w:val="005B46F9"/>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CA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152"/>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A3"/>
    <w:rsid w:val="006B21C1"/>
    <w:rsid w:val="006B31B9"/>
    <w:rsid w:val="006B4952"/>
    <w:rsid w:val="006B5D0A"/>
    <w:rsid w:val="006B60FB"/>
    <w:rsid w:val="006B72A7"/>
    <w:rsid w:val="006B7AE3"/>
    <w:rsid w:val="006C2552"/>
    <w:rsid w:val="006C33CC"/>
    <w:rsid w:val="006C3AAD"/>
    <w:rsid w:val="006C4BEC"/>
    <w:rsid w:val="006C6A72"/>
    <w:rsid w:val="006C7228"/>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5B"/>
    <w:rsid w:val="00762E7D"/>
    <w:rsid w:val="00765354"/>
    <w:rsid w:val="007656B3"/>
    <w:rsid w:val="00765725"/>
    <w:rsid w:val="00766122"/>
    <w:rsid w:val="00766753"/>
    <w:rsid w:val="00766F33"/>
    <w:rsid w:val="0077182E"/>
    <w:rsid w:val="007729B6"/>
    <w:rsid w:val="00772AF3"/>
    <w:rsid w:val="007743EF"/>
    <w:rsid w:val="0077516D"/>
    <w:rsid w:val="00775AB0"/>
    <w:rsid w:val="0077708B"/>
    <w:rsid w:val="0078081B"/>
    <w:rsid w:val="00781E3E"/>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373C"/>
    <w:rsid w:val="007B431E"/>
    <w:rsid w:val="007B4709"/>
    <w:rsid w:val="007B4C59"/>
    <w:rsid w:val="007B5192"/>
    <w:rsid w:val="007B5CFB"/>
    <w:rsid w:val="007B613E"/>
    <w:rsid w:val="007B7166"/>
    <w:rsid w:val="007B792E"/>
    <w:rsid w:val="007C1147"/>
    <w:rsid w:val="007C2B22"/>
    <w:rsid w:val="007C2FF3"/>
    <w:rsid w:val="007C375B"/>
    <w:rsid w:val="007C545C"/>
    <w:rsid w:val="007C6419"/>
    <w:rsid w:val="007C6515"/>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E791B"/>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7230"/>
    <w:rsid w:val="008179F9"/>
    <w:rsid w:val="00817EC4"/>
    <w:rsid w:val="0082167A"/>
    <w:rsid w:val="00821B77"/>
    <w:rsid w:val="008220F7"/>
    <w:rsid w:val="00822AF1"/>
    <w:rsid w:val="0082389E"/>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095F"/>
    <w:rsid w:val="00852DCA"/>
    <w:rsid w:val="00856B7C"/>
    <w:rsid w:val="008571C5"/>
    <w:rsid w:val="0085754E"/>
    <w:rsid w:val="00860414"/>
    <w:rsid w:val="008618CB"/>
    <w:rsid w:val="00863C3E"/>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35B2"/>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00D7"/>
    <w:rsid w:val="008A26E2"/>
    <w:rsid w:val="008A397D"/>
    <w:rsid w:val="008A51F4"/>
    <w:rsid w:val="008A63E4"/>
    <w:rsid w:val="008A65F1"/>
    <w:rsid w:val="008B1D69"/>
    <w:rsid w:val="008B3D5C"/>
    <w:rsid w:val="008B5535"/>
    <w:rsid w:val="008B7BC9"/>
    <w:rsid w:val="008C0B8A"/>
    <w:rsid w:val="008C1018"/>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577E"/>
    <w:rsid w:val="009076A7"/>
    <w:rsid w:val="00910D9E"/>
    <w:rsid w:val="009129EB"/>
    <w:rsid w:val="0091369E"/>
    <w:rsid w:val="00914E35"/>
    <w:rsid w:val="00915342"/>
    <w:rsid w:val="009169D8"/>
    <w:rsid w:val="009170C0"/>
    <w:rsid w:val="00917CFF"/>
    <w:rsid w:val="009200B2"/>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2FE2"/>
    <w:rsid w:val="00943291"/>
    <w:rsid w:val="00943F3F"/>
    <w:rsid w:val="009450F7"/>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231E"/>
    <w:rsid w:val="009A36A4"/>
    <w:rsid w:val="009A3DB7"/>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955"/>
    <w:rsid w:val="009C2EB5"/>
    <w:rsid w:val="009C383E"/>
    <w:rsid w:val="009C4A2D"/>
    <w:rsid w:val="009C5274"/>
    <w:rsid w:val="009C6772"/>
    <w:rsid w:val="009C79C1"/>
    <w:rsid w:val="009D2762"/>
    <w:rsid w:val="009D75AF"/>
    <w:rsid w:val="009E040B"/>
    <w:rsid w:val="009E0587"/>
    <w:rsid w:val="009E07F1"/>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3C0A"/>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52A7"/>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25F1E"/>
    <w:rsid w:val="00A317F5"/>
    <w:rsid w:val="00A326E4"/>
    <w:rsid w:val="00A32D44"/>
    <w:rsid w:val="00A32E33"/>
    <w:rsid w:val="00A33040"/>
    <w:rsid w:val="00A33A30"/>
    <w:rsid w:val="00A33C12"/>
    <w:rsid w:val="00A340AC"/>
    <w:rsid w:val="00A35638"/>
    <w:rsid w:val="00A35D9B"/>
    <w:rsid w:val="00A37F04"/>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28E2"/>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7615"/>
    <w:rsid w:val="00B60087"/>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4FD6"/>
    <w:rsid w:val="00BC576C"/>
    <w:rsid w:val="00BC5CDA"/>
    <w:rsid w:val="00BD0260"/>
    <w:rsid w:val="00BD12F1"/>
    <w:rsid w:val="00BD2CDD"/>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021"/>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5210"/>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128"/>
    <w:rsid w:val="00C5319A"/>
    <w:rsid w:val="00C53413"/>
    <w:rsid w:val="00C539E6"/>
    <w:rsid w:val="00C5402A"/>
    <w:rsid w:val="00C559CD"/>
    <w:rsid w:val="00C561DB"/>
    <w:rsid w:val="00C57D5C"/>
    <w:rsid w:val="00C57DB4"/>
    <w:rsid w:val="00C60562"/>
    <w:rsid w:val="00C60B35"/>
    <w:rsid w:val="00C60ECA"/>
    <w:rsid w:val="00C62A64"/>
    <w:rsid w:val="00C6304B"/>
    <w:rsid w:val="00C65365"/>
    <w:rsid w:val="00C65D18"/>
    <w:rsid w:val="00C722C8"/>
    <w:rsid w:val="00C72C30"/>
    <w:rsid w:val="00C73A3A"/>
    <w:rsid w:val="00C74005"/>
    <w:rsid w:val="00C74501"/>
    <w:rsid w:val="00C76006"/>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51"/>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A1F"/>
    <w:rsid w:val="00D40ED6"/>
    <w:rsid w:val="00D42716"/>
    <w:rsid w:val="00D43CA2"/>
    <w:rsid w:val="00D44E89"/>
    <w:rsid w:val="00D45970"/>
    <w:rsid w:val="00D45B4E"/>
    <w:rsid w:val="00D46E91"/>
    <w:rsid w:val="00D46EA2"/>
    <w:rsid w:val="00D4716D"/>
    <w:rsid w:val="00D47394"/>
    <w:rsid w:val="00D5292D"/>
    <w:rsid w:val="00D529F8"/>
    <w:rsid w:val="00D54745"/>
    <w:rsid w:val="00D555A5"/>
    <w:rsid w:val="00D5567B"/>
    <w:rsid w:val="00D55B3E"/>
    <w:rsid w:val="00D5645B"/>
    <w:rsid w:val="00D6145C"/>
    <w:rsid w:val="00D61506"/>
    <w:rsid w:val="00D61D9A"/>
    <w:rsid w:val="00D63A02"/>
    <w:rsid w:val="00D66E21"/>
    <w:rsid w:val="00D679B9"/>
    <w:rsid w:val="00D679E6"/>
    <w:rsid w:val="00D67C8B"/>
    <w:rsid w:val="00D724E9"/>
    <w:rsid w:val="00D73C6D"/>
    <w:rsid w:val="00D74CC2"/>
    <w:rsid w:val="00D7540F"/>
    <w:rsid w:val="00D75A49"/>
    <w:rsid w:val="00D76A2E"/>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1A5B"/>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2BB0"/>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D76CE"/>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769"/>
    <w:rsid w:val="00E012D5"/>
    <w:rsid w:val="00E016D7"/>
    <w:rsid w:val="00E01E85"/>
    <w:rsid w:val="00E037B2"/>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3A0A"/>
    <w:rsid w:val="00E54A2E"/>
    <w:rsid w:val="00E55D96"/>
    <w:rsid w:val="00E56672"/>
    <w:rsid w:val="00E568F2"/>
    <w:rsid w:val="00E56E79"/>
    <w:rsid w:val="00E608D4"/>
    <w:rsid w:val="00E616DC"/>
    <w:rsid w:val="00E61ECC"/>
    <w:rsid w:val="00E6218F"/>
    <w:rsid w:val="00E644DA"/>
    <w:rsid w:val="00E64C6A"/>
    <w:rsid w:val="00E64F4B"/>
    <w:rsid w:val="00E652BC"/>
    <w:rsid w:val="00E657D0"/>
    <w:rsid w:val="00E65E32"/>
    <w:rsid w:val="00E6792B"/>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6C06"/>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66F2"/>
    <w:rsid w:val="00EE7A51"/>
    <w:rsid w:val="00EF1390"/>
    <w:rsid w:val="00EF1998"/>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674CF"/>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0E64"/>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15B4"/>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0FF7554"/>
    <w:rsid w:val="00FF7689"/>
    <w:rsid w:val="019A6F3D"/>
    <w:rsid w:val="01AE2C7A"/>
    <w:rsid w:val="02564293"/>
    <w:rsid w:val="028745D1"/>
    <w:rsid w:val="03CC508B"/>
    <w:rsid w:val="041210EB"/>
    <w:rsid w:val="0479098A"/>
    <w:rsid w:val="048C0759"/>
    <w:rsid w:val="05220AD9"/>
    <w:rsid w:val="05992ABB"/>
    <w:rsid w:val="06886E02"/>
    <w:rsid w:val="06C12833"/>
    <w:rsid w:val="06FD6897"/>
    <w:rsid w:val="07377B5A"/>
    <w:rsid w:val="07510FA6"/>
    <w:rsid w:val="077E24FD"/>
    <w:rsid w:val="08115993"/>
    <w:rsid w:val="081B605B"/>
    <w:rsid w:val="08486DD6"/>
    <w:rsid w:val="08512D22"/>
    <w:rsid w:val="08590BDF"/>
    <w:rsid w:val="08611E8A"/>
    <w:rsid w:val="08B82428"/>
    <w:rsid w:val="09BF68EF"/>
    <w:rsid w:val="09C34A7B"/>
    <w:rsid w:val="09C639A5"/>
    <w:rsid w:val="0B252BF0"/>
    <w:rsid w:val="0C2067FC"/>
    <w:rsid w:val="0C47321C"/>
    <w:rsid w:val="0D003189"/>
    <w:rsid w:val="0DE75E32"/>
    <w:rsid w:val="0E074AA3"/>
    <w:rsid w:val="0E300BE9"/>
    <w:rsid w:val="0E400A86"/>
    <w:rsid w:val="0EDB55C9"/>
    <w:rsid w:val="0FA155DA"/>
    <w:rsid w:val="10230299"/>
    <w:rsid w:val="1061766B"/>
    <w:rsid w:val="107F354A"/>
    <w:rsid w:val="109C1FD0"/>
    <w:rsid w:val="109E0E92"/>
    <w:rsid w:val="10D821AF"/>
    <w:rsid w:val="1153542F"/>
    <w:rsid w:val="12A14F42"/>
    <w:rsid w:val="12B214FD"/>
    <w:rsid w:val="12EA3C10"/>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F7866"/>
    <w:rsid w:val="219A573C"/>
    <w:rsid w:val="21FF7B9D"/>
    <w:rsid w:val="22124BCC"/>
    <w:rsid w:val="221F2DB7"/>
    <w:rsid w:val="225450EB"/>
    <w:rsid w:val="23364ECD"/>
    <w:rsid w:val="235A3204"/>
    <w:rsid w:val="23656CA9"/>
    <w:rsid w:val="23C7621F"/>
    <w:rsid w:val="23CC032E"/>
    <w:rsid w:val="23E95D52"/>
    <w:rsid w:val="241A74C9"/>
    <w:rsid w:val="249B74C1"/>
    <w:rsid w:val="24AA69CB"/>
    <w:rsid w:val="264A43B2"/>
    <w:rsid w:val="26D270BD"/>
    <w:rsid w:val="27844426"/>
    <w:rsid w:val="278C574A"/>
    <w:rsid w:val="27FD501C"/>
    <w:rsid w:val="287607DD"/>
    <w:rsid w:val="28C61FBF"/>
    <w:rsid w:val="2901760E"/>
    <w:rsid w:val="294E0EA1"/>
    <w:rsid w:val="2B776565"/>
    <w:rsid w:val="2B9E242B"/>
    <w:rsid w:val="2BB3300F"/>
    <w:rsid w:val="2C91683D"/>
    <w:rsid w:val="2C9C446B"/>
    <w:rsid w:val="2CE95C9B"/>
    <w:rsid w:val="2D041811"/>
    <w:rsid w:val="2D327144"/>
    <w:rsid w:val="2D79244F"/>
    <w:rsid w:val="2DCA16B3"/>
    <w:rsid w:val="2E0519A5"/>
    <w:rsid w:val="2E86345E"/>
    <w:rsid w:val="2E8B64A8"/>
    <w:rsid w:val="2F5A0B8C"/>
    <w:rsid w:val="304107B9"/>
    <w:rsid w:val="31735E9B"/>
    <w:rsid w:val="31826FF0"/>
    <w:rsid w:val="32030DD5"/>
    <w:rsid w:val="32D9736A"/>
    <w:rsid w:val="33116A3F"/>
    <w:rsid w:val="3378616A"/>
    <w:rsid w:val="33987044"/>
    <w:rsid w:val="33D903FC"/>
    <w:rsid w:val="34B8390E"/>
    <w:rsid w:val="34D257A9"/>
    <w:rsid w:val="35834A16"/>
    <w:rsid w:val="358E66B2"/>
    <w:rsid w:val="35A70BEA"/>
    <w:rsid w:val="36545DC1"/>
    <w:rsid w:val="372178C4"/>
    <w:rsid w:val="37560159"/>
    <w:rsid w:val="37A6214D"/>
    <w:rsid w:val="3891636C"/>
    <w:rsid w:val="38D96E75"/>
    <w:rsid w:val="390A35A7"/>
    <w:rsid w:val="3936053F"/>
    <w:rsid w:val="39807B71"/>
    <w:rsid w:val="398B164B"/>
    <w:rsid w:val="39F377DD"/>
    <w:rsid w:val="3A53543B"/>
    <w:rsid w:val="3A7F38D0"/>
    <w:rsid w:val="3C6B2E59"/>
    <w:rsid w:val="3DA428C1"/>
    <w:rsid w:val="3DCB78F5"/>
    <w:rsid w:val="3EA77D2A"/>
    <w:rsid w:val="3FDF0194"/>
    <w:rsid w:val="404A12F3"/>
    <w:rsid w:val="40DF6490"/>
    <w:rsid w:val="4105176F"/>
    <w:rsid w:val="41150AD3"/>
    <w:rsid w:val="4131108D"/>
    <w:rsid w:val="41D22C58"/>
    <w:rsid w:val="421B5F02"/>
    <w:rsid w:val="42233E81"/>
    <w:rsid w:val="42770C8D"/>
    <w:rsid w:val="42850FE8"/>
    <w:rsid w:val="42D74EA1"/>
    <w:rsid w:val="430134CC"/>
    <w:rsid w:val="434B1218"/>
    <w:rsid w:val="438572AF"/>
    <w:rsid w:val="43BF3DE7"/>
    <w:rsid w:val="449358B7"/>
    <w:rsid w:val="45130581"/>
    <w:rsid w:val="451751A8"/>
    <w:rsid w:val="457858A1"/>
    <w:rsid w:val="45C0691B"/>
    <w:rsid w:val="466673D7"/>
    <w:rsid w:val="46751C07"/>
    <w:rsid w:val="46FC1C09"/>
    <w:rsid w:val="47402E75"/>
    <w:rsid w:val="47520520"/>
    <w:rsid w:val="47551A4A"/>
    <w:rsid w:val="478A6E4E"/>
    <w:rsid w:val="48833CFF"/>
    <w:rsid w:val="48CE257A"/>
    <w:rsid w:val="491F4518"/>
    <w:rsid w:val="493E7B89"/>
    <w:rsid w:val="49624BD8"/>
    <w:rsid w:val="49676F1A"/>
    <w:rsid w:val="49735DC9"/>
    <w:rsid w:val="49806C33"/>
    <w:rsid w:val="4A4C1DAB"/>
    <w:rsid w:val="4A9554BA"/>
    <w:rsid w:val="4AB679FD"/>
    <w:rsid w:val="4B154772"/>
    <w:rsid w:val="4B236D9C"/>
    <w:rsid w:val="4B3F7250"/>
    <w:rsid w:val="4B570F17"/>
    <w:rsid w:val="4B7A6FAB"/>
    <w:rsid w:val="4BC64C4B"/>
    <w:rsid w:val="4BDF544A"/>
    <w:rsid w:val="4BFA003E"/>
    <w:rsid w:val="4C632CF3"/>
    <w:rsid w:val="4C667398"/>
    <w:rsid w:val="4C8C02A6"/>
    <w:rsid w:val="4D0E634E"/>
    <w:rsid w:val="4DB11A6F"/>
    <w:rsid w:val="4DD10931"/>
    <w:rsid w:val="4E39001F"/>
    <w:rsid w:val="4E593A91"/>
    <w:rsid w:val="4E8E5F76"/>
    <w:rsid w:val="4F775122"/>
    <w:rsid w:val="4FF1305E"/>
    <w:rsid w:val="50031ABE"/>
    <w:rsid w:val="502C4470"/>
    <w:rsid w:val="50774975"/>
    <w:rsid w:val="51347B82"/>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84150AB"/>
    <w:rsid w:val="58632F13"/>
    <w:rsid w:val="587869F1"/>
    <w:rsid w:val="588241AF"/>
    <w:rsid w:val="58D66F31"/>
    <w:rsid w:val="594D4CE7"/>
    <w:rsid w:val="59A154FF"/>
    <w:rsid w:val="59A61C08"/>
    <w:rsid w:val="5A231F4D"/>
    <w:rsid w:val="5A767A5E"/>
    <w:rsid w:val="5A952E3E"/>
    <w:rsid w:val="5AA15EF8"/>
    <w:rsid w:val="5B4F5D0E"/>
    <w:rsid w:val="5C2A676A"/>
    <w:rsid w:val="5C2D46A0"/>
    <w:rsid w:val="5C340094"/>
    <w:rsid w:val="5CCD7E79"/>
    <w:rsid w:val="5CD22414"/>
    <w:rsid w:val="5D512CEC"/>
    <w:rsid w:val="5DC36A68"/>
    <w:rsid w:val="5DE510AD"/>
    <w:rsid w:val="5E3C71C3"/>
    <w:rsid w:val="5E6A1658"/>
    <w:rsid w:val="5EAB5B7D"/>
    <w:rsid w:val="5ED42CD4"/>
    <w:rsid w:val="5EFF66CE"/>
    <w:rsid w:val="5F3B2BFE"/>
    <w:rsid w:val="604C0717"/>
    <w:rsid w:val="60CE7CA2"/>
    <w:rsid w:val="611E554B"/>
    <w:rsid w:val="616E4C3D"/>
    <w:rsid w:val="61B44F52"/>
    <w:rsid w:val="62762918"/>
    <w:rsid w:val="632217A9"/>
    <w:rsid w:val="63735D9B"/>
    <w:rsid w:val="647C0989"/>
    <w:rsid w:val="64D82AF7"/>
    <w:rsid w:val="64E377DC"/>
    <w:rsid w:val="650866A6"/>
    <w:rsid w:val="65346012"/>
    <w:rsid w:val="65470EBF"/>
    <w:rsid w:val="655E06B3"/>
    <w:rsid w:val="65D43C7B"/>
    <w:rsid w:val="66205429"/>
    <w:rsid w:val="663E058B"/>
    <w:rsid w:val="665B3615"/>
    <w:rsid w:val="665C5681"/>
    <w:rsid w:val="673477E0"/>
    <w:rsid w:val="67361974"/>
    <w:rsid w:val="676033D9"/>
    <w:rsid w:val="682F1369"/>
    <w:rsid w:val="684D2509"/>
    <w:rsid w:val="687A537D"/>
    <w:rsid w:val="691B2548"/>
    <w:rsid w:val="69747ED0"/>
    <w:rsid w:val="69765004"/>
    <w:rsid w:val="69AA3B41"/>
    <w:rsid w:val="69CA4DB3"/>
    <w:rsid w:val="69EB2621"/>
    <w:rsid w:val="69FF321C"/>
    <w:rsid w:val="6A1C7CBF"/>
    <w:rsid w:val="6A3742C5"/>
    <w:rsid w:val="6A6257E6"/>
    <w:rsid w:val="6AD16538"/>
    <w:rsid w:val="6B597F7B"/>
    <w:rsid w:val="6B7003DC"/>
    <w:rsid w:val="6B9A5976"/>
    <w:rsid w:val="6BDE5EE9"/>
    <w:rsid w:val="6BF839EC"/>
    <w:rsid w:val="6BF85325"/>
    <w:rsid w:val="6C006039"/>
    <w:rsid w:val="6C866AC0"/>
    <w:rsid w:val="6CE95DCB"/>
    <w:rsid w:val="6D163A94"/>
    <w:rsid w:val="6D7A6B7C"/>
    <w:rsid w:val="6D84027B"/>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616844"/>
    <w:rsid w:val="75A13A93"/>
    <w:rsid w:val="75C24709"/>
    <w:rsid w:val="76544E03"/>
    <w:rsid w:val="76BE17EF"/>
    <w:rsid w:val="76EC7A44"/>
    <w:rsid w:val="76EF71BD"/>
    <w:rsid w:val="773D7257"/>
    <w:rsid w:val="77B332B4"/>
    <w:rsid w:val="77BB010E"/>
    <w:rsid w:val="77C96DEF"/>
    <w:rsid w:val="77F66083"/>
    <w:rsid w:val="787B15EF"/>
    <w:rsid w:val="789E3E71"/>
    <w:rsid w:val="78BA3283"/>
    <w:rsid w:val="78EE7542"/>
    <w:rsid w:val="790060EF"/>
    <w:rsid w:val="79530FA7"/>
    <w:rsid w:val="795534C5"/>
    <w:rsid w:val="79574772"/>
    <w:rsid w:val="79C42C2F"/>
    <w:rsid w:val="79E9127F"/>
    <w:rsid w:val="7A611BB8"/>
    <w:rsid w:val="7A8611FC"/>
    <w:rsid w:val="7B7409C0"/>
    <w:rsid w:val="7B916C43"/>
    <w:rsid w:val="7C271C84"/>
    <w:rsid w:val="7D065423"/>
    <w:rsid w:val="7D8A641A"/>
    <w:rsid w:val="7D9A72E3"/>
    <w:rsid w:val="7E384595"/>
    <w:rsid w:val="7E4622F8"/>
    <w:rsid w:val="7E6714DE"/>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qFormat="1" w:uiPriority="99"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6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65"/>
    <w:qFormat/>
    <w:uiPriority w:val="0"/>
    <w:pPr>
      <w:ind w:firstLine="420"/>
    </w:pPr>
  </w:style>
  <w:style w:type="paragraph" w:styleId="13">
    <w:name w:val="List 3"/>
    <w:basedOn w:val="1"/>
    <w:qFormat/>
    <w:uiPriority w:val="0"/>
    <w:pPr>
      <w:ind w:left="100" w:leftChars="400" w:hanging="200" w:hangingChars="200"/>
    </w:pPr>
  </w:style>
  <w:style w:type="paragraph" w:styleId="14">
    <w:name w:val="annotation subject"/>
    <w:basedOn w:val="15"/>
    <w:next w:val="15"/>
    <w:semiHidden/>
    <w:qFormat/>
    <w:uiPriority w:val="0"/>
    <w:rPr>
      <w:b/>
      <w:bCs/>
    </w:rPr>
  </w:style>
  <w:style w:type="paragraph" w:styleId="15">
    <w:name w:val="annotation text"/>
    <w:basedOn w:val="1"/>
    <w:semiHidden/>
    <w:qFormat/>
    <w:uiPriority w:val="0"/>
    <w:pPr>
      <w:jc w:val="left"/>
    </w:pPr>
  </w:style>
  <w:style w:type="paragraph" w:styleId="16">
    <w:name w:val="toc 7"/>
    <w:basedOn w:val="1"/>
    <w:next w:val="1"/>
    <w:semiHidden/>
    <w:qFormat/>
    <w:uiPriority w:val="0"/>
    <w:pPr>
      <w:ind w:left="1260"/>
      <w:jc w:val="left"/>
    </w:pPr>
  </w:style>
  <w:style w:type="paragraph" w:styleId="17">
    <w:name w:val="Body Text First Indent"/>
    <w:basedOn w:val="1"/>
    <w:qFormat/>
    <w:uiPriority w:val="0"/>
    <w:pPr>
      <w:spacing w:line="360" w:lineRule="auto"/>
      <w:ind w:firstLine="200" w:firstLineChars="200"/>
    </w:pPr>
    <w:rPr>
      <w:rFonts w:ascii="仿宋_GB2312" w:eastAsia="仿宋_GB2312"/>
      <w:sz w:val="30"/>
      <w:szCs w:val="30"/>
    </w:rPr>
  </w:style>
  <w:style w:type="paragraph" w:styleId="18">
    <w:name w:val="Document Map"/>
    <w:basedOn w:val="1"/>
    <w:link w:val="62"/>
    <w:semiHidden/>
    <w:qFormat/>
    <w:uiPriority w:val="0"/>
    <w:pPr>
      <w:shd w:val="clear" w:color="auto" w:fill="000080"/>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qFormat/>
    <w:uiPriority w:val="0"/>
    <w:rPr>
      <w:rFonts w:ascii="楷体_GB2312" w:hAnsi="Arial" w:eastAsia="楷体_GB2312"/>
      <w:sz w:val="28"/>
      <w:szCs w:val="28"/>
    </w:rPr>
  </w:style>
  <w:style w:type="paragraph" w:styleId="21">
    <w:name w:val="Body Text Indent"/>
    <w:basedOn w:val="1"/>
    <w:qFormat/>
    <w:uiPriority w:val="0"/>
    <w:pPr>
      <w:ind w:firstLine="645"/>
    </w:pPr>
    <w:rPr>
      <w:rFonts w:ascii="楷体_GB2312" w:eastAsia="楷体_GB2312"/>
      <w:sz w:val="32"/>
      <w:szCs w:val="32"/>
    </w:rPr>
  </w:style>
  <w:style w:type="paragraph" w:styleId="22">
    <w:name w:val="List 2"/>
    <w:basedOn w:val="1"/>
    <w:qFormat/>
    <w:uiPriority w:val="0"/>
    <w:pPr>
      <w:ind w:left="100" w:leftChars="200" w:hanging="200" w:hangingChars="2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66"/>
    <w:qFormat/>
    <w:uiPriority w:val="0"/>
    <w:rPr>
      <w:rFonts w:ascii="宋体" w:hAnsi="Courier New"/>
    </w:rPr>
  </w:style>
  <w:style w:type="paragraph" w:styleId="26">
    <w:name w:val="toc 8"/>
    <w:basedOn w:val="1"/>
    <w:next w:val="1"/>
    <w:semiHidden/>
    <w:qFormat/>
    <w:uiPriority w:val="0"/>
    <w:pPr>
      <w:ind w:left="1470"/>
      <w:jc w:val="left"/>
    </w:pPr>
  </w:style>
  <w:style w:type="paragraph" w:styleId="27">
    <w:name w:val="Date"/>
    <w:basedOn w:val="1"/>
    <w:next w:val="1"/>
    <w:qFormat/>
    <w:uiPriority w:val="0"/>
    <w:rPr>
      <w:sz w:val="24"/>
      <w:szCs w:val="24"/>
    </w:rPr>
  </w:style>
  <w:style w:type="paragraph" w:styleId="28">
    <w:name w:val="Body Text Indent 2"/>
    <w:basedOn w:val="1"/>
    <w:qFormat/>
    <w:uiPriority w:val="0"/>
    <w:pPr>
      <w:ind w:left="630" w:firstLine="645"/>
    </w:pPr>
    <w:rPr>
      <w:rFonts w:ascii="Arial" w:hAnsi="Arial" w:eastAsia="仿宋_GB2312" w:cs="Arial"/>
      <w:sz w:val="32"/>
      <w:szCs w:val="32"/>
    </w:rPr>
  </w:style>
  <w:style w:type="paragraph" w:styleId="29">
    <w:name w:val="endnote text"/>
    <w:basedOn w:val="1"/>
    <w:qFormat/>
    <w:uiPriority w:val="0"/>
    <w:pPr>
      <w:snapToGrid w:val="0"/>
      <w:jc w:val="left"/>
    </w:pPr>
  </w:style>
  <w:style w:type="paragraph" w:styleId="30">
    <w:name w:val="Balloon Text"/>
    <w:basedOn w:val="1"/>
    <w:semiHidden/>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Body Text First Indent 2"/>
    <w:basedOn w:val="21"/>
    <w:qFormat/>
    <w:uiPriority w:val="0"/>
    <w:pPr>
      <w:spacing w:line="360" w:lineRule="auto"/>
      <w:ind w:firstLine="420" w:firstLineChars="200"/>
    </w:pPr>
    <w:rPr>
      <w:rFonts w:ascii="宋体" w:hAnsi="宋体" w:eastAsia="宋体"/>
      <w:sz w:val="21"/>
      <w:szCs w:val="20"/>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5">
    <w:name w:val="toc 4"/>
    <w:basedOn w:val="1"/>
    <w:next w:val="1"/>
    <w:semiHidden/>
    <w:qFormat/>
    <w:uiPriority w:val="0"/>
    <w:pPr>
      <w:ind w:left="630"/>
      <w:jc w:val="left"/>
    </w:pPr>
  </w:style>
  <w:style w:type="paragraph" w:styleId="36">
    <w:name w:val="List"/>
    <w:basedOn w:val="1"/>
    <w:qFormat/>
    <w:uiPriority w:val="0"/>
    <w:pPr>
      <w:ind w:left="200" w:hanging="200" w:hangingChars="200"/>
    </w:pPr>
  </w:style>
  <w:style w:type="paragraph" w:styleId="37">
    <w:name w:val="footnote text"/>
    <w:basedOn w:val="1"/>
    <w:link w:val="102"/>
    <w:unhideWhenUsed/>
    <w:qFormat/>
    <w:uiPriority w:val="99"/>
    <w:pPr>
      <w:snapToGrid w:val="0"/>
      <w:jc w:val="left"/>
    </w:pPr>
    <w:rPr>
      <w:rFonts w:ascii="Calibri" w:hAnsi="Calibri" w:eastAsia="仿宋"/>
      <w:sz w:val="18"/>
      <w:szCs w:val="18"/>
    </w:rPr>
  </w:style>
  <w:style w:type="paragraph" w:styleId="38">
    <w:name w:val="toc 6"/>
    <w:basedOn w:val="1"/>
    <w:next w:val="1"/>
    <w:semiHidden/>
    <w:qFormat/>
    <w:uiPriority w:val="0"/>
    <w:pPr>
      <w:ind w:left="1050"/>
      <w:jc w:val="left"/>
    </w:pPr>
  </w:style>
  <w:style w:type="paragraph" w:styleId="39">
    <w:name w:val="Body Text Indent 3"/>
    <w:basedOn w:val="1"/>
    <w:qFormat/>
    <w:uiPriority w:val="0"/>
    <w:pPr>
      <w:ind w:left="645" w:firstLine="645"/>
    </w:pPr>
    <w:rPr>
      <w:rFonts w:ascii="Arial" w:hAnsi="Arial" w:eastAsia="仿宋_GB2312" w:cs="Arial"/>
      <w:color w:val="FFFF00"/>
      <w:sz w:val="32"/>
      <w:szCs w:val="32"/>
    </w:rPr>
  </w:style>
  <w:style w:type="paragraph" w:styleId="40">
    <w:name w:val="table of figures"/>
    <w:basedOn w:val="1"/>
    <w:next w:val="1"/>
    <w:semiHidden/>
    <w:qFormat/>
    <w:uiPriority w:val="0"/>
    <w:pPr>
      <w:ind w:left="840" w:hanging="420"/>
    </w:pPr>
  </w:style>
  <w:style w:type="paragraph" w:styleId="41">
    <w:name w:val="toc 2"/>
    <w:basedOn w:val="1"/>
    <w:next w:val="1"/>
    <w:semiHidden/>
    <w:qFormat/>
    <w:uiPriority w:val="0"/>
    <w:pPr>
      <w:ind w:left="210"/>
      <w:jc w:val="left"/>
    </w:pPr>
    <w:rPr>
      <w:smallCaps/>
      <w:szCs w:val="24"/>
    </w:rPr>
  </w:style>
  <w:style w:type="paragraph" w:styleId="42">
    <w:name w:val="toc 9"/>
    <w:basedOn w:val="1"/>
    <w:next w:val="1"/>
    <w:semiHidden/>
    <w:qFormat/>
    <w:uiPriority w:val="0"/>
    <w:pPr>
      <w:ind w:left="1680"/>
      <w:jc w:val="left"/>
    </w:pPr>
  </w:style>
  <w:style w:type="paragraph" w:styleId="43">
    <w:name w:val="Body Text 2"/>
    <w:basedOn w:val="1"/>
    <w:qFormat/>
    <w:uiPriority w:val="0"/>
    <w:pPr>
      <w:widowControl/>
      <w:jc w:val="center"/>
    </w:pPr>
    <w:rPr>
      <w:rFonts w:ascii="楷体_GB2312" w:eastAsia="楷体_GB2312"/>
      <w:sz w:val="28"/>
      <w:szCs w:val="28"/>
    </w:rPr>
  </w:style>
  <w:style w:type="paragraph" w:styleId="44">
    <w:name w:val="Normal (Web)"/>
    <w:basedOn w:val="1"/>
    <w:link w:val="103"/>
    <w:qFormat/>
    <w:uiPriority w:val="99"/>
    <w:pPr>
      <w:widowControl/>
      <w:spacing w:before="100" w:beforeAutospacing="1" w:after="100" w:afterAutospacing="1"/>
      <w:jc w:val="left"/>
    </w:pPr>
    <w:rPr>
      <w:rFonts w:ascii="宋体" w:hAnsi="宋体" w:cs="宋体"/>
      <w:kern w:val="0"/>
      <w:sz w:val="24"/>
      <w:szCs w:val="24"/>
    </w:rPr>
  </w:style>
  <w:style w:type="paragraph" w:styleId="45">
    <w:name w:val="index 1"/>
    <w:basedOn w:val="1"/>
    <w:next w:val="1"/>
    <w:semiHidden/>
    <w:qFormat/>
    <w:uiPriority w:val="0"/>
    <w:pPr>
      <w:spacing w:line="240" w:lineRule="atLeast"/>
    </w:pPr>
    <w:rPr>
      <w:b/>
      <w:bCs/>
    </w:rPr>
  </w:style>
  <w:style w:type="paragraph" w:styleId="46">
    <w:name w:val="Title"/>
    <w:basedOn w:val="1"/>
    <w:link w:val="100"/>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555555"/>
      <w:u w:val="none"/>
    </w:rPr>
  </w:style>
  <w:style w:type="character" w:styleId="51">
    <w:name w:val="Hyperlink"/>
    <w:qFormat/>
    <w:uiPriority w:val="99"/>
    <w:rPr>
      <w:color w:val="555555"/>
      <w:u w:val="none"/>
    </w:rPr>
  </w:style>
  <w:style w:type="character" w:styleId="52">
    <w:name w:val="annotation reference"/>
    <w:semiHidden/>
    <w:qFormat/>
    <w:uiPriority w:val="0"/>
    <w:rPr>
      <w:sz w:val="21"/>
      <w:szCs w:val="21"/>
    </w:rPr>
  </w:style>
  <w:style w:type="character" w:styleId="53">
    <w:name w:val="footnote reference"/>
    <w:basedOn w:val="47"/>
    <w:unhideWhenUsed/>
    <w:qFormat/>
    <w:uiPriority w:val="99"/>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二级目录 Char"/>
    <w:link w:val="57"/>
    <w:qFormat/>
    <w:uiPriority w:val="0"/>
    <w:rPr>
      <w:b/>
      <w:kern w:val="2"/>
      <w:sz w:val="30"/>
      <w:szCs w:val="28"/>
    </w:rPr>
  </w:style>
  <w:style w:type="paragraph" w:customStyle="1" w:styleId="57">
    <w:name w:val="二级目录"/>
    <w:next w:val="1"/>
    <w:link w:val="56"/>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8">
    <w:name w:val="font5 Char"/>
    <w:qFormat/>
    <w:uiPriority w:val="0"/>
    <w:rPr>
      <w:rFonts w:ascii="宋体" w:hAnsi="宋体" w:eastAsia="宋体"/>
      <w:sz w:val="28"/>
      <w:szCs w:val="28"/>
      <w:lang w:val="en-US" w:eastAsia="zh-CN" w:bidi="ar-SA"/>
    </w:rPr>
  </w:style>
  <w:style w:type="character" w:customStyle="1" w:styleId="59">
    <w:name w:val="列出段落 Char"/>
    <w:link w:val="60"/>
    <w:qFormat/>
    <w:locked/>
    <w:uiPriority w:val="0"/>
    <w:rPr>
      <w:rFonts w:ascii="Calibri" w:hAnsi="Calibri"/>
      <w:sz w:val="24"/>
      <w:szCs w:val="24"/>
      <w:lang w:eastAsia="en-US" w:bidi="en-US"/>
    </w:rPr>
  </w:style>
  <w:style w:type="paragraph" w:customStyle="1" w:styleId="60">
    <w:name w:val="列出段落1"/>
    <w:basedOn w:val="1"/>
    <w:next w:val="29"/>
    <w:link w:val="59"/>
    <w:qFormat/>
    <w:uiPriority w:val="0"/>
    <w:pPr>
      <w:widowControl/>
      <w:ind w:left="720"/>
      <w:contextualSpacing/>
      <w:jc w:val="left"/>
    </w:pPr>
    <w:rPr>
      <w:rFonts w:ascii="Calibri" w:hAnsi="Calibri"/>
      <w:kern w:val="0"/>
      <w:sz w:val="24"/>
      <w:szCs w:val="24"/>
      <w:lang w:eastAsia="en-US" w:bidi="en-US"/>
    </w:rPr>
  </w:style>
  <w:style w:type="character" w:customStyle="1" w:styleId="61">
    <w:name w:val="标题 3 Char"/>
    <w:link w:val="6"/>
    <w:qFormat/>
    <w:uiPriority w:val="0"/>
    <w:rPr>
      <w:rFonts w:eastAsia="宋体"/>
      <w:b/>
      <w:bCs/>
      <w:kern w:val="2"/>
      <w:sz w:val="32"/>
      <w:szCs w:val="32"/>
      <w:lang w:val="en-US" w:eastAsia="zh-CN" w:bidi="ar-SA"/>
    </w:rPr>
  </w:style>
  <w:style w:type="character" w:customStyle="1" w:styleId="62">
    <w:name w:val="文档结构图 Char"/>
    <w:link w:val="18"/>
    <w:qFormat/>
    <w:uiPriority w:val="0"/>
    <w:rPr>
      <w:rFonts w:eastAsia="宋体"/>
      <w:kern w:val="2"/>
      <w:sz w:val="21"/>
      <w:szCs w:val="21"/>
      <w:lang w:val="en-US" w:eastAsia="zh-CN" w:bidi="ar-SA"/>
    </w:rPr>
  </w:style>
  <w:style w:type="character" w:customStyle="1" w:styleId="63">
    <w:name w:val="Char Char Char Char Char"/>
    <w:link w:val="64"/>
    <w:qFormat/>
    <w:uiPriority w:val="0"/>
    <w:rPr>
      <w:rFonts w:ascii="Tahoma" w:hAnsi="Tahoma" w:eastAsia="宋体"/>
      <w:kern w:val="2"/>
      <w:sz w:val="24"/>
      <w:szCs w:val="24"/>
      <w:lang w:val="en-US" w:eastAsia="zh-CN" w:bidi="ar-SA"/>
    </w:rPr>
  </w:style>
  <w:style w:type="paragraph" w:customStyle="1" w:styleId="64">
    <w:name w:val="Char Char Char Char1"/>
    <w:basedOn w:val="18"/>
    <w:link w:val="63"/>
    <w:qFormat/>
    <w:uiPriority w:val="0"/>
    <w:pPr>
      <w:adjustRightInd w:val="0"/>
      <w:snapToGrid w:val="0"/>
      <w:spacing w:line="360" w:lineRule="auto"/>
    </w:pPr>
    <w:rPr>
      <w:rFonts w:ascii="Tahoma" w:hAnsi="Tahoma"/>
      <w:sz w:val="24"/>
      <w:szCs w:val="24"/>
    </w:rPr>
  </w:style>
  <w:style w:type="character" w:customStyle="1" w:styleId="65">
    <w:name w:val="正文缩进 Char"/>
    <w:link w:val="5"/>
    <w:qFormat/>
    <w:uiPriority w:val="0"/>
    <w:rPr>
      <w:kern w:val="2"/>
      <w:sz w:val="21"/>
      <w:szCs w:val="21"/>
    </w:rPr>
  </w:style>
  <w:style w:type="character" w:customStyle="1" w:styleId="66">
    <w:name w:val="纯文本 Char"/>
    <w:link w:val="25"/>
    <w:qFormat/>
    <w:locked/>
    <w:uiPriority w:val="0"/>
    <w:rPr>
      <w:rFonts w:ascii="宋体" w:hAnsi="Courier New" w:cs="Courier New"/>
      <w:kern w:val="2"/>
      <w:sz w:val="21"/>
      <w:szCs w:val="21"/>
    </w:rPr>
  </w:style>
  <w:style w:type="paragraph" w:customStyle="1" w:styleId="67">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Body Text(ch)"/>
    <w:basedOn w:val="1"/>
    <w:next w:val="20"/>
    <w:qFormat/>
    <w:uiPriority w:val="0"/>
    <w:pPr>
      <w:spacing w:after="120"/>
    </w:pPr>
    <w:rPr>
      <w:rFonts w:ascii="宋体" w:hAnsi="Arial"/>
      <w:bCs/>
      <w:iCs/>
      <w:szCs w:val="24"/>
    </w:rPr>
  </w:style>
  <w:style w:type="paragraph" w:customStyle="1" w:styleId="6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7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2">
    <w:name w:val="Char"/>
    <w:basedOn w:val="1"/>
    <w:qFormat/>
    <w:uiPriority w:val="0"/>
    <w:pPr>
      <w:tabs>
        <w:tab w:val="left" w:pos="360"/>
      </w:tabs>
      <w:ind w:firstLine="200" w:firstLineChars="200"/>
    </w:pPr>
    <w:rPr>
      <w:sz w:val="28"/>
      <w:szCs w:val="30"/>
    </w:rPr>
  </w:style>
  <w:style w:type="paragraph" w:customStyle="1" w:styleId="7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Char Char Char Char Char Char Char Char Char Char"/>
    <w:basedOn w:val="1"/>
    <w:qFormat/>
    <w:uiPriority w:val="0"/>
    <w:pPr>
      <w:adjustRightInd w:val="0"/>
      <w:spacing w:line="360" w:lineRule="auto"/>
    </w:pPr>
    <w:rPr>
      <w:kern w:val="0"/>
      <w:sz w:val="24"/>
      <w:szCs w:val="20"/>
    </w:rPr>
  </w:style>
  <w:style w:type="paragraph" w:customStyle="1" w:styleId="75">
    <w:name w:val="table_1stline"/>
    <w:basedOn w:val="1"/>
    <w:qFormat/>
    <w:uiPriority w:val="0"/>
    <w:pPr>
      <w:widowControl/>
      <w:spacing w:before="120"/>
      <w:jc w:val="left"/>
    </w:pPr>
    <w:rPr>
      <w:bCs/>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7">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8">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9">
    <w:name w:val="4"/>
    <w:basedOn w:val="1"/>
    <w:next w:val="39"/>
    <w:qFormat/>
    <w:uiPriority w:val="0"/>
    <w:pPr>
      <w:spacing w:line="360" w:lineRule="auto"/>
      <w:ind w:firstLine="420"/>
    </w:pPr>
    <w:rPr>
      <w:color w:val="FF0000"/>
      <w:sz w:val="24"/>
      <w:szCs w:val="24"/>
    </w:rPr>
  </w:style>
  <w:style w:type="paragraph" w:customStyle="1" w:styleId="8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1">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5">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6">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7">
    <w:name w:val="Char Char Char Char"/>
    <w:basedOn w:val="18"/>
    <w:qFormat/>
    <w:uiPriority w:val="0"/>
    <w:pPr>
      <w:adjustRightInd w:val="0"/>
      <w:snapToGrid w:val="0"/>
      <w:spacing w:line="360" w:lineRule="auto"/>
    </w:pPr>
    <w:rPr>
      <w:rFonts w:ascii="Tahoma" w:hAnsi="Tahoma"/>
      <w:sz w:val="24"/>
      <w:szCs w:val="24"/>
    </w:rPr>
  </w:style>
  <w:style w:type="paragraph" w:customStyle="1" w:styleId="8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9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91">
    <w:name w:val="table_lines"/>
    <w:basedOn w:val="1"/>
    <w:qFormat/>
    <w:uiPriority w:val="0"/>
    <w:pPr>
      <w:widowControl/>
      <w:jc w:val="left"/>
    </w:pPr>
    <w:rPr>
      <w:kern w:val="0"/>
      <w:sz w:val="20"/>
      <w:szCs w:val="20"/>
      <w:lang w:val="de-DE" w:eastAsia="de-DE"/>
    </w:rPr>
  </w:style>
  <w:style w:type="paragraph" w:customStyle="1" w:styleId="9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4">
    <w:name w:val="Char1"/>
    <w:basedOn w:val="18"/>
    <w:qFormat/>
    <w:uiPriority w:val="0"/>
    <w:rPr>
      <w:rFonts w:ascii="Tahoma" w:hAnsi="Tahoma"/>
      <w:sz w:val="24"/>
      <w:szCs w:val="24"/>
    </w:rPr>
  </w:style>
  <w:style w:type="paragraph" w:customStyle="1" w:styleId="95">
    <w:name w:val="段"/>
    <w:next w:val="9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6">
    <w:name w:val="正文 A"/>
    <w:next w:val="95"/>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7">
    <w:name w:val="A 样式 正文"/>
    <w:basedOn w:val="1"/>
    <w:qFormat/>
    <w:uiPriority w:val="0"/>
    <w:pPr>
      <w:spacing w:line="360" w:lineRule="auto"/>
      <w:ind w:firstLine="480" w:firstLineChars="200"/>
    </w:pPr>
    <w:rPr>
      <w:rFonts w:ascii="宋体" w:hAnsi="宋体"/>
      <w:sz w:val="24"/>
      <w:szCs w:val="20"/>
    </w:rPr>
  </w:style>
  <w:style w:type="paragraph" w:customStyle="1" w:styleId="98">
    <w:name w:val="正文_模板"/>
    <w:basedOn w:val="1"/>
    <w:qFormat/>
    <w:uiPriority w:val="0"/>
    <w:pPr>
      <w:spacing w:line="360" w:lineRule="auto"/>
      <w:ind w:firstLine="200" w:firstLineChars="200"/>
    </w:pPr>
    <w:rPr>
      <w:rFonts w:ascii="Calibri" w:hAnsi="Calibri"/>
      <w:sz w:val="24"/>
      <w:szCs w:val="24"/>
    </w:rPr>
  </w:style>
  <w:style w:type="paragraph" w:customStyle="1" w:styleId="99">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100">
    <w:name w:val="标题 Char"/>
    <w:basedOn w:val="47"/>
    <w:link w:val="46"/>
    <w:qFormat/>
    <w:uiPriority w:val="0"/>
    <w:rPr>
      <w:rFonts w:eastAsia="黑体" w:asciiTheme="minorHAnsi" w:hAnsiTheme="minorHAnsi" w:cstheme="minorBidi"/>
      <w:b/>
      <w:sz w:val="28"/>
      <w:szCs w:val="24"/>
      <w:lang w:val="en-GB"/>
    </w:rPr>
  </w:style>
  <w:style w:type="paragraph" w:customStyle="1" w:styleId="101">
    <w:name w:val="List Paragraph1"/>
    <w:basedOn w:val="1"/>
    <w:qFormat/>
    <w:uiPriority w:val="99"/>
    <w:pPr>
      <w:ind w:firstLine="420" w:firstLineChars="200"/>
    </w:pPr>
    <w:rPr>
      <w:rFonts w:ascii="Calibri" w:hAnsi="Calibri"/>
      <w:szCs w:val="22"/>
    </w:rPr>
  </w:style>
  <w:style w:type="character" w:customStyle="1" w:styleId="102">
    <w:name w:val="脚注文本 Char"/>
    <w:basedOn w:val="47"/>
    <w:link w:val="37"/>
    <w:qFormat/>
    <w:uiPriority w:val="99"/>
    <w:rPr>
      <w:rFonts w:eastAsia="仿宋"/>
      <w:kern w:val="2"/>
      <w:sz w:val="18"/>
      <w:szCs w:val="18"/>
    </w:rPr>
  </w:style>
  <w:style w:type="character" w:customStyle="1" w:styleId="103">
    <w:name w:val="普通(网站) Char"/>
    <w:link w:val="44"/>
    <w:qFormat/>
    <w:locked/>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32174-9F7F-4D85-AD7E-25F5102C6541}">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28</Pages>
  <Words>2018</Words>
  <Characters>11507</Characters>
  <Lines>95</Lines>
  <Paragraphs>26</Paragraphs>
  <TotalTime>254</TotalTime>
  <ScaleCrop>false</ScaleCrop>
  <LinksUpToDate>false</LinksUpToDate>
  <CharactersWithSpaces>13499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2020-07-21T00:36:00Z</dcterms:created>
  <dc:creator>政府采购中心</dc:creator>
  <cp:lastModifiedBy>盐城幼儿师范高等专科学校(填报)</cp:lastModifiedBy>
  <cp:lastPrinted>2022-04-26T08:56:00Z</cp:lastPrinted>
  <dcterms:modified xsi:type="dcterms:W3CDTF">2022-06-09T07:39:45Z</dcterms:modified>
  <dc:title>江苏卫生信息系统业务软件</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D2DB0EAF545142FE8C14CF2EB6E1BED2</vt:lpwstr>
  </property>
</Properties>
</file>