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Style w:val="132"/>
          <w:rFonts w:ascii="宋体" w:hAnsi="宋体"/>
          <w:b/>
          <w:color w:val="000000" w:themeColor="text1"/>
          <w:sz w:val="84"/>
        </w:rPr>
      </w:pPr>
    </w:p>
    <w:p>
      <w:pPr>
        <w:jc w:val="center"/>
        <w:rPr>
          <w:rStyle w:val="132"/>
          <w:rFonts w:ascii="宋体" w:hAnsi="宋体"/>
          <w:b/>
          <w:color w:val="000000" w:themeColor="text1"/>
          <w:sz w:val="84"/>
        </w:rPr>
      </w:pPr>
      <w:r>
        <w:rPr>
          <w:rStyle w:val="132"/>
          <w:rFonts w:ascii="宋体" w:hAnsi="宋体"/>
          <w:b/>
          <w:color w:val="000000" w:themeColor="text1"/>
          <w:sz w:val="84"/>
        </w:rPr>
        <w:t>招 标 文 件</w:t>
      </w:r>
    </w:p>
    <w:p>
      <w:pPr>
        <w:rPr>
          <w:rStyle w:val="132"/>
          <w:rFonts w:ascii="宋体" w:hAnsi="宋体"/>
          <w:b/>
          <w:color w:val="000000" w:themeColor="text1"/>
          <w:sz w:val="32"/>
        </w:rPr>
      </w:pPr>
    </w:p>
    <w:p>
      <w:pPr>
        <w:jc w:val="center"/>
        <w:rPr>
          <w:rStyle w:val="132"/>
          <w:rFonts w:ascii="宋体" w:hAnsi="宋体"/>
          <w:b/>
          <w:color w:val="000000" w:themeColor="text1"/>
          <w:sz w:val="32"/>
        </w:rPr>
      </w:pPr>
    </w:p>
    <w:p>
      <w:pPr>
        <w:jc w:val="center"/>
        <w:rPr>
          <w:rStyle w:val="132"/>
          <w:rFonts w:ascii="宋体" w:hAnsi="宋体"/>
          <w:b/>
          <w:color w:val="000000" w:themeColor="text1"/>
          <w:sz w:val="32"/>
        </w:rPr>
      </w:pPr>
    </w:p>
    <w:p>
      <w:pPr>
        <w:jc w:val="center"/>
        <w:rPr>
          <w:rStyle w:val="132"/>
          <w:rFonts w:ascii="宋体" w:hAnsi="宋体"/>
          <w:b/>
          <w:color w:val="000000" w:themeColor="text1"/>
          <w:sz w:val="32"/>
        </w:rPr>
      </w:pPr>
    </w:p>
    <w:p>
      <w:pPr>
        <w:ind w:firstLine="1081" w:firstLineChars="300"/>
        <w:rPr>
          <w:rStyle w:val="132"/>
          <w:rFonts w:hint="eastAsia" w:ascii="宋体" w:hAnsi="宋体" w:eastAsia="宋体"/>
          <w:b/>
          <w:color w:val="000000" w:themeColor="text1"/>
          <w:sz w:val="36"/>
          <w:lang w:val="en-US" w:eastAsia="zh-CN"/>
        </w:rPr>
      </w:pPr>
      <w:r>
        <w:rPr>
          <w:rStyle w:val="132"/>
          <w:rFonts w:ascii="宋体" w:hAnsi="宋体"/>
          <w:b/>
          <w:color w:val="000000" w:themeColor="text1"/>
          <w:sz w:val="36"/>
        </w:rPr>
        <w:t>项目编号：</w:t>
      </w:r>
      <w:r>
        <w:rPr>
          <w:rStyle w:val="132"/>
          <w:rFonts w:hint="eastAsia" w:ascii="宋体" w:hAnsi="宋体"/>
          <w:b/>
          <w:color w:val="000000" w:themeColor="text1"/>
          <w:sz w:val="36"/>
          <w:lang w:val="en-US" w:eastAsia="zh-CN"/>
        </w:rPr>
        <w:t>YCYZ2021FW003</w:t>
      </w:r>
    </w:p>
    <w:p>
      <w:pPr>
        <w:jc w:val="center"/>
        <w:rPr>
          <w:rStyle w:val="132"/>
          <w:rFonts w:ascii="宋体" w:hAnsi="宋体"/>
          <w:b/>
          <w:color w:val="000000" w:themeColor="text1"/>
          <w:sz w:val="32"/>
        </w:rPr>
      </w:pPr>
    </w:p>
    <w:p>
      <w:pPr>
        <w:jc w:val="center"/>
        <w:rPr>
          <w:rStyle w:val="132"/>
          <w:rFonts w:ascii="宋体" w:hAnsi="宋体"/>
          <w:b/>
          <w:color w:val="000000" w:themeColor="text1"/>
          <w:sz w:val="32"/>
        </w:rPr>
      </w:pPr>
    </w:p>
    <w:p>
      <w:pPr>
        <w:ind w:firstLine="1081" w:firstLineChars="300"/>
        <w:rPr>
          <w:rStyle w:val="132"/>
          <w:rFonts w:hint="eastAsia" w:ascii="宋体" w:hAnsi="宋体"/>
          <w:b/>
          <w:color w:val="000000" w:themeColor="text1"/>
          <w:sz w:val="36"/>
          <w:szCs w:val="36"/>
        </w:rPr>
      </w:pPr>
      <w:r>
        <w:rPr>
          <w:rStyle w:val="132"/>
          <w:rFonts w:ascii="宋体" w:hAnsi="宋体"/>
          <w:b/>
          <w:color w:val="000000" w:themeColor="text1"/>
          <w:sz w:val="36"/>
          <w:szCs w:val="36"/>
        </w:rPr>
        <w:t>项目名称：</w:t>
      </w:r>
      <w:r>
        <w:rPr>
          <w:rStyle w:val="132"/>
          <w:rFonts w:hint="eastAsia" w:ascii="宋体" w:hAnsi="宋体"/>
          <w:b/>
          <w:color w:val="000000" w:themeColor="text1"/>
          <w:sz w:val="36"/>
          <w:szCs w:val="36"/>
        </w:rPr>
        <w:t>盐城幼儿师范高等专科学校</w:t>
      </w:r>
    </w:p>
    <w:p>
      <w:pPr>
        <w:ind w:firstLine="2162" w:firstLineChars="600"/>
        <w:rPr>
          <w:rStyle w:val="132"/>
          <w:rFonts w:hint="eastAsia" w:ascii="宋体" w:hAnsi="宋体"/>
          <w:b/>
          <w:color w:val="000000" w:themeColor="text1"/>
          <w:sz w:val="36"/>
          <w:szCs w:val="36"/>
        </w:rPr>
      </w:pPr>
      <w:r>
        <w:rPr>
          <w:rStyle w:val="132"/>
          <w:rFonts w:hint="eastAsia" w:ascii="宋体" w:hAnsi="宋体"/>
          <w:b/>
          <w:color w:val="000000" w:themeColor="text1"/>
          <w:sz w:val="36"/>
          <w:szCs w:val="36"/>
        </w:rPr>
        <w:t>2021年餐饮合作经营服务项目</w:t>
      </w:r>
    </w:p>
    <w:p>
      <w:pPr>
        <w:rPr>
          <w:rStyle w:val="132"/>
          <w:rFonts w:ascii="宋体" w:hAnsi="宋体"/>
          <w:b/>
          <w:color w:val="000000" w:themeColor="text1"/>
          <w:sz w:val="32"/>
        </w:rPr>
      </w:pPr>
    </w:p>
    <w:p>
      <w:pPr>
        <w:rPr>
          <w:rStyle w:val="132"/>
          <w:rFonts w:ascii="宋体" w:hAnsi="宋体"/>
          <w:b/>
          <w:color w:val="000000" w:themeColor="text1"/>
          <w:sz w:val="32"/>
        </w:rPr>
      </w:pPr>
    </w:p>
    <w:p>
      <w:pPr>
        <w:jc w:val="both"/>
        <w:rPr>
          <w:rStyle w:val="132"/>
          <w:rFonts w:hint="eastAsia" w:ascii="宋体" w:hAnsi="宋体"/>
          <w:b/>
          <w:color w:val="000000" w:themeColor="text1"/>
          <w:sz w:val="36"/>
          <w:szCs w:val="36"/>
        </w:rPr>
      </w:pPr>
    </w:p>
    <w:p>
      <w:pPr>
        <w:jc w:val="both"/>
        <w:rPr>
          <w:rStyle w:val="132"/>
          <w:rFonts w:hint="eastAsia" w:ascii="宋体" w:hAnsi="宋体"/>
          <w:b/>
          <w:color w:val="000000" w:themeColor="text1"/>
          <w:sz w:val="36"/>
          <w:szCs w:val="36"/>
        </w:rPr>
      </w:pPr>
    </w:p>
    <w:p>
      <w:pPr>
        <w:jc w:val="center"/>
        <w:rPr>
          <w:rStyle w:val="132"/>
          <w:rFonts w:hint="eastAsia" w:ascii="宋体" w:hAnsi="宋体"/>
          <w:b/>
          <w:color w:val="000000" w:themeColor="text1"/>
          <w:sz w:val="36"/>
          <w:szCs w:val="36"/>
        </w:rPr>
      </w:pPr>
      <w:r>
        <w:rPr>
          <w:rStyle w:val="132"/>
          <w:rFonts w:hint="eastAsia" w:ascii="宋体" w:hAnsi="宋体"/>
          <w:b/>
          <w:color w:val="000000" w:themeColor="text1"/>
          <w:sz w:val="36"/>
          <w:szCs w:val="36"/>
        </w:rPr>
        <w:t>盐城幼儿师范高等专科学校</w:t>
      </w:r>
    </w:p>
    <w:p>
      <w:pPr>
        <w:jc w:val="center"/>
        <w:rPr>
          <w:rStyle w:val="132"/>
          <w:rFonts w:hint="eastAsia" w:ascii="宋体" w:hAnsi="宋体"/>
          <w:b/>
          <w:color w:val="000000" w:themeColor="text1"/>
          <w:sz w:val="36"/>
          <w:szCs w:val="36"/>
        </w:rPr>
      </w:pPr>
      <w:r>
        <w:rPr>
          <w:rStyle w:val="132"/>
          <w:rFonts w:hint="eastAsia" w:ascii="宋体" w:hAnsi="宋体"/>
          <w:b/>
          <w:color w:val="000000" w:themeColor="text1"/>
          <w:sz w:val="36"/>
          <w:szCs w:val="36"/>
        </w:rPr>
        <w:t>2021年7月2</w:t>
      </w:r>
      <w:r>
        <w:rPr>
          <w:rStyle w:val="132"/>
          <w:rFonts w:hint="eastAsia" w:ascii="宋体" w:hAnsi="宋体"/>
          <w:b/>
          <w:color w:val="000000" w:themeColor="text1"/>
          <w:sz w:val="36"/>
          <w:szCs w:val="36"/>
          <w:lang w:val="en-US" w:eastAsia="zh-CN"/>
        </w:rPr>
        <w:t>8</w:t>
      </w:r>
      <w:r>
        <w:rPr>
          <w:rStyle w:val="132"/>
          <w:rFonts w:hint="eastAsia" w:ascii="宋体" w:hAnsi="宋体"/>
          <w:b/>
          <w:color w:val="000000" w:themeColor="text1"/>
          <w:sz w:val="36"/>
          <w:szCs w:val="36"/>
        </w:rPr>
        <w:t>日</w:t>
      </w:r>
    </w:p>
    <w:p>
      <w:pPr>
        <w:spacing w:line="480" w:lineRule="auto"/>
        <w:jc w:val="both"/>
        <w:rPr>
          <w:rStyle w:val="132"/>
          <w:rFonts w:ascii="宋体" w:hAnsi="宋体"/>
          <w:color w:val="000000" w:themeColor="text1"/>
        </w:rPr>
      </w:pPr>
    </w:p>
    <w:p>
      <w:pPr>
        <w:pStyle w:val="2"/>
        <w:rPr>
          <w:rStyle w:val="132"/>
          <w:rFonts w:ascii="宋体" w:hAnsi="宋体"/>
          <w:color w:val="000000" w:themeColor="text1"/>
        </w:rPr>
      </w:pPr>
    </w:p>
    <w:p>
      <w:pPr>
        <w:pStyle w:val="2"/>
        <w:rPr>
          <w:rStyle w:val="132"/>
          <w:rFonts w:ascii="宋体" w:hAnsi="宋体"/>
          <w:color w:val="000000" w:themeColor="text1"/>
        </w:rPr>
      </w:pPr>
    </w:p>
    <w:p>
      <w:pPr>
        <w:pStyle w:val="2"/>
        <w:rPr>
          <w:rStyle w:val="132"/>
          <w:rFonts w:ascii="宋体" w:hAnsi="宋体"/>
          <w:color w:val="000000" w:themeColor="text1"/>
        </w:rPr>
      </w:pPr>
    </w:p>
    <w:p>
      <w:pPr>
        <w:pStyle w:val="2"/>
        <w:rPr>
          <w:rStyle w:val="132"/>
          <w:rFonts w:ascii="宋体" w:hAnsi="宋体"/>
          <w:color w:val="000000" w:themeColor="text1"/>
        </w:rPr>
      </w:pPr>
    </w:p>
    <w:p>
      <w:pPr>
        <w:pStyle w:val="2"/>
        <w:rPr>
          <w:rStyle w:val="132"/>
          <w:rFonts w:ascii="宋体" w:hAnsi="宋体"/>
          <w:color w:val="000000" w:themeColor="text1"/>
        </w:rPr>
      </w:pPr>
    </w:p>
    <w:p>
      <w:pPr>
        <w:spacing w:line="480" w:lineRule="auto"/>
        <w:jc w:val="center"/>
        <w:rPr>
          <w:rStyle w:val="132"/>
          <w:rFonts w:ascii="宋体" w:hAnsi="宋体"/>
          <w:b/>
          <w:color w:val="000000" w:themeColor="text1"/>
          <w:sz w:val="44"/>
        </w:rPr>
      </w:pPr>
      <w:r>
        <w:rPr>
          <w:rStyle w:val="132"/>
          <w:rFonts w:ascii="宋体" w:hAnsi="宋体"/>
          <w:b/>
          <w:color w:val="000000" w:themeColor="text1"/>
          <w:sz w:val="44"/>
        </w:rPr>
        <w:t>总  目  录</w:t>
      </w:r>
    </w:p>
    <w:p>
      <w:pPr>
        <w:spacing w:line="480" w:lineRule="auto"/>
        <w:rPr>
          <w:rStyle w:val="132"/>
          <w:rFonts w:ascii="宋体" w:hAnsi="宋体"/>
          <w:b/>
          <w:color w:val="000000" w:themeColor="text1"/>
          <w:sz w:val="28"/>
        </w:rPr>
      </w:pPr>
    </w:p>
    <w:p>
      <w:pPr>
        <w:numPr>
          <w:ilvl w:val="0"/>
          <w:numId w:val="1"/>
        </w:numPr>
        <w:spacing w:line="480" w:lineRule="auto"/>
        <w:rPr>
          <w:rStyle w:val="132"/>
          <w:rFonts w:ascii="宋体" w:hAnsi="宋体"/>
          <w:color w:val="000000" w:themeColor="text1"/>
          <w:sz w:val="32"/>
        </w:rPr>
      </w:pPr>
      <w:r>
        <w:rPr>
          <w:rStyle w:val="132"/>
          <w:rFonts w:ascii="宋体" w:hAnsi="宋体"/>
          <w:color w:val="000000" w:themeColor="text1"/>
          <w:sz w:val="36"/>
        </w:rPr>
        <w:t>招标公告……………………………………</w:t>
      </w:r>
      <w:r>
        <w:rPr>
          <w:rStyle w:val="132"/>
          <w:rFonts w:hint="eastAsia" w:ascii="宋体" w:hAnsi="宋体"/>
          <w:color w:val="000000" w:themeColor="text1"/>
          <w:sz w:val="36"/>
        </w:rPr>
        <w:t>3</w:t>
      </w:r>
    </w:p>
    <w:p>
      <w:pPr>
        <w:numPr>
          <w:ilvl w:val="0"/>
          <w:numId w:val="1"/>
        </w:numPr>
        <w:spacing w:line="480" w:lineRule="auto"/>
        <w:rPr>
          <w:rStyle w:val="132"/>
          <w:rFonts w:ascii="宋体" w:hAnsi="宋体"/>
          <w:color w:val="000000" w:themeColor="text1"/>
          <w:sz w:val="36"/>
        </w:rPr>
      </w:pPr>
      <w:r>
        <w:rPr>
          <w:rStyle w:val="132"/>
          <w:rFonts w:ascii="宋体" w:hAnsi="宋体" w:cs="宋体"/>
          <w:bCs/>
          <w:color w:val="000000" w:themeColor="text1"/>
          <w:sz w:val="36"/>
          <w:szCs w:val="36"/>
        </w:rPr>
        <w:t>投标人须知</w:t>
      </w:r>
      <w:r>
        <w:rPr>
          <w:rStyle w:val="132"/>
          <w:rFonts w:ascii="宋体" w:hAnsi="宋体"/>
          <w:color w:val="000000" w:themeColor="text1"/>
          <w:sz w:val="36"/>
          <w:szCs w:val="36"/>
        </w:rPr>
        <w:t>…</w:t>
      </w:r>
      <w:r>
        <w:rPr>
          <w:rStyle w:val="132"/>
          <w:rFonts w:ascii="宋体" w:hAnsi="宋体"/>
          <w:color w:val="000000" w:themeColor="text1"/>
          <w:sz w:val="36"/>
        </w:rPr>
        <w:t>………………………………</w:t>
      </w:r>
      <w:r>
        <w:rPr>
          <w:rStyle w:val="132"/>
          <w:rFonts w:hint="eastAsia" w:ascii="宋体" w:hAnsi="宋体"/>
          <w:color w:val="000000" w:themeColor="text1"/>
          <w:sz w:val="36"/>
          <w:lang w:val="en-US" w:eastAsia="zh-CN"/>
        </w:rPr>
        <w:t>10</w:t>
      </w:r>
    </w:p>
    <w:p>
      <w:pPr>
        <w:numPr>
          <w:ilvl w:val="0"/>
          <w:numId w:val="1"/>
        </w:numPr>
        <w:spacing w:line="480" w:lineRule="auto"/>
        <w:rPr>
          <w:rStyle w:val="132"/>
          <w:rFonts w:ascii="宋体" w:hAnsi="宋体"/>
          <w:color w:val="000000" w:themeColor="text1"/>
          <w:sz w:val="36"/>
        </w:rPr>
      </w:pPr>
      <w:r>
        <w:rPr>
          <w:rStyle w:val="132"/>
          <w:rFonts w:ascii="宋体" w:hAnsi="宋体"/>
          <w:color w:val="000000" w:themeColor="text1"/>
          <w:sz w:val="36"/>
        </w:rPr>
        <w:t>合同条款及格式……………………………</w:t>
      </w:r>
      <w:r>
        <w:rPr>
          <w:rStyle w:val="132"/>
          <w:rFonts w:hint="eastAsia" w:ascii="宋体" w:hAnsi="宋体"/>
          <w:color w:val="000000" w:themeColor="text1"/>
          <w:sz w:val="36"/>
          <w:lang w:val="en-US" w:eastAsia="zh-CN"/>
        </w:rPr>
        <w:t>23</w:t>
      </w:r>
    </w:p>
    <w:p>
      <w:pPr>
        <w:numPr>
          <w:ilvl w:val="0"/>
          <w:numId w:val="1"/>
        </w:numPr>
        <w:spacing w:line="480" w:lineRule="auto"/>
        <w:rPr>
          <w:rStyle w:val="132"/>
          <w:rFonts w:ascii="宋体" w:hAnsi="宋体"/>
          <w:color w:val="000000" w:themeColor="text1"/>
          <w:sz w:val="36"/>
        </w:rPr>
      </w:pPr>
      <w:r>
        <w:rPr>
          <w:rStyle w:val="132"/>
          <w:rFonts w:ascii="宋体" w:hAnsi="宋体"/>
          <w:color w:val="000000" w:themeColor="text1"/>
          <w:sz w:val="36"/>
        </w:rPr>
        <w:t>项目需求……………………………………</w:t>
      </w:r>
      <w:r>
        <w:rPr>
          <w:rStyle w:val="132"/>
          <w:rFonts w:hint="eastAsia" w:ascii="宋体" w:hAnsi="宋体"/>
          <w:color w:val="000000" w:themeColor="text1"/>
          <w:sz w:val="36"/>
          <w:lang w:val="en-US" w:eastAsia="zh-CN"/>
        </w:rPr>
        <w:t>46</w:t>
      </w:r>
    </w:p>
    <w:p>
      <w:pPr>
        <w:numPr>
          <w:ilvl w:val="0"/>
          <w:numId w:val="1"/>
        </w:numPr>
        <w:spacing w:line="480" w:lineRule="auto"/>
        <w:rPr>
          <w:rStyle w:val="132"/>
          <w:rFonts w:ascii="宋体" w:hAnsi="宋体"/>
          <w:color w:val="000000" w:themeColor="text1"/>
          <w:sz w:val="36"/>
        </w:rPr>
      </w:pPr>
      <w:r>
        <w:rPr>
          <w:rStyle w:val="132"/>
          <w:rFonts w:ascii="宋体" w:hAnsi="宋体" w:cs="宋体"/>
          <w:bCs/>
          <w:color w:val="000000" w:themeColor="text1"/>
          <w:sz w:val="36"/>
          <w:szCs w:val="36"/>
        </w:rPr>
        <w:t>评标方法与评标标准</w:t>
      </w:r>
      <w:r>
        <w:rPr>
          <w:rStyle w:val="132"/>
          <w:rFonts w:ascii="宋体" w:hAnsi="宋体"/>
          <w:color w:val="000000" w:themeColor="text1"/>
          <w:sz w:val="36"/>
        </w:rPr>
        <w:t>………………………</w:t>
      </w:r>
      <w:r>
        <w:rPr>
          <w:rStyle w:val="132"/>
          <w:rFonts w:hint="eastAsia" w:ascii="宋体" w:hAnsi="宋体"/>
          <w:color w:val="000000" w:themeColor="text1"/>
          <w:sz w:val="36"/>
          <w:lang w:val="en-US" w:eastAsia="zh-CN"/>
        </w:rPr>
        <w:t>60</w:t>
      </w:r>
    </w:p>
    <w:p>
      <w:pPr>
        <w:numPr>
          <w:ilvl w:val="0"/>
          <w:numId w:val="1"/>
        </w:numPr>
        <w:spacing w:line="480" w:lineRule="auto"/>
        <w:rPr>
          <w:rStyle w:val="132"/>
          <w:rFonts w:ascii="宋体" w:hAnsi="宋体"/>
          <w:color w:val="000000" w:themeColor="text1"/>
          <w:sz w:val="36"/>
        </w:rPr>
      </w:pPr>
      <w:r>
        <w:rPr>
          <w:rStyle w:val="132"/>
          <w:rFonts w:ascii="宋体" w:hAnsi="宋体"/>
          <w:color w:val="000000" w:themeColor="text1"/>
          <w:sz w:val="36"/>
        </w:rPr>
        <w:t>投标文件格式………………………………</w:t>
      </w:r>
      <w:r>
        <w:rPr>
          <w:rStyle w:val="132"/>
          <w:rFonts w:hint="eastAsia" w:ascii="宋体" w:hAnsi="宋体"/>
          <w:color w:val="000000" w:themeColor="text1"/>
          <w:sz w:val="36"/>
          <w:lang w:val="en-US" w:eastAsia="zh-CN"/>
        </w:rPr>
        <w:t>62</w:t>
      </w:r>
    </w:p>
    <w:p>
      <w:pPr>
        <w:pStyle w:val="47"/>
      </w:pPr>
    </w:p>
    <w:p>
      <w:pPr>
        <w:pStyle w:val="47"/>
      </w:pPr>
    </w:p>
    <w:p>
      <w:pPr>
        <w:pStyle w:val="47"/>
      </w:pPr>
    </w:p>
    <w:p>
      <w:pPr>
        <w:pStyle w:val="47"/>
      </w:pPr>
    </w:p>
    <w:p>
      <w:pPr>
        <w:pStyle w:val="47"/>
      </w:pPr>
    </w:p>
    <w:p>
      <w:pPr>
        <w:pStyle w:val="47"/>
      </w:pPr>
    </w:p>
    <w:p>
      <w:pPr>
        <w:pStyle w:val="47"/>
      </w:pPr>
    </w:p>
    <w:p>
      <w:pPr>
        <w:pStyle w:val="47"/>
      </w:pPr>
    </w:p>
    <w:p/>
    <w:p>
      <w:pPr>
        <w:pStyle w:val="2"/>
      </w:pPr>
    </w:p>
    <w:p>
      <w:pPr>
        <w:pStyle w:val="2"/>
      </w:pPr>
    </w:p>
    <w:p>
      <w:pPr>
        <w:pStyle w:val="47"/>
        <w:rPr>
          <w:rFonts w:ascii="华文中宋" w:hAnsi="华文中宋" w:eastAsia="华文中宋"/>
        </w:rPr>
      </w:pPr>
      <w:r>
        <w:rPr>
          <w:rFonts w:hint="eastAsia"/>
        </w:rPr>
        <w:t>第一章招标公告</w:t>
      </w:r>
    </w:p>
    <w:p>
      <w:pPr>
        <w:pBdr>
          <w:top w:val="single" w:color="auto" w:sz="4" w:space="1"/>
          <w:left w:val="single" w:color="auto" w:sz="4" w:space="4"/>
          <w:bottom w:val="single" w:color="auto" w:sz="4" w:space="1"/>
          <w:right w:val="single" w:color="auto" w:sz="4" w:space="4"/>
        </w:pBdr>
        <w:spacing w:line="48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项目概况</w:t>
      </w:r>
    </w:p>
    <w:p>
      <w:pPr>
        <w:pBdr>
          <w:top w:val="single" w:color="auto" w:sz="4" w:space="1"/>
          <w:left w:val="single" w:color="auto" w:sz="4" w:space="4"/>
          <w:bottom w:val="single" w:color="auto" w:sz="4" w:space="1"/>
          <w:right w:val="single" w:color="auto" w:sz="4" w:space="4"/>
        </w:pBdr>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u w:val="single"/>
        </w:rPr>
        <w:t xml:space="preserve"> 盐城幼儿师范高等专科学校2021年餐饮合作经营服务项目</w:t>
      </w:r>
      <w:r>
        <w:rPr>
          <w:rFonts w:hint="eastAsia" w:asciiTheme="minorEastAsia" w:hAnsiTheme="minorEastAsia" w:eastAsiaTheme="minorEastAsia"/>
          <w:sz w:val="28"/>
          <w:szCs w:val="28"/>
          <w:u w:val="none"/>
        </w:rPr>
        <w:t>的潜在投标人应在</w:t>
      </w:r>
      <w:r>
        <w:rPr>
          <w:rFonts w:hint="eastAsia" w:asciiTheme="minorEastAsia" w:hAnsiTheme="minorEastAsia" w:eastAsiaTheme="minorEastAsia"/>
          <w:sz w:val="28"/>
          <w:szCs w:val="28"/>
          <w:u w:val="single"/>
        </w:rPr>
        <w:t>盐城幼儿师范高等专科学校网</w:t>
      </w:r>
      <w:r>
        <w:rPr>
          <w:rFonts w:hint="eastAsia" w:asciiTheme="minorEastAsia" w:hAnsiTheme="minorEastAsia" w:eastAsiaTheme="minorEastAsia"/>
          <w:sz w:val="28"/>
          <w:szCs w:val="28"/>
        </w:rPr>
        <w:t>获取招标文件，并于</w:t>
      </w:r>
      <w:r>
        <w:rPr>
          <w:rFonts w:hint="eastAsia" w:asciiTheme="minorEastAsia" w:hAnsiTheme="minorEastAsia" w:eastAsiaTheme="minorEastAsia"/>
          <w:sz w:val="28"/>
          <w:szCs w:val="28"/>
          <w:u w:val="single"/>
        </w:rPr>
        <w:t>2021年</w:t>
      </w:r>
      <w:r>
        <w:rPr>
          <w:rFonts w:hint="eastAsia" w:asciiTheme="minorEastAsia" w:hAnsiTheme="minorEastAsia" w:eastAsiaTheme="minorEastAsia"/>
          <w:sz w:val="28"/>
          <w:szCs w:val="28"/>
          <w:u w:val="single"/>
          <w:lang w:val="en-US" w:eastAsia="zh-CN"/>
        </w:rPr>
        <w:t>8</w:t>
      </w:r>
      <w:r>
        <w:rPr>
          <w:rFonts w:hint="eastAsia" w:asciiTheme="minorEastAsia" w:hAnsiTheme="minorEastAsia" w:eastAsiaTheme="minorEastAsia"/>
          <w:sz w:val="28"/>
          <w:szCs w:val="28"/>
          <w:u w:val="single"/>
        </w:rPr>
        <w:t>月</w:t>
      </w:r>
      <w:r>
        <w:rPr>
          <w:rFonts w:hint="eastAsia" w:asciiTheme="minorEastAsia" w:hAnsiTheme="minorEastAsia" w:eastAsiaTheme="minorEastAsia"/>
          <w:sz w:val="28"/>
          <w:szCs w:val="28"/>
          <w:u w:val="single"/>
          <w:lang w:val="en-US" w:eastAsia="zh-CN"/>
        </w:rPr>
        <w:t>18</w:t>
      </w:r>
      <w:r>
        <w:rPr>
          <w:rFonts w:hint="eastAsia" w:asciiTheme="minorEastAsia" w:hAnsiTheme="minorEastAsia" w:eastAsiaTheme="minorEastAsia"/>
          <w:sz w:val="28"/>
          <w:szCs w:val="28"/>
          <w:u w:val="single"/>
        </w:rPr>
        <w:t>日</w:t>
      </w:r>
      <w:r>
        <w:rPr>
          <w:rFonts w:hint="eastAsia" w:asciiTheme="minorEastAsia" w:hAnsiTheme="minorEastAsia" w:eastAsiaTheme="minorEastAsia"/>
          <w:sz w:val="28"/>
          <w:szCs w:val="28"/>
          <w:u w:val="single"/>
          <w:lang w:val="en-US" w:eastAsia="zh-CN"/>
        </w:rPr>
        <w:t>14</w:t>
      </w:r>
      <w:r>
        <w:rPr>
          <w:rFonts w:hint="eastAsia" w:asciiTheme="minorEastAsia" w:hAnsiTheme="minorEastAsia" w:eastAsiaTheme="minorEastAsia"/>
          <w:sz w:val="28"/>
          <w:szCs w:val="28"/>
          <w:u w:val="single"/>
        </w:rPr>
        <w:t>点</w:t>
      </w:r>
      <w:r>
        <w:rPr>
          <w:rFonts w:hint="eastAsia" w:asciiTheme="minorEastAsia" w:hAnsiTheme="minorEastAsia" w:eastAsiaTheme="minorEastAsia"/>
          <w:sz w:val="28"/>
          <w:szCs w:val="28"/>
          <w:u w:val="single"/>
          <w:lang w:val="en-US" w:eastAsia="zh-CN"/>
        </w:rPr>
        <w:t>30</w:t>
      </w:r>
      <w:r>
        <w:rPr>
          <w:rFonts w:hint="eastAsia" w:asciiTheme="minorEastAsia" w:hAnsiTheme="minorEastAsia" w:eastAsiaTheme="minorEastAsia"/>
          <w:sz w:val="28"/>
          <w:szCs w:val="28"/>
          <w:u w:val="single"/>
        </w:rPr>
        <w:t>分（</w:t>
      </w:r>
      <w:r>
        <w:rPr>
          <w:rFonts w:hint="eastAsia" w:asciiTheme="minorEastAsia" w:hAnsiTheme="minorEastAsia" w:eastAsiaTheme="minorEastAsia"/>
          <w:bCs/>
          <w:sz w:val="28"/>
          <w:szCs w:val="28"/>
        </w:rPr>
        <w:t>北京时间）前递交投标</w:t>
      </w:r>
      <w:r>
        <w:rPr>
          <w:rFonts w:asciiTheme="minorEastAsia" w:hAnsiTheme="minorEastAsia" w:eastAsiaTheme="minorEastAsia"/>
          <w:bCs/>
          <w:sz w:val="28"/>
          <w:szCs w:val="28"/>
        </w:rPr>
        <w:t>文件</w:t>
      </w:r>
      <w:r>
        <w:rPr>
          <w:rFonts w:hint="eastAsia" w:asciiTheme="minorEastAsia" w:hAnsiTheme="minorEastAsia" w:eastAsiaTheme="minorEastAsia"/>
          <w:sz w:val="28"/>
          <w:szCs w:val="28"/>
        </w:rPr>
        <w:t>。</w:t>
      </w:r>
    </w:p>
    <w:p>
      <w:pPr>
        <w:spacing w:line="480" w:lineRule="exact"/>
        <w:ind w:firstLine="561" w:firstLineChars="200"/>
        <w:rPr>
          <w:rFonts w:ascii="宋体" w:hAnsi="宋体" w:cs="宋体"/>
          <w:b/>
          <w:sz w:val="28"/>
          <w:szCs w:val="28"/>
        </w:rPr>
      </w:pPr>
      <w:r>
        <w:rPr>
          <w:rFonts w:hint="eastAsia" w:ascii="宋体" w:hAnsi="宋体" w:cs="宋体"/>
          <w:b/>
          <w:sz w:val="28"/>
          <w:szCs w:val="28"/>
        </w:rPr>
        <w:t>一、招标项目名称及编号</w:t>
      </w:r>
    </w:p>
    <w:p>
      <w:pPr>
        <w:spacing w:line="480" w:lineRule="exact"/>
        <w:ind w:firstLine="560" w:firstLineChars="200"/>
        <w:rPr>
          <w:rFonts w:ascii="宋体" w:hAnsi="宋体" w:cs="宋体"/>
          <w:sz w:val="28"/>
          <w:szCs w:val="28"/>
          <w:u w:val="single"/>
        </w:rPr>
      </w:pPr>
      <w:r>
        <w:rPr>
          <w:rFonts w:hint="eastAsia" w:ascii="宋体" w:hAnsi="宋体" w:cs="宋体"/>
          <w:sz w:val="28"/>
          <w:szCs w:val="28"/>
        </w:rPr>
        <w:t>1、项目名称：</w:t>
      </w:r>
      <w:r>
        <w:rPr>
          <w:rFonts w:hint="eastAsia" w:ascii="宋体" w:hAnsi="宋体" w:cs="宋体"/>
          <w:sz w:val="28"/>
          <w:szCs w:val="28"/>
          <w:u w:val="single"/>
        </w:rPr>
        <w:t>盐城幼儿师范高等专科学校2021年餐饮合作经营服务项目</w:t>
      </w:r>
    </w:p>
    <w:p>
      <w:pPr>
        <w:spacing w:line="480" w:lineRule="exact"/>
        <w:ind w:firstLine="560" w:firstLineChars="200"/>
        <w:rPr>
          <w:rFonts w:ascii="宋体" w:hAnsi="宋体" w:cs="宋体"/>
          <w:b/>
          <w:sz w:val="28"/>
          <w:szCs w:val="28"/>
        </w:rPr>
      </w:pPr>
      <w:r>
        <w:rPr>
          <w:rFonts w:hint="eastAsia" w:ascii="宋体" w:hAnsi="宋体" w:cs="宋体"/>
          <w:sz w:val="28"/>
          <w:szCs w:val="28"/>
        </w:rPr>
        <w:t>2、标书编号：</w:t>
      </w:r>
      <w:r>
        <w:rPr>
          <w:rFonts w:hint="eastAsia" w:ascii="宋体" w:hAnsi="宋体" w:cs="宋体"/>
          <w:sz w:val="28"/>
          <w:szCs w:val="28"/>
          <w:u w:val="single"/>
          <w:lang w:val="en-US" w:eastAsia="zh-CN"/>
        </w:rPr>
        <w:t>YCYZ2021FW003</w:t>
      </w:r>
    </w:p>
    <w:p>
      <w:pPr>
        <w:tabs>
          <w:tab w:val="left" w:pos="900"/>
        </w:tabs>
        <w:spacing w:line="480" w:lineRule="exact"/>
        <w:ind w:firstLine="561" w:firstLineChars="200"/>
        <w:rPr>
          <w:rFonts w:ascii="宋体" w:hAnsi="宋体" w:cs="宋体"/>
          <w:b/>
          <w:bCs/>
          <w:sz w:val="28"/>
          <w:szCs w:val="28"/>
        </w:rPr>
      </w:pPr>
      <w:r>
        <w:rPr>
          <w:rFonts w:hint="eastAsia" w:ascii="宋体" w:hAnsi="宋体" w:cs="宋体"/>
          <w:b/>
          <w:sz w:val="28"/>
          <w:szCs w:val="28"/>
        </w:rPr>
        <w:t>二、基本概况</w:t>
      </w:r>
    </w:p>
    <w:p>
      <w:pPr>
        <w:tabs>
          <w:tab w:val="left" w:pos="900"/>
        </w:tabs>
        <w:spacing w:line="480" w:lineRule="exact"/>
        <w:ind w:firstLine="561" w:firstLineChars="200"/>
        <w:rPr>
          <w:rFonts w:ascii="宋体" w:hAnsi="宋体" w:cs="宋体"/>
          <w:b/>
          <w:bCs/>
          <w:sz w:val="28"/>
          <w:szCs w:val="28"/>
        </w:rPr>
      </w:pPr>
      <w:r>
        <w:rPr>
          <w:rFonts w:hint="eastAsia" w:ascii="宋体" w:hAnsi="宋体" w:cs="宋体"/>
          <w:b/>
          <w:bCs/>
          <w:sz w:val="28"/>
          <w:szCs w:val="28"/>
        </w:rPr>
        <w:t>1. 招标项目简要说明</w:t>
      </w:r>
    </w:p>
    <w:p>
      <w:pPr>
        <w:spacing w:line="480" w:lineRule="exact"/>
        <w:ind w:firstLine="560" w:firstLineChars="200"/>
        <w:rPr>
          <w:rFonts w:ascii="宋体" w:hAnsi="宋体" w:cs="宋体"/>
          <w:bCs/>
          <w:sz w:val="28"/>
          <w:szCs w:val="28"/>
        </w:rPr>
      </w:pPr>
      <w:r>
        <w:rPr>
          <w:rFonts w:hint="eastAsia" w:ascii="宋体" w:hAnsi="宋体" w:cs="宋体"/>
          <w:bCs/>
          <w:sz w:val="28"/>
          <w:szCs w:val="28"/>
        </w:rPr>
        <w:t>盐城幼儿师范高等专科学校是一所全日制公办普通高校，学校位于盐城市高职园区，分南、北两个校区办学。学校2020-2021学年在籍学生约10677人（学海路校区约4413人，海洋路校区约6264人），住校生约占80%。</w:t>
      </w:r>
    </w:p>
    <w:p>
      <w:pPr>
        <w:spacing w:line="480" w:lineRule="exact"/>
        <w:ind w:firstLine="560" w:firstLineChars="200"/>
        <w:rPr>
          <w:rFonts w:ascii="宋体" w:hAnsi="宋体" w:cs="宋体"/>
          <w:bCs/>
          <w:sz w:val="28"/>
          <w:szCs w:val="28"/>
        </w:rPr>
      </w:pPr>
      <w:r>
        <w:rPr>
          <w:rFonts w:hint="eastAsia" w:ascii="宋体" w:hAnsi="宋体" w:cs="宋体"/>
          <w:bCs/>
          <w:sz w:val="28"/>
          <w:szCs w:val="28"/>
        </w:rPr>
        <w:t>学海路校区餐饮服务（标段一、二、三）位于生活服务中心1-4层，其中一楼为第一学生食堂，建筑面积约1500平方米；二楼为第二学生食堂，建筑面积约1500平方米；三楼为第三学生食堂，建筑面积约为1300平方米；四楼为教工食堂，建筑面积约为700平方米；项目地址：盐城市高职园区学海路28号。海洋路校区餐饮服务（标段四）位于生活服务中心三楼，建筑面积约2000平方米。项目地址：盐城市高职园区海洋路28号。</w:t>
      </w:r>
    </w:p>
    <w:p>
      <w:pPr>
        <w:spacing w:line="480" w:lineRule="exact"/>
        <w:ind w:firstLine="561" w:firstLineChars="200"/>
        <w:rPr>
          <w:rFonts w:ascii="宋体" w:hAnsi="宋体" w:cs="宋体"/>
          <w:b/>
          <w:bCs/>
          <w:sz w:val="28"/>
          <w:szCs w:val="28"/>
        </w:rPr>
      </w:pPr>
      <w:r>
        <w:rPr>
          <w:rFonts w:hint="eastAsia" w:ascii="宋体" w:hAnsi="宋体" w:cs="宋体"/>
          <w:b/>
          <w:bCs/>
          <w:sz w:val="28"/>
          <w:szCs w:val="28"/>
        </w:rPr>
        <w:t>特别声明：以上所有数据仅作为参考，不作为投标报价的依据，投标人据此进行的任何推测或测算均与招标人无关，任何情况下招标人对相关数据均不承担责任。</w:t>
      </w:r>
    </w:p>
    <w:p>
      <w:pPr>
        <w:spacing w:line="480" w:lineRule="exact"/>
        <w:ind w:firstLine="420" w:firstLineChars="150"/>
        <w:rPr>
          <w:rFonts w:ascii="宋体" w:hAnsi="宋体" w:cs="宋体"/>
          <w:b/>
          <w:sz w:val="28"/>
          <w:szCs w:val="28"/>
        </w:rPr>
      </w:pPr>
      <w:r>
        <w:rPr>
          <w:rFonts w:hint="eastAsia" w:ascii="宋体" w:hAnsi="宋体" w:cs="宋体"/>
          <w:bCs/>
          <w:sz w:val="28"/>
          <w:szCs w:val="28"/>
        </w:rPr>
        <w:t>2.服务期限最长为3年,自2021年8月25日至2024年6月30日止。</w:t>
      </w:r>
      <w:r>
        <w:rPr>
          <w:rFonts w:hint="eastAsia" w:ascii="宋体" w:hAnsi="宋体" w:cs="宋体"/>
          <w:sz w:val="28"/>
          <w:szCs w:val="28"/>
        </w:rPr>
        <w:t>采取“2+1”模式，分二个阶段。即首签合同期限从2021年8月25日至2023年6月30日；首签期满后进行考核</w:t>
      </w:r>
      <w:r>
        <w:rPr>
          <w:rFonts w:hint="eastAsia" w:ascii="宋体" w:hAnsi="宋体" w:cs="宋体"/>
          <w:b/>
          <w:sz w:val="28"/>
          <w:szCs w:val="28"/>
        </w:rPr>
        <w:t>（具体考核办法及实施由招标人自行决定，投标人均已悉知并无异议）。招标人有权根据考核情况拒绝签署下一个服务周期的合同，中标人无条件服从和接受。如招标人拒绝签约的，视为双方不再合作，原合同到期后中标人应无条件按照原合同约定退场。</w:t>
      </w:r>
    </w:p>
    <w:p>
      <w:pPr>
        <w:spacing w:line="480" w:lineRule="exact"/>
        <w:ind w:firstLine="420" w:firstLineChars="150"/>
        <w:rPr>
          <w:rFonts w:ascii="宋体" w:hAnsi="宋体" w:cs="宋体"/>
          <w:bCs/>
          <w:sz w:val="28"/>
          <w:szCs w:val="28"/>
        </w:rPr>
      </w:pPr>
      <w:r>
        <w:rPr>
          <w:rFonts w:hint="eastAsia" w:ascii="宋体" w:hAnsi="宋体" w:cs="宋体"/>
          <w:bCs/>
          <w:sz w:val="28"/>
          <w:szCs w:val="28"/>
        </w:rPr>
        <w:t>3.本项目分为四个标段，具体标段划分如下：</w:t>
      </w:r>
    </w:p>
    <w:tbl>
      <w:tblPr>
        <w:tblStyle w:val="54"/>
        <w:tblW w:w="9494" w:type="dxa"/>
        <w:tblInd w:w="-606" w:type="dxa"/>
        <w:tblLayout w:type="fixed"/>
        <w:tblCellMar>
          <w:top w:w="0" w:type="dxa"/>
          <w:left w:w="108" w:type="dxa"/>
          <w:bottom w:w="0" w:type="dxa"/>
          <w:right w:w="108" w:type="dxa"/>
        </w:tblCellMar>
      </w:tblPr>
      <w:tblGrid>
        <w:gridCol w:w="765"/>
        <w:gridCol w:w="3473"/>
        <w:gridCol w:w="2424"/>
        <w:gridCol w:w="1260"/>
        <w:gridCol w:w="1572"/>
      </w:tblGrid>
      <w:tr>
        <w:tblPrEx>
          <w:tblLayout w:type="fixed"/>
          <w:tblCellMar>
            <w:top w:w="0" w:type="dxa"/>
            <w:left w:w="108" w:type="dxa"/>
            <w:bottom w:w="0" w:type="dxa"/>
            <w:right w:w="108" w:type="dxa"/>
          </w:tblCellMar>
        </w:tblPrEx>
        <w:trPr>
          <w:trHeight w:val="546" w:hRule="atLeast"/>
        </w:trPr>
        <w:tc>
          <w:tcPr>
            <w:tcW w:w="765"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宋体" w:hAnsi="宋体" w:cs="宋体"/>
                <w:kern w:val="0"/>
                <w:sz w:val="24"/>
                <w:szCs w:val="24"/>
              </w:rPr>
            </w:pPr>
            <w:r>
              <w:rPr>
                <w:rFonts w:hint="eastAsia" w:ascii="宋体" w:hAnsi="宋体" w:cs="宋体"/>
                <w:kern w:val="0"/>
                <w:sz w:val="24"/>
                <w:szCs w:val="24"/>
              </w:rPr>
              <w:t>标段号</w:t>
            </w:r>
          </w:p>
        </w:tc>
        <w:tc>
          <w:tcPr>
            <w:tcW w:w="3473" w:type="dxa"/>
            <w:tcBorders>
              <w:top w:val="single" w:color="auto" w:sz="4" w:space="0"/>
              <w:left w:val="nil"/>
              <w:bottom w:val="single" w:color="auto" w:sz="4" w:space="0"/>
              <w:right w:val="single" w:color="auto" w:sz="4" w:space="0"/>
            </w:tcBorders>
            <w:vAlign w:val="center"/>
          </w:tcPr>
          <w:p>
            <w:pPr>
              <w:widowControl/>
              <w:spacing w:line="480" w:lineRule="exact"/>
              <w:jc w:val="center"/>
              <w:rPr>
                <w:rFonts w:ascii="宋体" w:hAnsi="宋体" w:cs="宋体"/>
                <w:kern w:val="0"/>
                <w:sz w:val="24"/>
                <w:szCs w:val="24"/>
              </w:rPr>
            </w:pPr>
            <w:r>
              <w:rPr>
                <w:rFonts w:hint="eastAsia" w:ascii="宋体" w:hAnsi="宋体" w:cs="宋体"/>
                <w:kern w:val="0"/>
                <w:sz w:val="24"/>
                <w:szCs w:val="24"/>
              </w:rPr>
              <w:t>餐厅名称</w:t>
            </w:r>
          </w:p>
        </w:tc>
        <w:tc>
          <w:tcPr>
            <w:tcW w:w="2424" w:type="dxa"/>
            <w:tcBorders>
              <w:top w:val="single" w:color="auto" w:sz="4" w:space="0"/>
              <w:left w:val="nil"/>
              <w:bottom w:val="single" w:color="auto" w:sz="4" w:space="0"/>
              <w:right w:val="single" w:color="auto" w:sz="4" w:space="0"/>
            </w:tcBorders>
            <w:vAlign w:val="center"/>
          </w:tcPr>
          <w:p>
            <w:pPr>
              <w:widowControl/>
              <w:spacing w:line="480" w:lineRule="exact"/>
              <w:jc w:val="center"/>
              <w:rPr>
                <w:rFonts w:ascii="宋体" w:hAnsi="宋体" w:cs="宋体"/>
                <w:kern w:val="0"/>
                <w:sz w:val="24"/>
                <w:szCs w:val="24"/>
              </w:rPr>
            </w:pPr>
            <w:r>
              <w:rPr>
                <w:rFonts w:hint="eastAsia" w:ascii="宋体" w:hAnsi="宋体" w:cs="宋体"/>
                <w:kern w:val="0"/>
                <w:sz w:val="24"/>
                <w:szCs w:val="24"/>
              </w:rPr>
              <w:t>基本大伙窗口比例(不含教工餐厅）</w:t>
            </w:r>
          </w:p>
        </w:tc>
        <w:tc>
          <w:tcPr>
            <w:tcW w:w="1260" w:type="dxa"/>
            <w:tcBorders>
              <w:top w:val="single" w:color="auto" w:sz="4" w:space="0"/>
              <w:left w:val="nil"/>
              <w:bottom w:val="single" w:color="auto" w:sz="4" w:space="0"/>
              <w:right w:val="single" w:color="auto" w:sz="4" w:space="0"/>
            </w:tcBorders>
            <w:vAlign w:val="center"/>
          </w:tcPr>
          <w:p>
            <w:pPr>
              <w:widowControl/>
              <w:spacing w:line="480" w:lineRule="exact"/>
              <w:jc w:val="center"/>
              <w:rPr>
                <w:rFonts w:ascii="宋体" w:hAnsi="宋体" w:cs="宋体"/>
                <w:kern w:val="0"/>
                <w:sz w:val="24"/>
                <w:szCs w:val="24"/>
              </w:rPr>
            </w:pPr>
            <w:r>
              <w:rPr>
                <w:rFonts w:hint="eastAsia" w:ascii="宋体" w:hAnsi="宋体" w:cs="宋体"/>
                <w:kern w:val="0"/>
                <w:sz w:val="24"/>
                <w:szCs w:val="24"/>
              </w:rPr>
              <w:t>经营投入</w:t>
            </w:r>
            <w:r>
              <w:rPr>
                <w:rFonts w:hint="eastAsia" w:ascii="宋体" w:hAnsi="宋体" w:cs="宋体"/>
                <w:kern w:val="0"/>
                <w:sz w:val="24"/>
                <w:szCs w:val="24"/>
              </w:rPr>
              <w:br w:type="textWrapping"/>
            </w:r>
            <w:r>
              <w:rPr>
                <w:rFonts w:hint="eastAsia" w:ascii="宋体" w:hAnsi="宋体" w:cs="宋体"/>
                <w:kern w:val="0"/>
                <w:sz w:val="24"/>
                <w:szCs w:val="24"/>
              </w:rPr>
              <w:t>最低限额</w:t>
            </w:r>
          </w:p>
        </w:tc>
        <w:tc>
          <w:tcPr>
            <w:tcW w:w="1572" w:type="dxa"/>
            <w:tcBorders>
              <w:top w:val="single" w:color="auto" w:sz="4" w:space="0"/>
              <w:left w:val="nil"/>
              <w:bottom w:val="single" w:color="auto" w:sz="4" w:space="0"/>
              <w:right w:val="single" w:color="auto" w:sz="4" w:space="0"/>
            </w:tcBorders>
            <w:vAlign w:val="center"/>
          </w:tcPr>
          <w:p>
            <w:pPr>
              <w:widowControl/>
              <w:spacing w:line="480" w:lineRule="exact"/>
              <w:jc w:val="center"/>
              <w:rPr>
                <w:rFonts w:ascii="宋体" w:hAnsi="宋体" w:cs="宋体"/>
                <w:kern w:val="0"/>
                <w:sz w:val="24"/>
                <w:szCs w:val="24"/>
              </w:rPr>
            </w:pPr>
            <w:r>
              <w:rPr>
                <w:rFonts w:hint="eastAsia" w:ascii="宋体" w:hAnsi="宋体" w:cs="宋体"/>
                <w:kern w:val="0"/>
                <w:sz w:val="24"/>
                <w:szCs w:val="24"/>
              </w:rPr>
              <w:t>平抑基金（占总营业额%）</w:t>
            </w:r>
          </w:p>
        </w:tc>
      </w:tr>
      <w:tr>
        <w:tblPrEx>
          <w:tblLayout w:type="fixed"/>
          <w:tblCellMar>
            <w:top w:w="0" w:type="dxa"/>
            <w:left w:w="108" w:type="dxa"/>
            <w:bottom w:w="0" w:type="dxa"/>
            <w:right w:w="108" w:type="dxa"/>
          </w:tblCellMar>
        </w:tblPrEx>
        <w:trPr>
          <w:trHeight w:val="576" w:hRule="atLeast"/>
        </w:trPr>
        <w:tc>
          <w:tcPr>
            <w:tcW w:w="765" w:type="dxa"/>
            <w:tcBorders>
              <w:top w:val="nil"/>
              <w:left w:val="single" w:color="auto" w:sz="4" w:space="0"/>
              <w:bottom w:val="single" w:color="auto" w:sz="4" w:space="0"/>
              <w:right w:val="single" w:color="auto" w:sz="4" w:space="0"/>
            </w:tcBorders>
            <w:vAlign w:val="center"/>
          </w:tcPr>
          <w:p>
            <w:pPr>
              <w:widowControl/>
              <w:spacing w:line="480" w:lineRule="exact"/>
              <w:jc w:val="center"/>
              <w:rPr>
                <w:rFonts w:ascii="宋体" w:hAnsi="宋体" w:cs="宋体"/>
                <w:kern w:val="0"/>
                <w:sz w:val="24"/>
                <w:szCs w:val="24"/>
              </w:rPr>
            </w:pPr>
            <w:r>
              <w:rPr>
                <w:rFonts w:hint="eastAsia" w:ascii="宋体" w:hAnsi="宋体" w:cs="宋体"/>
                <w:kern w:val="0"/>
                <w:sz w:val="24"/>
                <w:szCs w:val="24"/>
              </w:rPr>
              <w:t>一</w:t>
            </w:r>
          </w:p>
        </w:tc>
        <w:tc>
          <w:tcPr>
            <w:tcW w:w="3473" w:type="dxa"/>
            <w:tcBorders>
              <w:top w:val="nil"/>
              <w:left w:val="nil"/>
              <w:bottom w:val="single" w:color="auto" w:sz="4" w:space="0"/>
              <w:right w:val="single" w:color="auto" w:sz="4" w:space="0"/>
            </w:tcBorders>
            <w:vAlign w:val="center"/>
          </w:tcPr>
          <w:p>
            <w:pPr>
              <w:widowControl/>
              <w:spacing w:line="480" w:lineRule="exact"/>
              <w:jc w:val="center"/>
              <w:rPr>
                <w:rFonts w:ascii="宋体" w:hAnsi="宋体" w:cs="宋体"/>
                <w:kern w:val="0"/>
                <w:sz w:val="24"/>
                <w:szCs w:val="24"/>
              </w:rPr>
            </w:pPr>
            <w:r>
              <w:rPr>
                <w:rFonts w:hint="eastAsia" w:ascii="宋体" w:hAnsi="宋体" w:cs="宋体"/>
                <w:kern w:val="0"/>
                <w:sz w:val="24"/>
                <w:szCs w:val="24"/>
              </w:rPr>
              <w:t>学海路校区一楼学生食堂</w:t>
            </w:r>
          </w:p>
        </w:tc>
        <w:tc>
          <w:tcPr>
            <w:tcW w:w="2424" w:type="dxa"/>
            <w:tcBorders>
              <w:top w:val="nil"/>
              <w:left w:val="nil"/>
              <w:bottom w:val="single" w:color="auto" w:sz="4" w:space="0"/>
              <w:right w:val="single" w:color="auto" w:sz="4" w:space="0"/>
            </w:tcBorders>
            <w:vAlign w:val="center"/>
          </w:tcPr>
          <w:p>
            <w:pPr>
              <w:widowControl/>
              <w:spacing w:line="480" w:lineRule="exact"/>
              <w:jc w:val="center"/>
              <w:rPr>
                <w:rFonts w:ascii="宋体" w:hAnsi="宋体" w:cs="宋体"/>
                <w:kern w:val="0"/>
                <w:sz w:val="24"/>
                <w:szCs w:val="24"/>
              </w:rPr>
            </w:pPr>
            <w:r>
              <w:rPr>
                <w:rFonts w:hint="eastAsia" w:ascii="宋体" w:hAnsi="宋体" w:cs="宋体"/>
                <w:kern w:val="0"/>
                <w:sz w:val="24"/>
                <w:szCs w:val="24"/>
              </w:rPr>
              <w:t>基本大伙不少于40%</w:t>
            </w:r>
          </w:p>
        </w:tc>
        <w:tc>
          <w:tcPr>
            <w:tcW w:w="1260" w:type="dxa"/>
            <w:tcBorders>
              <w:top w:val="nil"/>
              <w:left w:val="nil"/>
              <w:bottom w:val="single" w:color="auto" w:sz="4" w:space="0"/>
              <w:right w:val="single" w:color="auto" w:sz="4" w:space="0"/>
            </w:tcBorders>
            <w:vAlign w:val="center"/>
          </w:tcPr>
          <w:p>
            <w:pPr>
              <w:widowControl/>
              <w:spacing w:line="480" w:lineRule="exact"/>
              <w:jc w:val="center"/>
              <w:rPr>
                <w:rFonts w:ascii="宋体" w:hAnsi="宋体" w:cs="宋体"/>
                <w:kern w:val="0"/>
                <w:sz w:val="24"/>
                <w:szCs w:val="24"/>
              </w:rPr>
            </w:pPr>
            <w:r>
              <w:rPr>
                <w:rFonts w:hint="eastAsia" w:ascii="宋体" w:hAnsi="宋体" w:cs="宋体"/>
                <w:kern w:val="0"/>
                <w:sz w:val="24"/>
                <w:szCs w:val="24"/>
              </w:rPr>
              <w:t>50-70万</w:t>
            </w:r>
          </w:p>
        </w:tc>
        <w:tc>
          <w:tcPr>
            <w:tcW w:w="1572" w:type="dxa"/>
            <w:tcBorders>
              <w:top w:val="nil"/>
              <w:left w:val="nil"/>
              <w:bottom w:val="single" w:color="auto" w:sz="4" w:space="0"/>
              <w:right w:val="single" w:color="auto" w:sz="4" w:space="0"/>
            </w:tcBorders>
            <w:vAlign w:val="center"/>
          </w:tcPr>
          <w:p>
            <w:pPr>
              <w:widowControl/>
              <w:spacing w:line="480" w:lineRule="exact"/>
              <w:jc w:val="center"/>
              <w:rPr>
                <w:rFonts w:ascii="宋体" w:hAnsi="宋体" w:cs="宋体"/>
                <w:kern w:val="0"/>
                <w:sz w:val="24"/>
                <w:szCs w:val="24"/>
              </w:rPr>
            </w:pPr>
            <w:r>
              <w:rPr>
                <w:rFonts w:hint="eastAsia" w:ascii="宋体" w:hAnsi="宋体" w:cs="宋体"/>
                <w:kern w:val="0"/>
                <w:sz w:val="24"/>
                <w:szCs w:val="24"/>
              </w:rPr>
              <w:t>3%</w:t>
            </w:r>
          </w:p>
        </w:tc>
      </w:tr>
      <w:tr>
        <w:tblPrEx>
          <w:tblLayout w:type="fixed"/>
          <w:tblCellMar>
            <w:top w:w="0" w:type="dxa"/>
            <w:left w:w="108" w:type="dxa"/>
            <w:bottom w:w="0" w:type="dxa"/>
            <w:right w:w="108" w:type="dxa"/>
          </w:tblCellMar>
        </w:tblPrEx>
        <w:trPr>
          <w:trHeight w:val="576" w:hRule="atLeast"/>
        </w:trPr>
        <w:tc>
          <w:tcPr>
            <w:tcW w:w="765" w:type="dxa"/>
            <w:tcBorders>
              <w:top w:val="nil"/>
              <w:left w:val="single" w:color="auto" w:sz="4" w:space="0"/>
              <w:bottom w:val="nil"/>
              <w:right w:val="single" w:color="auto" w:sz="4" w:space="0"/>
            </w:tcBorders>
            <w:vAlign w:val="center"/>
          </w:tcPr>
          <w:p>
            <w:pPr>
              <w:widowControl/>
              <w:spacing w:line="480" w:lineRule="exact"/>
              <w:jc w:val="center"/>
              <w:rPr>
                <w:rFonts w:ascii="宋体" w:hAnsi="宋体" w:cs="宋体"/>
                <w:kern w:val="0"/>
                <w:sz w:val="24"/>
                <w:szCs w:val="24"/>
              </w:rPr>
            </w:pPr>
            <w:r>
              <w:rPr>
                <w:rFonts w:hint="eastAsia" w:ascii="宋体" w:hAnsi="宋体" w:cs="宋体"/>
                <w:kern w:val="0"/>
                <w:sz w:val="24"/>
                <w:szCs w:val="24"/>
              </w:rPr>
              <w:t>二</w:t>
            </w:r>
          </w:p>
        </w:tc>
        <w:tc>
          <w:tcPr>
            <w:tcW w:w="3473" w:type="dxa"/>
            <w:tcBorders>
              <w:top w:val="nil"/>
              <w:left w:val="nil"/>
              <w:bottom w:val="single" w:color="auto" w:sz="4" w:space="0"/>
              <w:right w:val="single" w:color="auto" w:sz="4" w:space="0"/>
            </w:tcBorders>
            <w:vAlign w:val="center"/>
          </w:tcPr>
          <w:p>
            <w:pPr>
              <w:widowControl/>
              <w:spacing w:line="480" w:lineRule="exact"/>
              <w:jc w:val="center"/>
              <w:rPr>
                <w:rFonts w:ascii="宋体" w:hAnsi="宋体" w:cs="宋体"/>
                <w:kern w:val="0"/>
                <w:sz w:val="24"/>
                <w:szCs w:val="24"/>
              </w:rPr>
            </w:pPr>
            <w:r>
              <w:rPr>
                <w:rFonts w:hint="eastAsia" w:ascii="宋体" w:hAnsi="宋体" w:cs="宋体"/>
                <w:kern w:val="0"/>
                <w:sz w:val="24"/>
                <w:szCs w:val="24"/>
              </w:rPr>
              <w:t>学海路校区二楼学生食堂</w:t>
            </w:r>
          </w:p>
        </w:tc>
        <w:tc>
          <w:tcPr>
            <w:tcW w:w="2424" w:type="dxa"/>
            <w:tcBorders>
              <w:top w:val="nil"/>
              <w:left w:val="nil"/>
              <w:bottom w:val="single" w:color="auto" w:sz="4" w:space="0"/>
              <w:right w:val="single" w:color="auto" w:sz="4" w:space="0"/>
            </w:tcBorders>
            <w:vAlign w:val="center"/>
          </w:tcPr>
          <w:p>
            <w:pPr>
              <w:widowControl/>
              <w:spacing w:line="480" w:lineRule="exact"/>
              <w:jc w:val="center"/>
              <w:rPr>
                <w:rFonts w:ascii="宋体" w:hAnsi="宋体" w:cs="宋体"/>
                <w:kern w:val="0"/>
                <w:sz w:val="24"/>
                <w:szCs w:val="24"/>
              </w:rPr>
            </w:pPr>
            <w:r>
              <w:rPr>
                <w:rFonts w:hint="eastAsia" w:ascii="宋体" w:hAnsi="宋体" w:cs="宋体"/>
                <w:kern w:val="0"/>
                <w:sz w:val="24"/>
                <w:szCs w:val="24"/>
              </w:rPr>
              <w:t>无要求</w:t>
            </w:r>
          </w:p>
        </w:tc>
        <w:tc>
          <w:tcPr>
            <w:tcW w:w="1260" w:type="dxa"/>
            <w:tcBorders>
              <w:top w:val="single" w:color="auto" w:sz="4" w:space="0"/>
              <w:left w:val="nil"/>
              <w:bottom w:val="single" w:color="auto" w:sz="4" w:space="0"/>
              <w:right w:val="single" w:color="auto" w:sz="4" w:space="0"/>
            </w:tcBorders>
            <w:vAlign w:val="center"/>
          </w:tcPr>
          <w:p>
            <w:pPr>
              <w:widowControl/>
              <w:spacing w:line="480" w:lineRule="exact"/>
              <w:jc w:val="center"/>
              <w:rPr>
                <w:rFonts w:ascii="宋体" w:hAnsi="宋体" w:cs="宋体"/>
                <w:kern w:val="0"/>
                <w:sz w:val="24"/>
                <w:szCs w:val="24"/>
              </w:rPr>
            </w:pPr>
            <w:r>
              <w:rPr>
                <w:rFonts w:hint="eastAsia" w:ascii="宋体" w:hAnsi="宋体" w:cs="宋体"/>
                <w:kern w:val="0"/>
                <w:sz w:val="24"/>
                <w:szCs w:val="24"/>
              </w:rPr>
              <w:t>40-60万</w:t>
            </w:r>
          </w:p>
        </w:tc>
        <w:tc>
          <w:tcPr>
            <w:tcW w:w="1572" w:type="dxa"/>
            <w:tcBorders>
              <w:top w:val="single" w:color="auto" w:sz="4" w:space="0"/>
              <w:left w:val="nil"/>
              <w:bottom w:val="single" w:color="auto" w:sz="4" w:space="0"/>
              <w:right w:val="single" w:color="auto" w:sz="4" w:space="0"/>
            </w:tcBorders>
            <w:vAlign w:val="center"/>
          </w:tcPr>
          <w:p>
            <w:pPr>
              <w:widowControl/>
              <w:spacing w:line="480" w:lineRule="exact"/>
              <w:jc w:val="center"/>
              <w:rPr>
                <w:rFonts w:ascii="宋体" w:hAnsi="宋体" w:cs="宋体"/>
                <w:kern w:val="0"/>
                <w:sz w:val="24"/>
                <w:szCs w:val="24"/>
              </w:rPr>
            </w:pPr>
            <w:r>
              <w:rPr>
                <w:rFonts w:hint="eastAsia" w:ascii="宋体" w:hAnsi="宋体" w:cs="宋体"/>
                <w:kern w:val="0"/>
                <w:sz w:val="24"/>
                <w:szCs w:val="24"/>
              </w:rPr>
              <w:t>2%</w:t>
            </w:r>
          </w:p>
        </w:tc>
      </w:tr>
      <w:tr>
        <w:tblPrEx>
          <w:tblLayout w:type="fixed"/>
          <w:tblCellMar>
            <w:top w:w="0" w:type="dxa"/>
            <w:left w:w="108" w:type="dxa"/>
            <w:bottom w:w="0" w:type="dxa"/>
            <w:right w:w="108" w:type="dxa"/>
          </w:tblCellMar>
        </w:tblPrEx>
        <w:trPr>
          <w:trHeight w:val="576" w:hRule="atLeast"/>
        </w:trPr>
        <w:tc>
          <w:tcPr>
            <w:tcW w:w="765"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rFonts w:ascii="宋体" w:hAnsi="宋体" w:cs="宋体"/>
                <w:kern w:val="0"/>
                <w:sz w:val="24"/>
                <w:szCs w:val="24"/>
              </w:rPr>
            </w:pPr>
            <w:r>
              <w:rPr>
                <w:rFonts w:hint="eastAsia" w:ascii="宋体" w:hAnsi="宋体" w:cs="宋体"/>
                <w:kern w:val="0"/>
                <w:sz w:val="24"/>
                <w:szCs w:val="24"/>
              </w:rPr>
              <w:t>三</w:t>
            </w:r>
          </w:p>
        </w:tc>
        <w:tc>
          <w:tcPr>
            <w:tcW w:w="3473" w:type="dxa"/>
            <w:tcBorders>
              <w:top w:val="nil"/>
              <w:left w:val="nil"/>
              <w:bottom w:val="single" w:color="auto" w:sz="4" w:space="0"/>
              <w:right w:val="single" w:color="auto" w:sz="4" w:space="0"/>
            </w:tcBorders>
            <w:vAlign w:val="center"/>
          </w:tcPr>
          <w:p>
            <w:pPr>
              <w:widowControl/>
              <w:spacing w:line="480" w:lineRule="exact"/>
              <w:jc w:val="center"/>
              <w:rPr>
                <w:rFonts w:ascii="宋体" w:hAnsi="宋体" w:cs="宋体"/>
                <w:kern w:val="0"/>
                <w:sz w:val="24"/>
                <w:szCs w:val="24"/>
              </w:rPr>
            </w:pPr>
            <w:r>
              <w:rPr>
                <w:rFonts w:hint="eastAsia" w:ascii="宋体" w:hAnsi="宋体" w:cs="宋体"/>
                <w:kern w:val="0"/>
                <w:sz w:val="24"/>
                <w:szCs w:val="24"/>
              </w:rPr>
              <w:t>学海路校区三楼学生食堂、四楼教工食堂、民族风味窗口</w:t>
            </w:r>
          </w:p>
        </w:tc>
        <w:tc>
          <w:tcPr>
            <w:tcW w:w="2424" w:type="dxa"/>
            <w:tcBorders>
              <w:top w:val="nil"/>
              <w:left w:val="nil"/>
              <w:bottom w:val="single" w:color="auto" w:sz="4" w:space="0"/>
              <w:right w:val="single" w:color="auto" w:sz="4" w:space="0"/>
            </w:tcBorders>
            <w:vAlign w:val="center"/>
          </w:tcPr>
          <w:p>
            <w:pPr>
              <w:widowControl/>
              <w:spacing w:line="480" w:lineRule="exact"/>
              <w:jc w:val="center"/>
              <w:rPr>
                <w:rFonts w:ascii="宋体" w:hAnsi="宋体" w:cs="宋体"/>
                <w:kern w:val="0"/>
                <w:sz w:val="24"/>
                <w:szCs w:val="24"/>
              </w:rPr>
            </w:pPr>
            <w:r>
              <w:rPr>
                <w:rFonts w:hint="eastAsia" w:ascii="宋体" w:hAnsi="宋体" w:cs="宋体"/>
                <w:kern w:val="0"/>
                <w:sz w:val="24"/>
                <w:szCs w:val="24"/>
              </w:rPr>
              <w:t>无要求</w:t>
            </w:r>
          </w:p>
        </w:tc>
        <w:tc>
          <w:tcPr>
            <w:tcW w:w="1260" w:type="dxa"/>
            <w:vMerge w:val="restart"/>
            <w:tcBorders>
              <w:top w:val="single" w:color="auto" w:sz="4" w:space="0"/>
              <w:left w:val="nil"/>
              <w:bottom w:val="single" w:color="auto" w:sz="4" w:space="0"/>
              <w:right w:val="single" w:color="auto" w:sz="4" w:space="0"/>
            </w:tcBorders>
            <w:vAlign w:val="center"/>
          </w:tcPr>
          <w:p>
            <w:pPr>
              <w:widowControl/>
              <w:spacing w:line="480" w:lineRule="exact"/>
              <w:jc w:val="center"/>
              <w:rPr>
                <w:rFonts w:ascii="宋体" w:hAnsi="宋体" w:cs="宋体"/>
                <w:kern w:val="0"/>
                <w:sz w:val="24"/>
                <w:szCs w:val="24"/>
              </w:rPr>
            </w:pPr>
            <w:r>
              <w:rPr>
                <w:rFonts w:hint="eastAsia" w:ascii="宋体" w:hAnsi="宋体" w:cs="宋体"/>
                <w:kern w:val="0"/>
                <w:sz w:val="24"/>
                <w:szCs w:val="24"/>
              </w:rPr>
              <w:t>30-50万</w:t>
            </w:r>
          </w:p>
        </w:tc>
        <w:tc>
          <w:tcPr>
            <w:tcW w:w="1572" w:type="dxa"/>
            <w:vMerge w:val="restart"/>
            <w:tcBorders>
              <w:top w:val="single" w:color="auto" w:sz="4" w:space="0"/>
              <w:left w:val="nil"/>
              <w:right w:val="single" w:color="auto" w:sz="4" w:space="0"/>
            </w:tcBorders>
            <w:vAlign w:val="center"/>
          </w:tcPr>
          <w:p>
            <w:pPr>
              <w:widowControl/>
              <w:spacing w:line="480" w:lineRule="exact"/>
              <w:jc w:val="center"/>
              <w:rPr>
                <w:rFonts w:ascii="宋体" w:hAnsi="宋体" w:cs="宋体"/>
                <w:kern w:val="0"/>
                <w:sz w:val="24"/>
                <w:szCs w:val="24"/>
              </w:rPr>
            </w:pPr>
            <w:r>
              <w:rPr>
                <w:rFonts w:hint="eastAsia" w:ascii="宋体" w:hAnsi="宋体" w:cs="宋体"/>
                <w:kern w:val="0"/>
                <w:sz w:val="24"/>
                <w:szCs w:val="24"/>
              </w:rPr>
              <w:t>1%</w:t>
            </w:r>
          </w:p>
        </w:tc>
      </w:tr>
      <w:tr>
        <w:tblPrEx>
          <w:tblLayout w:type="fixed"/>
          <w:tblCellMar>
            <w:top w:w="0" w:type="dxa"/>
            <w:left w:w="108" w:type="dxa"/>
            <w:bottom w:w="0" w:type="dxa"/>
            <w:right w:w="108" w:type="dxa"/>
          </w:tblCellMar>
        </w:tblPrEx>
        <w:trPr>
          <w:trHeight w:val="576" w:hRule="atLeast"/>
        </w:trPr>
        <w:tc>
          <w:tcPr>
            <w:tcW w:w="765" w:type="dxa"/>
            <w:tcBorders>
              <w:top w:val="nil"/>
              <w:left w:val="single" w:color="auto" w:sz="4" w:space="0"/>
              <w:bottom w:val="single" w:color="auto" w:sz="4" w:space="0"/>
              <w:right w:val="single" w:color="auto" w:sz="4" w:space="0"/>
            </w:tcBorders>
            <w:vAlign w:val="center"/>
          </w:tcPr>
          <w:p>
            <w:pPr>
              <w:widowControl/>
              <w:spacing w:line="480" w:lineRule="exact"/>
              <w:jc w:val="center"/>
              <w:rPr>
                <w:rFonts w:ascii="宋体" w:hAnsi="宋体" w:cs="宋体"/>
                <w:kern w:val="0"/>
                <w:sz w:val="24"/>
                <w:szCs w:val="24"/>
              </w:rPr>
            </w:pPr>
            <w:r>
              <w:rPr>
                <w:rFonts w:hint="eastAsia" w:ascii="宋体" w:hAnsi="宋体" w:cs="宋体"/>
                <w:kern w:val="0"/>
                <w:sz w:val="24"/>
                <w:szCs w:val="24"/>
              </w:rPr>
              <w:t>四</w:t>
            </w:r>
          </w:p>
        </w:tc>
        <w:tc>
          <w:tcPr>
            <w:tcW w:w="3473" w:type="dxa"/>
            <w:tcBorders>
              <w:top w:val="nil"/>
              <w:left w:val="nil"/>
              <w:bottom w:val="single" w:color="auto" w:sz="4" w:space="0"/>
              <w:right w:val="single" w:color="auto" w:sz="4" w:space="0"/>
            </w:tcBorders>
            <w:vAlign w:val="center"/>
          </w:tcPr>
          <w:p>
            <w:pPr>
              <w:widowControl/>
              <w:spacing w:line="480" w:lineRule="exact"/>
              <w:jc w:val="left"/>
              <w:rPr>
                <w:rFonts w:ascii="宋体" w:hAnsi="宋体" w:cs="宋体"/>
                <w:kern w:val="0"/>
                <w:sz w:val="24"/>
                <w:szCs w:val="24"/>
              </w:rPr>
            </w:pPr>
            <w:r>
              <w:rPr>
                <w:rFonts w:hint="eastAsia" w:ascii="宋体" w:hAnsi="宋体" w:cs="宋体"/>
                <w:kern w:val="0"/>
                <w:sz w:val="24"/>
                <w:szCs w:val="24"/>
              </w:rPr>
              <w:t>海洋路校区三楼学生食堂、教工食堂、民族风味窗口</w:t>
            </w:r>
          </w:p>
        </w:tc>
        <w:tc>
          <w:tcPr>
            <w:tcW w:w="2424" w:type="dxa"/>
            <w:tcBorders>
              <w:top w:val="nil"/>
              <w:left w:val="nil"/>
              <w:bottom w:val="single" w:color="auto" w:sz="4" w:space="0"/>
              <w:right w:val="single" w:color="auto" w:sz="4" w:space="0"/>
            </w:tcBorders>
            <w:vAlign w:val="center"/>
          </w:tcPr>
          <w:p>
            <w:pPr>
              <w:widowControl/>
              <w:spacing w:line="480" w:lineRule="exact"/>
              <w:jc w:val="center"/>
              <w:rPr>
                <w:rFonts w:ascii="宋体" w:hAnsi="宋体" w:cs="宋体"/>
                <w:kern w:val="0"/>
                <w:sz w:val="28"/>
                <w:szCs w:val="28"/>
              </w:rPr>
            </w:pPr>
            <w:r>
              <w:rPr>
                <w:rFonts w:hint="eastAsia" w:ascii="宋体" w:hAnsi="宋体" w:cs="宋体"/>
                <w:kern w:val="0"/>
                <w:sz w:val="24"/>
                <w:szCs w:val="24"/>
              </w:rPr>
              <w:t>无要求</w:t>
            </w:r>
          </w:p>
        </w:tc>
        <w:tc>
          <w:tcPr>
            <w:tcW w:w="1260" w:type="dxa"/>
            <w:vMerge w:val="continue"/>
            <w:tcBorders>
              <w:top w:val="single" w:color="auto" w:sz="4" w:space="0"/>
              <w:left w:val="nil"/>
              <w:bottom w:val="single" w:color="auto" w:sz="4" w:space="0"/>
              <w:right w:val="single" w:color="auto" w:sz="4" w:space="0"/>
            </w:tcBorders>
            <w:vAlign w:val="center"/>
          </w:tcPr>
          <w:p>
            <w:pPr>
              <w:widowControl/>
              <w:spacing w:line="480" w:lineRule="exact"/>
              <w:jc w:val="center"/>
              <w:rPr>
                <w:rFonts w:ascii="宋体" w:hAnsi="宋体" w:cs="宋体"/>
                <w:kern w:val="0"/>
                <w:sz w:val="28"/>
                <w:szCs w:val="28"/>
              </w:rPr>
            </w:pPr>
          </w:p>
        </w:tc>
        <w:tc>
          <w:tcPr>
            <w:tcW w:w="1572" w:type="dxa"/>
            <w:vMerge w:val="continue"/>
            <w:tcBorders>
              <w:left w:val="nil"/>
              <w:bottom w:val="single" w:color="auto" w:sz="4" w:space="0"/>
              <w:right w:val="single" w:color="auto" w:sz="4" w:space="0"/>
            </w:tcBorders>
            <w:vAlign w:val="center"/>
          </w:tcPr>
          <w:p>
            <w:pPr>
              <w:widowControl/>
              <w:spacing w:line="480" w:lineRule="exact"/>
              <w:jc w:val="center"/>
              <w:rPr>
                <w:rFonts w:ascii="宋体" w:hAnsi="宋体" w:cs="宋体"/>
                <w:kern w:val="0"/>
                <w:sz w:val="28"/>
                <w:szCs w:val="28"/>
              </w:rPr>
            </w:pPr>
          </w:p>
        </w:tc>
      </w:tr>
    </w:tbl>
    <w:p>
      <w:pPr>
        <w:numPr>
          <w:ilvl w:val="0"/>
          <w:numId w:val="0"/>
        </w:numPr>
        <w:spacing w:line="480" w:lineRule="exact"/>
        <w:ind w:firstLine="280" w:firstLineChars="100"/>
        <w:rPr>
          <w:rFonts w:ascii="宋体" w:hAnsi="宋体" w:cs="宋体"/>
          <w:bCs/>
          <w:sz w:val="28"/>
          <w:szCs w:val="28"/>
        </w:rPr>
      </w:pPr>
      <w:r>
        <w:rPr>
          <w:rFonts w:hint="eastAsia" w:ascii="宋体" w:hAnsi="宋体" w:cs="宋体"/>
          <w:bCs/>
          <w:sz w:val="28"/>
          <w:szCs w:val="28"/>
          <w:lang w:val="en-US" w:eastAsia="zh-CN"/>
        </w:rPr>
        <w:t>4.</w:t>
      </w:r>
      <w:r>
        <w:rPr>
          <w:rFonts w:hint="eastAsia" w:ascii="宋体" w:hAnsi="宋体" w:cs="宋体"/>
          <w:bCs/>
          <w:sz w:val="28"/>
          <w:szCs w:val="28"/>
        </w:rPr>
        <w:t>每个投标人可以同时投报4个标段，但只能中一个标段</w:t>
      </w:r>
      <w:r>
        <w:rPr>
          <w:rFonts w:hint="eastAsia" w:ascii="宋体" w:hAnsi="宋体" w:cs="宋体"/>
          <w:b/>
          <w:sz w:val="28"/>
          <w:szCs w:val="28"/>
        </w:rPr>
        <w:t>；其中，标段三、标段四必须同时投报。</w:t>
      </w:r>
      <w:r>
        <w:rPr>
          <w:rFonts w:hint="eastAsia" w:ascii="宋体" w:hAnsi="宋体" w:cs="宋体"/>
          <w:bCs/>
          <w:sz w:val="28"/>
          <w:szCs w:val="28"/>
        </w:rPr>
        <w:t>兼投不兼中，投标人必须按照标段分别编制投标文件、密封投标文件、递交投标文件，招标人按标段一、二、三、四先后开标、评标、选择中标人。</w:t>
      </w:r>
    </w:p>
    <w:p>
      <w:pPr>
        <w:numPr>
          <w:ilvl w:val="0"/>
          <w:numId w:val="2"/>
        </w:numPr>
        <w:spacing w:line="480" w:lineRule="exact"/>
        <w:ind w:firstLine="425"/>
        <w:rPr>
          <w:rFonts w:ascii="宋体" w:hAnsi="宋体" w:cs="宋体"/>
          <w:bCs/>
          <w:sz w:val="28"/>
          <w:szCs w:val="28"/>
        </w:rPr>
      </w:pPr>
      <w:r>
        <w:rPr>
          <w:rFonts w:hint="eastAsia" w:ascii="宋体" w:hAnsi="宋体" w:cs="宋体"/>
          <w:bCs/>
          <w:sz w:val="28"/>
          <w:szCs w:val="28"/>
        </w:rPr>
        <w:t>教工食堂坚持零利润原则，承包人按照学校规定的标准进行制作，按照主辅食材、人工、水电气等独立编册核算成本，每月接收招标人的审核。学校共计600余名教职工，南北校区每天中午教工用餐约各100-150人次左右。</w:t>
      </w:r>
    </w:p>
    <w:p>
      <w:pPr>
        <w:numPr>
          <w:ilvl w:val="0"/>
          <w:numId w:val="2"/>
        </w:numPr>
        <w:spacing w:line="480" w:lineRule="exact"/>
        <w:ind w:firstLine="425"/>
        <w:rPr>
          <w:rFonts w:ascii="宋体" w:hAnsi="宋体" w:cs="宋体"/>
          <w:bCs/>
          <w:sz w:val="28"/>
          <w:szCs w:val="28"/>
        </w:rPr>
      </w:pPr>
      <w:r>
        <w:rPr>
          <w:rFonts w:hint="eastAsia" w:ascii="宋体" w:hAnsi="宋体" w:cs="宋体"/>
          <w:bCs/>
          <w:sz w:val="28"/>
          <w:szCs w:val="28"/>
        </w:rPr>
        <w:t>民族风味窗口每个月补贴1万元，必须聘请民族厨师严格按照规范进行食材采购、餐饮制作、餐具清洗及使用。</w:t>
      </w:r>
    </w:p>
    <w:p>
      <w:pPr>
        <w:numPr>
          <w:ilvl w:val="0"/>
          <w:numId w:val="2"/>
        </w:numPr>
        <w:spacing w:line="480" w:lineRule="exact"/>
        <w:ind w:firstLine="425"/>
        <w:rPr>
          <w:rFonts w:ascii="宋体" w:hAnsi="宋体" w:cs="宋体"/>
          <w:bCs/>
          <w:sz w:val="28"/>
          <w:szCs w:val="28"/>
        </w:rPr>
      </w:pPr>
      <w:r>
        <w:rPr>
          <w:rFonts w:hint="eastAsia" w:ascii="宋体" w:hAnsi="宋体" w:cs="宋体"/>
          <w:bCs/>
          <w:sz w:val="28"/>
          <w:szCs w:val="28"/>
        </w:rPr>
        <w:t>招标人按月从中标人营业额中收点设立平抑基金。平抑基金收点标准：标段一为3%；标段二为2%；标段三、四为1%。</w:t>
      </w:r>
    </w:p>
    <w:p>
      <w:pPr>
        <w:numPr>
          <w:ilvl w:val="0"/>
          <w:numId w:val="2"/>
        </w:numPr>
        <w:spacing w:line="480" w:lineRule="exact"/>
        <w:ind w:firstLine="425"/>
        <w:rPr>
          <w:rFonts w:ascii="宋体" w:hAnsi="宋体" w:cs="宋体"/>
          <w:sz w:val="28"/>
          <w:szCs w:val="28"/>
        </w:rPr>
      </w:pPr>
      <w:r>
        <w:rPr>
          <w:rFonts w:hint="eastAsia" w:ascii="宋体" w:hAnsi="宋体" w:cs="宋体"/>
          <w:sz w:val="28"/>
          <w:szCs w:val="28"/>
        </w:rPr>
        <w:t>签约前，中标人必须按照约定向招标人财务部门缴纳履约保证金，标段一、二为10万元，标段三、四为6万元，合同期满无违规违纪现象由招标人无息退还中标人。</w:t>
      </w:r>
    </w:p>
    <w:p>
      <w:pPr>
        <w:numPr>
          <w:ilvl w:val="0"/>
          <w:numId w:val="2"/>
        </w:numPr>
        <w:spacing w:line="480" w:lineRule="exact"/>
        <w:ind w:firstLine="425"/>
        <w:rPr>
          <w:rFonts w:ascii="宋体" w:hAnsi="宋体" w:cs="宋体"/>
          <w:sz w:val="28"/>
          <w:szCs w:val="28"/>
        </w:rPr>
      </w:pPr>
      <w:r>
        <w:rPr>
          <w:rFonts w:hint="eastAsia" w:ascii="宋体" w:hAnsi="宋体" w:cs="宋体"/>
          <w:sz w:val="28"/>
          <w:szCs w:val="28"/>
        </w:rPr>
        <w:t>经营过程中的水、电、燃气等各项费用由中标人自行承担。水、电按实际使用量计算费用，由中标人自行按照规定向招标人财务部门缴纳。经营期间，中标人根据招标人划分的独立经营服务范围内的所有设施设备的维修费用、保养费用均由中标人自行承担。经营服务范围内的环境卫生、保洁、消毒等所有环节所产生的所有费用由中标人承担。</w:t>
      </w:r>
    </w:p>
    <w:p>
      <w:pPr>
        <w:spacing w:line="480" w:lineRule="exact"/>
        <w:ind w:firstLine="425"/>
        <w:rPr>
          <w:rFonts w:ascii="宋体" w:hAnsi="宋体" w:cs="宋体"/>
          <w:sz w:val="28"/>
          <w:szCs w:val="28"/>
        </w:rPr>
      </w:pPr>
      <w:r>
        <w:rPr>
          <w:rFonts w:hint="eastAsia" w:ascii="宋体" w:hAnsi="宋体" w:cs="宋体"/>
          <w:sz w:val="28"/>
          <w:szCs w:val="28"/>
        </w:rPr>
        <w:t>1</w:t>
      </w:r>
      <w:r>
        <w:rPr>
          <w:rFonts w:hint="eastAsia" w:ascii="宋体" w:hAnsi="宋体" w:cs="宋体"/>
          <w:sz w:val="28"/>
          <w:szCs w:val="28"/>
          <w:lang w:val="en-US" w:eastAsia="zh-CN"/>
        </w:rPr>
        <w:t>0</w:t>
      </w:r>
      <w:r>
        <w:rPr>
          <w:rFonts w:hint="eastAsia" w:ascii="宋体" w:hAnsi="宋体" w:cs="宋体"/>
          <w:sz w:val="28"/>
          <w:szCs w:val="28"/>
        </w:rPr>
        <w:t>.提升要求（最低标准）</w:t>
      </w:r>
    </w:p>
    <w:p>
      <w:pPr>
        <w:spacing w:line="480" w:lineRule="exact"/>
        <w:rPr>
          <w:rFonts w:ascii="宋体" w:hAnsi="宋体" w:cs="宋体"/>
          <w:sz w:val="28"/>
          <w:szCs w:val="28"/>
        </w:rPr>
      </w:pPr>
      <w:r>
        <w:rPr>
          <w:rFonts w:hint="eastAsia" w:ascii="宋体" w:hAnsi="宋体" w:cs="宋体"/>
          <w:sz w:val="28"/>
          <w:szCs w:val="28"/>
        </w:rPr>
        <w:t>（1）吊顶：就餐区与后场都要求使用防火材料进行吊顶，整体整洁、简洁、统一，可以对现有符合防火要求的吊顶进行维修，局部增加瓷砖铺贴。</w:t>
      </w:r>
    </w:p>
    <w:p>
      <w:pPr>
        <w:spacing w:line="480" w:lineRule="exact"/>
        <w:rPr>
          <w:rFonts w:ascii="宋体" w:hAnsi="宋体" w:cs="宋体"/>
          <w:sz w:val="28"/>
          <w:szCs w:val="28"/>
        </w:rPr>
      </w:pPr>
      <w:r>
        <w:rPr>
          <w:rFonts w:hint="eastAsia" w:ascii="宋体" w:hAnsi="宋体" w:cs="宋体"/>
          <w:sz w:val="28"/>
          <w:szCs w:val="28"/>
        </w:rPr>
        <w:t>（2）基本大伙：售卖间按照行政主管部门明厨亮灶要求，进行墙体局部改造，同时适当扩大售卖间，确保达到宽敞、明亮、实用。</w:t>
      </w:r>
    </w:p>
    <w:p>
      <w:pPr>
        <w:spacing w:line="480" w:lineRule="exact"/>
        <w:rPr>
          <w:rFonts w:ascii="宋体" w:hAnsi="宋体" w:cs="宋体"/>
          <w:sz w:val="28"/>
          <w:szCs w:val="28"/>
        </w:rPr>
      </w:pPr>
      <w:r>
        <w:rPr>
          <w:rFonts w:hint="eastAsia" w:ascii="宋体" w:hAnsi="宋体" w:cs="宋体"/>
          <w:sz w:val="28"/>
          <w:szCs w:val="28"/>
        </w:rPr>
        <w:t>（3）食品保温：原来做法为使用电采用保温车或电磁炉；现改为使用天然气，采用蒸汽发生器连接到保温车或售卖窗口柜台。</w:t>
      </w:r>
    </w:p>
    <w:p>
      <w:pPr>
        <w:spacing w:line="480" w:lineRule="exact"/>
        <w:rPr>
          <w:rFonts w:ascii="宋体" w:hAnsi="宋体" w:cs="宋体"/>
          <w:sz w:val="28"/>
          <w:szCs w:val="28"/>
        </w:rPr>
      </w:pPr>
      <w:r>
        <w:rPr>
          <w:rFonts w:hint="eastAsia" w:ascii="宋体" w:hAnsi="宋体" w:cs="宋体"/>
          <w:sz w:val="28"/>
          <w:szCs w:val="28"/>
        </w:rPr>
        <w:t>（4）餐具清洗：原有大灶蒸煮或洗碗机无高温消毒功能，常规清洁消毒无法得到保证；现改为增加商用长龙式全自动洗消烘干一体洗碗机（高温高压喷淋清洗、自动进水冲洗、缺水断电保护、循环过滤清洗、高压卫生水泵、水箱自动加热、输送速度可调节，尺寸必须根据现场情况由中标人自行选择），确保清洁安全。</w:t>
      </w:r>
    </w:p>
    <w:p>
      <w:pPr>
        <w:spacing w:line="480" w:lineRule="exact"/>
        <w:rPr>
          <w:rFonts w:ascii="宋体" w:hAnsi="宋体" w:cs="宋体"/>
          <w:sz w:val="28"/>
          <w:szCs w:val="28"/>
        </w:rPr>
      </w:pPr>
      <w:r>
        <w:rPr>
          <w:rFonts w:hint="eastAsia" w:ascii="宋体" w:hAnsi="宋体" w:cs="宋体"/>
          <w:sz w:val="28"/>
          <w:szCs w:val="28"/>
        </w:rPr>
        <w:t>（5）水电改造：招标人组织实施南校区进行食堂强电间改造，每一层服务场所提供两路出线；中标人全部负责并承担服务经营场所内的水电所有改造，自行规范敷设服务场所内的插座、照明线路，开槽暗装为主（局部穿管槽横平竖直明装），插座坚持一机一插；坚持每一个服务场所用电总量负荷控制，用电设备明细清单统计，新增用电设备严格审批管理；售卖区等区域进行上下水改造，满足使用需求。</w:t>
      </w:r>
    </w:p>
    <w:p>
      <w:pPr>
        <w:spacing w:line="480" w:lineRule="exact"/>
        <w:rPr>
          <w:rFonts w:ascii="宋体" w:hAnsi="宋体" w:cs="宋体"/>
          <w:sz w:val="28"/>
          <w:szCs w:val="28"/>
        </w:rPr>
      </w:pPr>
      <w:r>
        <w:rPr>
          <w:rFonts w:hint="eastAsia" w:ascii="宋体" w:hAnsi="宋体" w:cs="宋体"/>
          <w:sz w:val="28"/>
          <w:szCs w:val="28"/>
        </w:rPr>
        <w:t>（6）就餐区安装冷暖空调。</w:t>
      </w:r>
    </w:p>
    <w:p>
      <w:pPr>
        <w:spacing w:line="480" w:lineRule="exact"/>
        <w:rPr>
          <w:rFonts w:ascii="宋体" w:hAnsi="宋体" w:cs="宋体"/>
          <w:sz w:val="28"/>
          <w:szCs w:val="28"/>
        </w:rPr>
      </w:pPr>
      <w:r>
        <w:rPr>
          <w:rFonts w:hint="eastAsia" w:ascii="宋体" w:hAnsi="宋体" w:cs="宋体"/>
          <w:sz w:val="28"/>
          <w:szCs w:val="28"/>
        </w:rPr>
        <w:t>（7）名厨亮灶，监控系统安装到位。一卡通收费系统由学校改造到位。</w:t>
      </w:r>
    </w:p>
    <w:p>
      <w:pPr>
        <w:spacing w:line="480" w:lineRule="exact"/>
        <w:rPr>
          <w:rFonts w:ascii="宋体" w:hAnsi="宋体" w:cs="宋体"/>
          <w:sz w:val="28"/>
          <w:szCs w:val="28"/>
        </w:rPr>
      </w:pPr>
      <w:r>
        <w:rPr>
          <w:rFonts w:hint="eastAsia" w:ascii="宋体" w:hAnsi="宋体" w:cs="宋体"/>
          <w:sz w:val="28"/>
          <w:szCs w:val="28"/>
        </w:rPr>
        <w:t>（8）</w:t>
      </w:r>
      <w:r>
        <w:rPr>
          <w:rFonts w:hint="eastAsia" w:ascii="宋体" w:hAnsi="宋体" w:cs="宋体"/>
          <w:b/>
          <w:bCs/>
          <w:sz w:val="28"/>
          <w:szCs w:val="28"/>
        </w:rPr>
        <w:t>就餐区桌椅：一标段中标人必须自行采购餐桌椅，采购前桌椅材质、款式等要经学校确认。</w:t>
      </w:r>
      <w:r>
        <w:rPr>
          <w:rFonts w:hint="eastAsia" w:ascii="宋体" w:hAnsi="宋体" w:cs="宋体"/>
          <w:sz w:val="28"/>
          <w:szCs w:val="28"/>
        </w:rPr>
        <w:t>其他标段中标人可以自行采购餐桌椅（采购前桌椅材质、款式等要经学校确认），也可以继续使用学校提供的桌椅。</w:t>
      </w:r>
    </w:p>
    <w:p>
      <w:pPr>
        <w:spacing w:line="480" w:lineRule="exact"/>
        <w:rPr>
          <w:rFonts w:ascii="宋体" w:hAnsi="宋体" w:cs="宋体"/>
          <w:sz w:val="28"/>
          <w:szCs w:val="28"/>
        </w:rPr>
      </w:pPr>
      <w:r>
        <w:rPr>
          <w:rFonts w:hint="eastAsia" w:ascii="宋体" w:hAnsi="宋体" w:cs="宋体"/>
          <w:sz w:val="28"/>
          <w:szCs w:val="28"/>
        </w:rPr>
        <w:t>（9）特别说明：四标段民族餐厅、学生餐厅过道等必须由中标人根据采购人意见自行负责全部拆除；中标人不得使用、管理食堂强弱电间。</w:t>
      </w:r>
    </w:p>
    <w:p>
      <w:pPr>
        <w:spacing w:line="480" w:lineRule="exact"/>
        <w:ind w:firstLine="561" w:firstLineChars="200"/>
        <w:rPr>
          <w:rFonts w:ascii="宋体" w:hAnsi="宋体" w:cs="宋体"/>
          <w:b/>
          <w:bCs/>
          <w:sz w:val="28"/>
          <w:szCs w:val="28"/>
        </w:rPr>
      </w:pPr>
      <w:bookmarkStart w:id="0" w:name="_Toc516030480"/>
      <w:r>
        <w:rPr>
          <w:rFonts w:hint="eastAsia" w:ascii="宋体" w:hAnsi="宋体" w:cs="宋体"/>
          <w:b/>
          <w:bCs/>
          <w:sz w:val="28"/>
          <w:szCs w:val="28"/>
        </w:rPr>
        <w:t>三、投标人须具备的资格条件</w:t>
      </w:r>
    </w:p>
    <w:p>
      <w:pPr>
        <w:spacing w:line="480" w:lineRule="exact"/>
        <w:ind w:firstLine="560" w:firstLineChars="200"/>
        <w:rPr>
          <w:rFonts w:ascii="宋体" w:hAnsi="宋体" w:cs="宋体"/>
          <w:sz w:val="28"/>
          <w:szCs w:val="28"/>
        </w:rPr>
      </w:pPr>
      <w:r>
        <w:rPr>
          <w:rFonts w:hint="eastAsia" w:ascii="宋体" w:hAnsi="宋体" w:cs="宋体"/>
          <w:sz w:val="28"/>
          <w:szCs w:val="28"/>
        </w:rPr>
        <w:t>1.投标人必须具备中华人民共和国国内注册的独立法人资质，其经营范围包含餐饮经营或管理（依法须经批准的项目，经相关部门批准后方可开展经营活动）。</w:t>
      </w:r>
    </w:p>
    <w:p>
      <w:pPr>
        <w:spacing w:line="480" w:lineRule="exact"/>
        <w:ind w:firstLine="560" w:firstLineChars="200"/>
        <w:rPr>
          <w:rFonts w:ascii="宋体" w:hAnsi="宋体" w:cs="宋体"/>
          <w:sz w:val="28"/>
          <w:szCs w:val="28"/>
        </w:rPr>
      </w:pPr>
      <w:r>
        <w:rPr>
          <w:rFonts w:hint="eastAsia" w:ascii="宋体" w:hAnsi="宋体" w:cs="宋体"/>
          <w:sz w:val="28"/>
          <w:szCs w:val="28"/>
        </w:rPr>
        <w:t>2.投标人具有有效期内的《食品经营许可证》。</w:t>
      </w:r>
    </w:p>
    <w:p>
      <w:pPr>
        <w:spacing w:line="480" w:lineRule="exact"/>
        <w:ind w:firstLine="560" w:firstLineChars="200"/>
        <w:rPr>
          <w:rFonts w:ascii="宋体" w:hAnsi="宋体" w:cs="宋体"/>
          <w:sz w:val="28"/>
          <w:szCs w:val="28"/>
        </w:rPr>
      </w:pPr>
      <w:r>
        <w:rPr>
          <w:rFonts w:hint="eastAsia" w:ascii="宋体" w:hAnsi="宋体" w:cs="宋体"/>
          <w:sz w:val="28"/>
          <w:szCs w:val="28"/>
          <w:lang w:val="en-US" w:eastAsia="zh-CN"/>
        </w:rPr>
        <w:t>3</w:t>
      </w:r>
      <w:r>
        <w:rPr>
          <w:rFonts w:hint="eastAsia" w:ascii="宋体" w:hAnsi="宋体" w:cs="宋体"/>
          <w:sz w:val="28"/>
          <w:szCs w:val="28"/>
        </w:rPr>
        <w:t>.招标人不接受联合体方式投标，中标后不得以任何方式进行转包。</w:t>
      </w:r>
    </w:p>
    <w:p>
      <w:pPr>
        <w:spacing w:line="480" w:lineRule="exact"/>
        <w:ind w:firstLine="560" w:firstLineChars="200"/>
        <w:rPr>
          <w:rFonts w:ascii="宋体" w:hAnsi="宋体" w:cs="宋体"/>
          <w:sz w:val="28"/>
          <w:szCs w:val="28"/>
        </w:rPr>
      </w:pPr>
      <w:r>
        <w:rPr>
          <w:rFonts w:hint="eastAsia" w:ascii="宋体" w:hAnsi="宋体" w:cs="宋体"/>
          <w:sz w:val="28"/>
          <w:szCs w:val="28"/>
          <w:lang w:val="en-US" w:eastAsia="zh-CN"/>
        </w:rPr>
        <w:t>4</w:t>
      </w:r>
      <w:r>
        <w:rPr>
          <w:rFonts w:hint="eastAsia" w:ascii="宋体" w:hAnsi="宋体" w:cs="宋体"/>
          <w:sz w:val="28"/>
          <w:szCs w:val="28"/>
        </w:rPr>
        <w:t>.未被“信用中国”网站（www.creditchina.gov.cn）等列入失信被执行人、重大税收违法案件当事人名单。</w:t>
      </w:r>
    </w:p>
    <w:p>
      <w:pPr>
        <w:spacing w:line="480" w:lineRule="exact"/>
        <w:ind w:firstLine="561" w:firstLineChars="200"/>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5.其他约定</w:t>
      </w:r>
    </w:p>
    <w:p>
      <w:pPr>
        <w:spacing w:line="480" w:lineRule="exact"/>
        <w:ind w:firstLine="561" w:firstLineChars="200"/>
        <w:rPr>
          <w:rFonts w:ascii="宋体" w:hAnsi="宋体" w:cs="宋体"/>
          <w:b/>
          <w:bCs/>
          <w:sz w:val="28"/>
          <w:szCs w:val="28"/>
        </w:rPr>
      </w:pPr>
      <w:r>
        <w:rPr>
          <w:rFonts w:hint="eastAsia" w:ascii="宋体" w:hAnsi="宋体" w:cs="宋体"/>
          <w:b/>
          <w:bCs/>
          <w:sz w:val="28"/>
          <w:szCs w:val="28"/>
        </w:rPr>
        <w:t>招标人上一轮的中标经营服务单位在报名前，必须出示招标人后勤部门出具的彻底清场、退场及许可报名的证明材料原件。</w:t>
      </w:r>
    </w:p>
    <w:p>
      <w:pPr>
        <w:spacing w:line="480" w:lineRule="exact"/>
        <w:ind w:firstLine="561" w:firstLineChars="200"/>
        <w:rPr>
          <w:rFonts w:ascii="宋体" w:hAnsi="宋体" w:cs="宋体"/>
          <w:b/>
          <w:bCs/>
          <w:sz w:val="28"/>
          <w:szCs w:val="28"/>
        </w:rPr>
      </w:pPr>
      <w:r>
        <w:rPr>
          <w:rFonts w:hint="eastAsia" w:ascii="宋体" w:hAnsi="宋体" w:cs="宋体"/>
          <w:b/>
          <w:bCs/>
          <w:sz w:val="28"/>
          <w:szCs w:val="28"/>
        </w:rPr>
        <w:t>四、投标保证金</w:t>
      </w:r>
    </w:p>
    <w:p>
      <w:pPr>
        <w:spacing w:line="440" w:lineRule="exact"/>
        <w:ind w:firstLine="540"/>
        <w:rPr>
          <w:rFonts w:hint="eastAsia" w:ascii="宋体" w:hAnsi="宋体" w:cs="仿宋"/>
          <w:sz w:val="28"/>
          <w:szCs w:val="28"/>
          <w:highlight w:val="none"/>
        </w:rPr>
      </w:pPr>
      <w:r>
        <w:rPr>
          <w:rFonts w:hint="eastAsia" w:ascii="宋体" w:hAnsi="宋体" w:cs="仿宋"/>
          <w:sz w:val="28"/>
          <w:szCs w:val="28"/>
          <w:highlight w:val="none"/>
        </w:rPr>
        <w:t>本次招标收取保证金。本次招标保证金金额为人民币</w:t>
      </w:r>
      <w:r>
        <w:rPr>
          <w:rFonts w:hint="eastAsia" w:ascii="宋体" w:hAnsi="宋体" w:cs="宋体"/>
          <w:b/>
          <w:bCs/>
          <w:sz w:val="28"/>
          <w:szCs w:val="28"/>
          <w:highlight w:val="none"/>
        </w:rPr>
        <w:t>拾万元（不论兼投几个标段）</w:t>
      </w:r>
      <w:r>
        <w:rPr>
          <w:rFonts w:hint="eastAsia" w:ascii="宋体" w:hAnsi="宋体" w:cs="仿宋"/>
          <w:sz w:val="28"/>
          <w:szCs w:val="28"/>
          <w:highlight w:val="none"/>
        </w:rPr>
        <w:t>，招标保证金必须在响应文件接收截止时间前与响应文件一起送达响应文件接收地点（不要密封在响应文件中）。</w:t>
      </w:r>
    </w:p>
    <w:p>
      <w:pPr>
        <w:spacing w:line="440" w:lineRule="exact"/>
        <w:ind w:firstLine="540"/>
        <w:rPr>
          <w:rFonts w:hint="eastAsia" w:ascii="宋体" w:hAnsi="宋体" w:cs="仿宋"/>
          <w:b/>
          <w:bCs/>
          <w:sz w:val="28"/>
          <w:szCs w:val="28"/>
          <w:highlight w:val="none"/>
        </w:rPr>
      </w:pPr>
      <w:r>
        <w:rPr>
          <w:rFonts w:hint="eastAsia" w:ascii="宋体" w:hAnsi="宋体" w:cs="仿宋"/>
          <w:b/>
          <w:bCs/>
          <w:sz w:val="28"/>
          <w:szCs w:val="28"/>
          <w:highlight w:val="none"/>
        </w:rPr>
        <w:t>1、保证金必须采用银行汇票方式，投标人不得使用其他担保方式。各投标人须在投标截止时间前将投标保证金从投标人本单位的基本账户上汇出（以投标人汇出资金的银行日期为准，且保证金汇出单位必须与投标人名称一致，收款人名称：盐城市财政局非税收入汇缴专户，开户行：盐城市建设银行迎宾支行，账号：32001735136058100110-0001）。</w:t>
      </w:r>
    </w:p>
    <w:p>
      <w:pPr>
        <w:spacing w:line="440" w:lineRule="exact"/>
        <w:ind w:firstLine="540"/>
        <w:rPr>
          <w:rFonts w:hint="eastAsia" w:ascii="宋体" w:hAnsi="宋体" w:cs="仿宋"/>
          <w:b/>
          <w:bCs/>
          <w:sz w:val="28"/>
          <w:szCs w:val="28"/>
          <w:highlight w:val="none"/>
        </w:rPr>
      </w:pPr>
      <w:r>
        <w:rPr>
          <w:rFonts w:hint="eastAsia" w:ascii="宋体" w:hAnsi="宋体" w:cs="仿宋"/>
          <w:b/>
          <w:bCs/>
          <w:sz w:val="28"/>
          <w:szCs w:val="28"/>
          <w:highlight w:val="none"/>
        </w:rPr>
        <w:t>2、投标截止时间之前，各投标人将银行汇票带至开标现场交工作人员核验。未按以上方式提交保证金的，其投标文件作为无效投标文件，其投标文件不予接收。</w:t>
      </w:r>
    </w:p>
    <w:p>
      <w:pPr>
        <w:spacing w:line="480" w:lineRule="exact"/>
        <w:ind w:firstLine="561" w:firstLineChars="200"/>
        <w:rPr>
          <w:rFonts w:hint="eastAsia" w:ascii="宋体" w:hAnsi="宋体" w:cs="宋体"/>
          <w:sz w:val="28"/>
          <w:szCs w:val="28"/>
        </w:rPr>
      </w:pPr>
      <w:r>
        <w:rPr>
          <w:rFonts w:hint="eastAsia" w:ascii="宋体" w:hAnsi="宋体" w:cs="仿宋"/>
          <w:b/>
          <w:bCs/>
          <w:sz w:val="28"/>
          <w:szCs w:val="28"/>
          <w:highlight w:val="none"/>
        </w:rPr>
        <w:t xml:space="preserve">3、中标人的投标保证金转为履约保证金的一部分，非中标人的投标保证金在评标结束后现场退还。 </w:t>
      </w:r>
      <w:r>
        <w:rPr>
          <w:rFonts w:hint="eastAsia" w:ascii="宋体" w:hAnsi="宋体" w:cs="宋体"/>
          <w:sz w:val="28"/>
          <w:szCs w:val="28"/>
          <w:highlight w:val="none"/>
        </w:rPr>
        <w:t xml:space="preserve"> </w:t>
      </w:r>
      <w:r>
        <w:rPr>
          <w:rFonts w:hint="eastAsia" w:ascii="宋体" w:hAnsi="宋体" w:cs="宋体"/>
          <w:sz w:val="28"/>
          <w:szCs w:val="28"/>
        </w:rPr>
        <w:t xml:space="preserve">     </w:t>
      </w:r>
    </w:p>
    <w:p>
      <w:pPr>
        <w:spacing w:line="480" w:lineRule="exact"/>
        <w:ind w:firstLine="560" w:firstLineChars="200"/>
        <w:rPr>
          <w:rFonts w:ascii="宋体" w:hAnsi="宋体" w:cs="宋体"/>
          <w:sz w:val="28"/>
          <w:szCs w:val="28"/>
        </w:rPr>
      </w:pPr>
      <w:r>
        <w:rPr>
          <w:rFonts w:hint="eastAsia" w:ascii="宋体" w:hAnsi="宋体" w:cs="宋体"/>
          <w:sz w:val="28"/>
          <w:szCs w:val="28"/>
        </w:rPr>
        <w:t>发生下列情况之一，经相关部门批准同意后，招标人有权取消其中标资格，并没收其投标保证金：</w:t>
      </w:r>
    </w:p>
    <w:p>
      <w:pPr>
        <w:spacing w:line="480" w:lineRule="exact"/>
        <w:ind w:firstLine="560" w:firstLineChars="200"/>
        <w:rPr>
          <w:rFonts w:ascii="宋体" w:hAnsi="宋体" w:cs="宋体"/>
          <w:sz w:val="28"/>
          <w:szCs w:val="28"/>
        </w:rPr>
      </w:pPr>
      <w:r>
        <w:rPr>
          <w:rFonts w:hint="eastAsia" w:ascii="宋体" w:hAnsi="宋体" w:cs="宋体"/>
          <w:sz w:val="28"/>
          <w:szCs w:val="28"/>
        </w:rPr>
        <w:t>（1）投标人在投标有效期间，投标人撤回或撤销投标。</w:t>
      </w:r>
    </w:p>
    <w:p>
      <w:pPr>
        <w:spacing w:line="480" w:lineRule="exact"/>
        <w:ind w:firstLine="560" w:firstLineChars="200"/>
        <w:rPr>
          <w:rFonts w:ascii="宋体" w:hAnsi="宋体" w:cs="宋体"/>
          <w:sz w:val="28"/>
          <w:szCs w:val="28"/>
        </w:rPr>
      </w:pPr>
      <w:r>
        <w:rPr>
          <w:rFonts w:hint="eastAsia" w:ascii="宋体" w:hAnsi="宋体" w:cs="宋体"/>
          <w:sz w:val="28"/>
          <w:szCs w:val="28"/>
        </w:rPr>
        <w:t>（2）中标人未能在招标文件规定的期限内提交履约保证金。</w:t>
      </w:r>
    </w:p>
    <w:p>
      <w:pPr>
        <w:spacing w:line="480" w:lineRule="exact"/>
        <w:ind w:firstLine="560" w:firstLineChars="200"/>
        <w:rPr>
          <w:rFonts w:ascii="宋体" w:hAnsi="宋体" w:cs="宋体"/>
          <w:sz w:val="28"/>
          <w:szCs w:val="28"/>
        </w:rPr>
      </w:pPr>
      <w:r>
        <w:rPr>
          <w:rFonts w:hint="eastAsia" w:ascii="宋体" w:hAnsi="宋体" w:cs="宋体"/>
          <w:sz w:val="28"/>
          <w:szCs w:val="28"/>
        </w:rPr>
        <w:t>（3）中标人无正当理由拒绝签订合同。</w:t>
      </w:r>
    </w:p>
    <w:p>
      <w:pPr>
        <w:spacing w:line="480" w:lineRule="exact"/>
        <w:ind w:firstLine="560" w:firstLineChars="200"/>
        <w:rPr>
          <w:rFonts w:ascii="宋体" w:hAnsi="宋体" w:cs="宋体"/>
          <w:sz w:val="28"/>
          <w:szCs w:val="28"/>
        </w:rPr>
      </w:pPr>
      <w:r>
        <w:rPr>
          <w:rFonts w:hint="eastAsia" w:ascii="宋体" w:hAnsi="宋体" w:cs="宋体"/>
          <w:sz w:val="28"/>
          <w:szCs w:val="28"/>
        </w:rPr>
        <w:t>（4）投标人在投标过程中弄虚作假，干扰正常招、投标秩序。</w:t>
      </w:r>
    </w:p>
    <w:p>
      <w:pPr>
        <w:spacing w:line="480" w:lineRule="exact"/>
        <w:ind w:firstLine="561" w:firstLineChars="200"/>
        <w:rPr>
          <w:rFonts w:ascii="宋体" w:hAnsi="宋体" w:cs="宋体"/>
          <w:b/>
          <w:bCs/>
          <w:sz w:val="28"/>
          <w:szCs w:val="28"/>
        </w:rPr>
      </w:pPr>
      <w:r>
        <w:rPr>
          <w:rFonts w:hint="eastAsia" w:ascii="宋体" w:hAnsi="宋体" w:cs="宋体"/>
          <w:b/>
          <w:bCs/>
          <w:sz w:val="28"/>
          <w:szCs w:val="28"/>
          <w:lang w:val="en-US" w:eastAsia="zh-CN"/>
        </w:rPr>
        <w:t>五</w:t>
      </w:r>
      <w:r>
        <w:rPr>
          <w:rFonts w:hint="eastAsia" w:ascii="宋体" w:hAnsi="宋体" w:cs="宋体"/>
          <w:b/>
          <w:bCs/>
          <w:sz w:val="28"/>
          <w:szCs w:val="28"/>
        </w:rPr>
        <w:t>、获取招标文件须提供以下资料</w:t>
      </w:r>
    </w:p>
    <w:p>
      <w:pPr>
        <w:spacing w:line="480" w:lineRule="exact"/>
        <w:ind w:firstLine="561" w:firstLineChars="200"/>
        <w:rPr>
          <w:rFonts w:hint="eastAsia" w:ascii="宋体" w:hAnsi="宋体" w:cs="宋体"/>
          <w:sz w:val="28"/>
          <w:szCs w:val="28"/>
        </w:rPr>
      </w:pPr>
      <w:r>
        <w:rPr>
          <w:rFonts w:hint="eastAsia" w:ascii="宋体" w:hAnsi="宋体" w:cs="宋体"/>
          <w:b/>
          <w:bCs/>
          <w:sz w:val="28"/>
          <w:szCs w:val="28"/>
        </w:rPr>
        <w:t>1、</w:t>
      </w:r>
      <w:r>
        <w:rPr>
          <w:rFonts w:hint="eastAsia" w:ascii="宋体" w:hAnsi="宋体" w:cs="宋体"/>
          <w:sz w:val="28"/>
          <w:szCs w:val="28"/>
        </w:rPr>
        <w:t>本采购文件在“盐城幼儿师范高等专科学校” 网站【www.yyz.edu.cn】上免费下载，有关本次采购的事项若存在变动和修改，敬请及时关注“盐城幼儿师范高等专科学校” 网站【www.yyz.edu.cn】发布的信息更正公告、补充答疑等澄清修改文件。投标人通过其他渠道获取的与本项目采购相关的资料，采购人一律不予承认且不承担由此引发的一切责任。</w:t>
      </w:r>
    </w:p>
    <w:p>
      <w:pPr>
        <w:spacing w:line="480" w:lineRule="exact"/>
        <w:ind w:firstLine="420"/>
        <w:rPr>
          <w:rFonts w:hint="eastAsia" w:ascii="宋体" w:hAnsi="宋体" w:cs="宋体"/>
          <w:sz w:val="28"/>
          <w:szCs w:val="28"/>
        </w:rPr>
      </w:pPr>
      <w:r>
        <w:rPr>
          <w:rFonts w:hint="eastAsia" w:ascii="宋体" w:hAnsi="宋体" w:cs="宋体"/>
          <w:b/>
          <w:bCs/>
          <w:sz w:val="28"/>
          <w:szCs w:val="28"/>
        </w:rPr>
        <w:t>2、投标人应当在2021年7月29日--</w:t>
      </w:r>
      <w:r>
        <w:rPr>
          <w:rFonts w:hint="eastAsia" w:ascii="宋体" w:hAnsi="宋体" w:cs="宋体"/>
          <w:b/>
          <w:bCs/>
          <w:sz w:val="28"/>
          <w:szCs w:val="28"/>
          <w:lang w:val="en-US" w:eastAsia="zh-CN"/>
        </w:rPr>
        <w:t>2021年8月4</w:t>
      </w:r>
      <w:r>
        <w:rPr>
          <w:rFonts w:hint="eastAsia" w:ascii="宋体" w:hAnsi="宋体" w:cs="宋体"/>
          <w:b/>
          <w:bCs/>
          <w:sz w:val="28"/>
          <w:szCs w:val="28"/>
        </w:rPr>
        <w:t>日（工作日）上午</w:t>
      </w:r>
      <w:r>
        <w:rPr>
          <w:rFonts w:hint="eastAsia" w:ascii="宋体" w:hAnsi="宋体" w:cs="宋体"/>
          <w:b/>
          <w:bCs/>
          <w:sz w:val="28"/>
          <w:szCs w:val="28"/>
          <w:lang w:val="en-US" w:eastAsia="zh-CN"/>
        </w:rPr>
        <w:t>9</w:t>
      </w:r>
      <w:r>
        <w:rPr>
          <w:rFonts w:hint="eastAsia" w:ascii="宋体" w:hAnsi="宋体" w:cs="宋体"/>
          <w:b/>
          <w:bCs/>
          <w:sz w:val="28"/>
          <w:szCs w:val="28"/>
        </w:rPr>
        <w:t>：</w:t>
      </w:r>
      <w:r>
        <w:rPr>
          <w:rFonts w:hint="eastAsia" w:ascii="宋体" w:hAnsi="宋体" w:cs="宋体"/>
          <w:b/>
          <w:bCs/>
          <w:sz w:val="28"/>
          <w:szCs w:val="28"/>
          <w:lang w:val="en-US" w:eastAsia="zh-CN"/>
        </w:rPr>
        <w:t>0</w:t>
      </w:r>
      <w:r>
        <w:rPr>
          <w:rFonts w:hint="eastAsia" w:ascii="宋体" w:hAnsi="宋体" w:cs="宋体"/>
          <w:b/>
          <w:bCs/>
          <w:sz w:val="28"/>
          <w:szCs w:val="28"/>
        </w:rPr>
        <w:t>0—下午1</w:t>
      </w:r>
      <w:r>
        <w:rPr>
          <w:rFonts w:hint="eastAsia" w:ascii="宋体" w:hAnsi="宋体" w:cs="宋体"/>
          <w:b/>
          <w:bCs/>
          <w:sz w:val="28"/>
          <w:szCs w:val="28"/>
          <w:lang w:val="en-US" w:eastAsia="zh-CN"/>
        </w:rPr>
        <w:t>7</w:t>
      </w:r>
      <w:r>
        <w:rPr>
          <w:rFonts w:hint="eastAsia" w:ascii="宋体" w:hAnsi="宋体" w:cs="宋体"/>
          <w:b/>
          <w:bCs/>
          <w:sz w:val="28"/>
          <w:szCs w:val="28"/>
        </w:rPr>
        <w:t>:00</w:t>
      </w:r>
      <w:r>
        <w:rPr>
          <w:rFonts w:hint="eastAsia" w:ascii="宋体" w:hAnsi="宋体" w:cs="宋体"/>
          <w:sz w:val="28"/>
          <w:szCs w:val="28"/>
        </w:rPr>
        <w:t>，到盐城</w:t>
      </w:r>
      <w:r>
        <w:rPr>
          <w:rFonts w:hint="eastAsia" w:ascii="宋体" w:hAnsi="宋体" w:cs="宋体"/>
          <w:sz w:val="28"/>
          <w:szCs w:val="28"/>
          <w:lang w:val="en-US" w:eastAsia="zh-CN"/>
        </w:rPr>
        <w:t>幼儿师范高等专科学校学海路</w:t>
      </w:r>
      <w:r>
        <w:rPr>
          <w:rFonts w:hint="eastAsia" w:ascii="宋体" w:hAnsi="宋体" w:cs="宋体"/>
          <w:sz w:val="28"/>
          <w:szCs w:val="28"/>
        </w:rPr>
        <w:t>校区（盐城市</w:t>
      </w:r>
      <w:r>
        <w:rPr>
          <w:rFonts w:hint="eastAsia" w:ascii="宋体" w:hAnsi="宋体" w:cs="宋体"/>
          <w:sz w:val="28"/>
          <w:szCs w:val="28"/>
          <w:lang w:val="en-US" w:eastAsia="zh-CN"/>
        </w:rPr>
        <w:t>学海</w:t>
      </w:r>
      <w:r>
        <w:rPr>
          <w:rFonts w:hint="eastAsia" w:ascii="宋体" w:hAnsi="宋体" w:cs="宋体"/>
          <w:sz w:val="28"/>
          <w:szCs w:val="28"/>
        </w:rPr>
        <w:t>路28号）招标办（四号宿舍楼一层）</w:t>
      </w:r>
      <w:r>
        <w:rPr>
          <w:rFonts w:hint="eastAsia" w:ascii="宋体" w:hAnsi="宋体" w:cs="宋体"/>
          <w:sz w:val="28"/>
          <w:szCs w:val="28"/>
          <w:lang w:val="en-US" w:eastAsia="zh-CN"/>
        </w:rPr>
        <w:t>填写</w:t>
      </w:r>
      <w:r>
        <w:rPr>
          <w:rFonts w:hint="eastAsia" w:ascii="宋体" w:hAnsi="宋体" w:cs="宋体"/>
          <w:sz w:val="28"/>
          <w:szCs w:val="28"/>
        </w:rPr>
        <w:t>报名表</w:t>
      </w:r>
      <w:r>
        <w:rPr>
          <w:rFonts w:hint="eastAsia" w:ascii="宋体" w:hAnsi="宋体" w:cs="宋体"/>
          <w:sz w:val="28"/>
          <w:szCs w:val="28"/>
          <w:lang w:val="en-US" w:eastAsia="zh-CN"/>
        </w:rPr>
        <w:t>通过审查后获取</w:t>
      </w:r>
      <w:r>
        <w:rPr>
          <w:rFonts w:hint="eastAsia" w:ascii="宋体" w:hAnsi="宋体" w:cs="宋体"/>
          <w:sz w:val="28"/>
          <w:szCs w:val="28"/>
        </w:rPr>
        <w:t>现场踏勘证明。</w:t>
      </w:r>
    </w:p>
    <w:p>
      <w:pPr>
        <w:spacing w:line="480" w:lineRule="exact"/>
        <w:ind w:firstLine="560" w:firstLineChars="200"/>
      </w:pPr>
      <w:r>
        <w:rPr>
          <w:rFonts w:hint="eastAsia" w:ascii="宋体" w:hAnsi="宋体" w:cs="宋体"/>
          <w:sz w:val="28"/>
          <w:szCs w:val="28"/>
        </w:rPr>
        <w:t>售价：投标人</w:t>
      </w:r>
      <w:r>
        <w:rPr>
          <w:rFonts w:hint="eastAsia" w:ascii="宋体" w:hAnsi="宋体" w:cs="宋体"/>
          <w:sz w:val="28"/>
          <w:szCs w:val="28"/>
          <w:lang w:val="en-US" w:eastAsia="zh-CN"/>
        </w:rPr>
        <w:t>在报名</w:t>
      </w:r>
      <w:r>
        <w:rPr>
          <w:rFonts w:hint="eastAsia" w:ascii="宋体" w:hAnsi="宋体" w:cs="宋体"/>
          <w:sz w:val="28"/>
          <w:szCs w:val="28"/>
        </w:rPr>
        <w:t>时，须交纳文件工本费</w:t>
      </w:r>
      <w:r>
        <w:rPr>
          <w:rFonts w:hint="eastAsia" w:ascii="宋体" w:hAnsi="宋体" w:cs="宋体"/>
          <w:sz w:val="28"/>
          <w:szCs w:val="28"/>
          <w:u w:val="single"/>
        </w:rPr>
        <w:t> </w:t>
      </w:r>
      <w:r>
        <w:rPr>
          <w:rFonts w:hint="eastAsia" w:ascii="宋体" w:hAnsi="宋体" w:cs="宋体"/>
          <w:sz w:val="28"/>
          <w:szCs w:val="28"/>
          <w:u w:val="single"/>
          <w:lang w:val="en-US" w:eastAsia="zh-CN"/>
        </w:rPr>
        <w:t>5</w:t>
      </w:r>
      <w:r>
        <w:rPr>
          <w:rFonts w:hint="eastAsia" w:ascii="宋体" w:hAnsi="宋体" w:cs="宋体"/>
          <w:sz w:val="28"/>
          <w:szCs w:val="28"/>
          <w:u w:val="single"/>
        </w:rPr>
        <w:t>00 </w:t>
      </w:r>
      <w:r>
        <w:rPr>
          <w:rFonts w:hint="eastAsia" w:ascii="宋体" w:hAnsi="宋体" w:cs="宋体"/>
          <w:sz w:val="28"/>
          <w:szCs w:val="28"/>
        </w:rPr>
        <w:t>元。</w:t>
      </w:r>
    </w:p>
    <w:p>
      <w:pPr>
        <w:spacing w:line="480" w:lineRule="exact"/>
        <w:ind w:firstLine="561" w:firstLineChars="200"/>
        <w:rPr>
          <w:rFonts w:ascii="宋体" w:hAnsi="宋体" w:cs="宋体"/>
          <w:b/>
          <w:bCs/>
          <w:sz w:val="28"/>
          <w:szCs w:val="28"/>
        </w:rPr>
      </w:pPr>
      <w:r>
        <w:rPr>
          <w:rFonts w:hint="eastAsia" w:ascii="宋体" w:hAnsi="宋体" w:cs="宋体"/>
          <w:b/>
          <w:bCs/>
          <w:sz w:val="28"/>
          <w:szCs w:val="28"/>
        </w:rPr>
        <w:t>3、投标人报名需要携带以下材料</w:t>
      </w:r>
    </w:p>
    <w:p>
      <w:pPr>
        <w:spacing w:line="480" w:lineRule="exact"/>
        <w:ind w:firstLine="560" w:firstLineChars="200"/>
        <w:rPr>
          <w:rFonts w:ascii="宋体" w:hAnsi="宋体" w:cs="宋体"/>
          <w:sz w:val="28"/>
          <w:szCs w:val="28"/>
        </w:rPr>
      </w:pPr>
      <w:r>
        <w:rPr>
          <w:rFonts w:hint="eastAsia" w:ascii="宋体" w:hAnsi="宋体" w:cs="宋体"/>
          <w:sz w:val="28"/>
          <w:szCs w:val="28"/>
        </w:rPr>
        <w:t>（1）企业法人营业执照复印件（盖公章）；</w:t>
      </w:r>
    </w:p>
    <w:p>
      <w:pPr>
        <w:spacing w:line="480" w:lineRule="exact"/>
        <w:ind w:firstLine="560" w:firstLineChars="200"/>
        <w:rPr>
          <w:rFonts w:ascii="宋体" w:hAnsi="宋体" w:cs="宋体"/>
          <w:sz w:val="28"/>
          <w:szCs w:val="28"/>
        </w:rPr>
      </w:pPr>
      <w:r>
        <w:rPr>
          <w:rFonts w:hint="eastAsia" w:ascii="宋体" w:hAnsi="宋体" w:cs="宋体"/>
          <w:sz w:val="28"/>
          <w:szCs w:val="28"/>
        </w:rPr>
        <w:t>（2）食品经营许可证复印件（盖公章）；</w:t>
      </w:r>
    </w:p>
    <w:p>
      <w:pPr>
        <w:spacing w:line="480" w:lineRule="exact"/>
        <w:ind w:firstLine="560" w:firstLineChars="200"/>
        <w:rPr>
          <w:rFonts w:ascii="宋体" w:hAnsi="宋体" w:cs="宋体"/>
          <w:sz w:val="28"/>
          <w:szCs w:val="28"/>
        </w:rPr>
      </w:pPr>
      <w:r>
        <w:rPr>
          <w:rFonts w:hint="eastAsia" w:ascii="宋体" w:hAnsi="宋体" w:cs="宋体"/>
          <w:sz w:val="28"/>
          <w:szCs w:val="28"/>
        </w:rPr>
        <w:t>（3）报名人身份证原件（复印件盖公章）；</w:t>
      </w:r>
    </w:p>
    <w:p>
      <w:pPr>
        <w:spacing w:line="480" w:lineRule="exact"/>
        <w:ind w:firstLine="560" w:firstLineChars="200"/>
        <w:rPr>
          <w:rFonts w:ascii="宋体" w:hAnsi="宋体" w:cs="宋体"/>
          <w:sz w:val="28"/>
          <w:szCs w:val="28"/>
        </w:rPr>
      </w:pPr>
      <w:r>
        <w:rPr>
          <w:rFonts w:hint="eastAsia" w:ascii="宋体" w:hAnsi="宋体" w:cs="宋体"/>
          <w:sz w:val="28"/>
          <w:szCs w:val="28"/>
        </w:rPr>
        <w:t>（4）法定代表人授权书（盖公章；如报名人为法定代表人的，不需要提供）。</w:t>
      </w:r>
    </w:p>
    <w:p>
      <w:pPr>
        <w:spacing w:line="480" w:lineRule="exact"/>
        <w:ind w:firstLine="561" w:firstLineChars="200"/>
        <w:rPr>
          <w:rFonts w:ascii="宋体" w:hAnsi="宋体" w:cs="宋体"/>
          <w:b/>
          <w:bCs/>
          <w:sz w:val="28"/>
          <w:szCs w:val="28"/>
        </w:rPr>
      </w:pPr>
      <w:r>
        <w:rPr>
          <w:rFonts w:hint="eastAsia" w:ascii="宋体" w:hAnsi="宋体" w:cs="宋体"/>
          <w:b/>
          <w:bCs/>
          <w:sz w:val="28"/>
          <w:szCs w:val="28"/>
        </w:rPr>
        <w:t>4、特别提醒：投标人必须</w:t>
      </w:r>
      <w:r>
        <w:rPr>
          <w:rFonts w:hint="eastAsia" w:ascii="宋体" w:hAnsi="宋体" w:cs="宋体"/>
          <w:b/>
          <w:bCs/>
          <w:sz w:val="28"/>
          <w:szCs w:val="28"/>
          <w:lang w:val="en-US" w:eastAsia="zh-CN"/>
        </w:rPr>
        <w:t>携带以上报名材料待现场审核通过后，由</w:t>
      </w:r>
      <w:r>
        <w:rPr>
          <w:rFonts w:hint="eastAsia" w:ascii="宋体" w:hAnsi="宋体" w:cs="宋体"/>
          <w:b/>
          <w:bCs/>
          <w:sz w:val="28"/>
          <w:szCs w:val="28"/>
        </w:rPr>
        <w:t>招标人代表陪同下现场踏勘，获取《现场踏勘证明书》，</w:t>
      </w:r>
      <w:r>
        <w:rPr>
          <w:rFonts w:hint="eastAsia" w:ascii="宋体" w:hAnsi="宋体" w:cs="宋体"/>
          <w:b/>
          <w:bCs/>
          <w:sz w:val="28"/>
          <w:szCs w:val="28"/>
          <w:lang w:val="en-US" w:eastAsia="zh-CN"/>
        </w:rPr>
        <w:t>方能</w:t>
      </w:r>
      <w:r>
        <w:rPr>
          <w:rFonts w:hint="eastAsia" w:ascii="宋体" w:hAnsi="宋体" w:cs="宋体"/>
          <w:b/>
          <w:bCs/>
          <w:sz w:val="28"/>
          <w:szCs w:val="28"/>
        </w:rPr>
        <w:t>报名</w:t>
      </w:r>
      <w:r>
        <w:rPr>
          <w:rFonts w:hint="eastAsia" w:ascii="宋体" w:hAnsi="宋体" w:cs="宋体"/>
          <w:b/>
          <w:bCs/>
          <w:sz w:val="28"/>
          <w:szCs w:val="28"/>
          <w:lang w:val="en-US" w:eastAsia="zh-CN"/>
        </w:rPr>
        <w:t>成功，未通过审核的，不予</w:t>
      </w:r>
      <w:r>
        <w:rPr>
          <w:rFonts w:hint="eastAsia" w:ascii="宋体" w:hAnsi="宋体" w:cs="宋体"/>
          <w:b/>
          <w:bCs/>
          <w:sz w:val="28"/>
          <w:szCs w:val="28"/>
        </w:rPr>
        <w:t>获取《现场踏勘证明书》；</w:t>
      </w:r>
    </w:p>
    <w:p>
      <w:pPr>
        <w:pStyle w:val="3"/>
        <w:tabs>
          <w:tab w:val="left" w:pos="0"/>
          <w:tab w:val="left" w:pos="3165"/>
          <w:tab w:val="center" w:pos="4153"/>
        </w:tabs>
        <w:autoSpaceDE w:val="0"/>
        <w:autoSpaceDN w:val="0"/>
        <w:adjustRightInd w:val="0"/>
        <w:spacing w:line="480" w:lineRule="exact"/>
        <w:ind w:firstLine="561" w:firstLineChars="200"/>
        <w:jc w:val="left"/>
        <w:rPr>
          <w:rFonts w:asciiTheme="minorEastAsia" w:hAnsiTheme="minorEastAsia" w:eastAsiaTheme="minorEastAsia"/>
          <w:b/>
          <w:szCs w:val="24"/>
        </w:rPr>
      </w:pPr>
      <w:r>
        <w:rPr>
          <w:rFonts w:hint="eastAsia" w:ascii="宋体" w:hAnsi="宋体" w:eastAsia="宋体" w:cs="宋体"/>
          <w:b/>
          <w:lang w:val="en-US" w:eastAsia="zh-CN"/>
        </w:rPr>
        <w:t>六</w:t>
      </w:r>
      <w:r>
        <w:rPr>
          <w:rFonts w:hint="eastAsia" w:ascii="宋体" w:hAnsi="宋体" w:eastAsia="宋体" w:cs="宋体"/>
          <w:b/>
        </w:rPr>
        <w:t>、</w:t>
      </w:r>
      <w:r>
        <w:rPr>
          <w:rFonts w:hint="eastAsia" w:asciiTheme="minorEastAsia" w:hAnsiTheme="minorEastAsia" w:eastAsiaTheme="minorEastAsia"/>
          <w:b/>
          <w:szCs w:val="24"/>
        </w:rPr>
        <w:t>提交投标文件截止时间、开标时间和地点</w:t>
      </w:r>
    </w:p>
    <w:p>
      <w:pPr>
        <w:spacing w:line="480" w:lineRule="exact"/>
        <w:ind w:firstLine="560" w:firstLineChars="200"/>
        <w:rPr>
          <w:rFonts w:ascii="宋体" w:hAnsi="宋体" w:cs="宋体"/>
          <w:sz w:val="28"/>
          <w:szCs w:val="28"/>
        </w:rPr>
      </w:pPr>
      <w:r>
        <w:rPr>
          <w:rFonts w:hint="eastAsia" w:ascii="宋体" w:hAnsi="宋体" w:cs="宋体"/>
          <w:sz w:val="28"/>
          <w:szCs w:val="28"/>
        </w:rPr>
        <w:t>1、响应文件接收时间：2021年8月 1</w:t>
      </w:r>
      <w:r>
        <w:rPr>
          <w:rFonts w:hint="eastAsia" w:ascii="宋体" w:hAnsi="宋体" w:cs="宋体"/>
          <w:sz w:val="28"/>
          <w:szCs w:val="28"/>
          <w:lang w:val="en-US" w:eastAsia="zh-CN"/>
        </w:rPr>
        <w:t>8</w:t>
      </w:r>
      <w:r>
        <w:rPr>
          <w:rFonts w:hint="eastAsia" w:ascii="宋体" w:hAnsi="宋体" w:cs="宋体"/>
          <w:sz w:val="28"/>
          <w:szCs w:val="28"/>
        </w:rPr>
        <w:t xml:space="preserve"> 日14:00（北京时间）</w:t>
      </w:r>
    </w:p>
    <w:p>
      <w:pPr>
        <w:spacing w:line="480" w:lineRule="exact"/>
        <w:ind w:firstLine="560" w:firstLineChars="200"/>
        <w:rPr>
          <w:rFonts w:ascii="宋体" w:hAnsi="宋体" w:cs="宋体"/>
          <w:sz w:val="28"/>
          <w:szCs w:val="28"/>
        </w:rPr>
      </w:pPr>
      <w:r>
        <w:rPr>
          <w:rFonts w:hint="eastAsia" w:ascii="宋体" w:hAnsi="宋体" w:cs="宋体"/>
          <w:sz w:val="28"/>
          <w:szCs w:val="28"/>
        </w:rPr>
        <w:t>2、响应文件接收截止时间：2021年8月1</w:t>
      </w:r>
      <w:r>
        <w:rPr>
          <w:rFonts w:hint="eastAsia" w:ascii="宋体" w:hAnsi="宋体" w:cs="宋体"/>
          <w:sz w:val="28"/>
          <w:szCs w:val="28"/>
          <w:lang w:val="en-US" w:eastAsia="zh-CN"/>
        </w:rPr>
        <w:t>8</w:t>
      </w:r>
      <w:r>
        <w:rPr>
          <w:rFonts w:hint="eastAsia" w:ascii="宋体" w:hAnsi="宋体" w:cs="宋体"/>
          <w:sz w:val="28"/>
          <w:szCs w:val="28"/>
        </w:rPr>
        <w:t>日14:30（北京时间）</w:t>
      </w:r>
    </w:p>
    <w:p>
      <w:pPr>
        <w:spacing w:line="480" w:lineRule="exact"/>
        <w:ind w:firstLine="561" w:firstLineChars="200"/>
        <w:rPr>
          <w:rFonts w:ascii="宋体" w:hAnsi="宋体" w:cs="宋体"/>
          <w:b/>
          <w:bCs/>
          <w:sz w:val="28"/>
          <w:szCs w:val="28"/>
        </w:rPr>
      </w:pPr>
      <w:r>
        <w:rPr>
          <w:rFonts w:hint="eastAsia" w:ascii="宋体" w:hAnsi="宋体" w:cs="宋体"/>
          <w:b/>
          <w:bCs/>
          <w:sz w:val="28"/>
          <w:szCs w:val="28"/>
        </w:rPr>
        <w:t>3、投标文件接收地点：盐城幼儿师范高等专科学校学海路校区(盐城市学海路28号)招标办公室。</w:t>
      </w:r>
    </w:p>
    <w:p>
      <w:pPr>
        <w:spacing w:line="480" w:lineRule="exact"/>
        <w:ind w:firstLine="560" w:firstLineChars="200"/>
        <w:rPr>
          <w:rFonts w:ascii="宋体" w:hAnsi="宋体" w:cs="宋体"/>
          <w:sz w:val="28"/>
          <w:szCs w:val="28"/>
        </w:rPr>
      </w:pPr>
      <w:r>
        <w:rPr>
          <w:rFonts w:hint="eastAsia" w:ascii="宋体" w:hAnsi="宋体" w:cs="宋体"/>
          <w:sz w:val="28"/>
          <w:szCs w:val="28"/>
        </w:rPr>
        <w:t>4、其他要求：投标人委托投标代表必须携带本人有效身份证（其他证件无效），否则投标文件不予接收。</w:t>
      </w:r>
    </w:p>
    <w:p>
      <w:pPr>
        <w:spacing w:line="480" w:lineRule="exact"/>
        <w:ind w:firstLine="560" w:firstLineChars="200"/>
        <w:rPr>
          <w:rFonts w:ascii="宋体" w:hAnsi="宋体" w:cs="宋体"/>
          <w:sz w:val="28"/>
          <w:szCs w:val="28"/>
        </w:rPr>
      </w:pPr>
      <w:r>
        <w:rPr>
          <w:rFonts w:hint="eastAsia" w:ascii="宋体" w:hAnsi="宋体" w:cs="宋体"/>
          <w:sz w:val="28"/>
          <w:szCs w:val="28"/>
        </w:rPr>
        <w:t>5、投标文件正本1份，副本4份。</w:t>
      </w:r>
    </w:p>
    <w:p>
      <w:pPr>
        <w:spacing w:line="480" w:lineRule="exact"/>
        <w:ind w:firstLine="425"/>
        <w:rPr>
          <w:rStyle w:val="132"/>
          <w:rFonts w:ascii="宋体" w:hAnsi="宋体" w:cs="宋体"/>
          <w:b/>
          <w:bCs/>
          <w:sz w:val="28"/>
          <w:szCs w:val="28"/>
        </w:rPr>
      </w:pPr>
      <w:r>
        <w:rPr>
          <w:rFonts w:hint="eastAsia" w:ascii="宋体" w:hAnsi="宋体" w:cs="宋体"/>
          <w:b/>
          <w:sz w:val="28"/>
          <w:szCs w:val="28"/>
          <w:lang w:val="en-US" w:eastAsia="zh-CN"/>
        </w:rPr>
        <w:t>七</w:t>
      </w:r>
      <w:r>
        <w:rPr>
          <w:rFonts w:hint="eastAsia" w:ascii="宋体" w:hAnsi="宋体" w:cs="宋体"/>
          <w:b/>
          <w:sz w:val="28"/>
          <w:szCs w:val="28"/>
        </w:rPr>
        <w:t>、其他补充事宜</w:t>
      </w:r>
    </w:p>
    <w:p>
      <w:pPr>
        <w:spacing w:line="480" w:lineRule="exact"/>
        <w:ind w:firstLine="561" w:firstLineChars="200"/>
        <w:rPr>
          <w:rStyle w:val="132"/>
          <w:rFonts w:ascii="宋体" w:hAnsi="宋体" w:cs="宋体"/>
          <w:b/>
          <w:bCs/>
          <w:sz w:val="28"/>
          <w:szCs w:val="28"/>
        </w:rPr>
      </w:pPr>
      <w:r>
        <w:rPr>
          <w:rStyle w:val="132"/>
          <w:rFonts w:hint="eastAsia" w:ascii="宋体" w:hAnsi="宋体" w:cs="宋体"/>
          <w:b/>
          <w:bCs/>
          <w:sz w:val="28"/>
          <w:szCs w:val="28"/>
        </w:rPr>
        <w:t>1、疫情防控</w:t>
      </w:r>
    </w:p>
    <w:p>
      <w:pPr>
        <w:spacing w:line="480" w:lineRule="exact"/>
        <w:ind w:firstLine="560" w:firstLineChars="200"/>
        <w:rPr>
          <w:rStyle w:val="132"/>
          <w:rFonts w:ascii="宋体" w:hAnsi="宋体" w:cs="宋体"/>
          <w:sz w:val="28"/>
          <w:szCs w:val="28"/>
        </w:rPr>
      </w:pPr>
      <w:r>
        <w:rPr>
          <w:rStyle w:val="132"/>
          <w:rFonts w:hint="eastAsia" w:ascii="宋体" w:hAnsi="宋体" w:cs="宋体"/>
          <w:sz w:val="28"/>
          <w:szCs w:val="28"/>
        </w:rPr>
        <w:t>因疫情防控需要，为确保校园安全，投标人进入盐城幼儿师范高等专科学校校区时应服从下列疫情防控措施：</w:t>
      </w:r>
    </w:p>
    <w:p>
      <w:pPr>
        <w:spacing w:line="480" w:lineRule="exact"/>
        <w:ind w:firstLine="560" w:firstLineChars="200"/>
        <w:rPr>
          <w:rStyle w:val="132"/>
          <w:rFonts w:ascii="宋体" w:hAnsi="宋体" w:cs="宋体"/>
          <w:sz w:val="28"/>
          <w:szCs w:val="28"/>
        </w:rPr>
      </w:pPr>
      <w:r>
        <w:rPr>
          <w:rStyle w:val="132"/>
          <w:rFonts w:hint="eastAsia" w:ascii="宋体" w:hAnsi="宋体" w:cs="宋体"/>
          <w:sz w:val="28"/>
          <w:szCs w:val="28"/>
        </w:rPr>
        <w:t>（1）投标人从蓝海路北门进出；投标人车辆一律不得进入校园。</w:t>
      </w:r>
    </w:p>
    <w:p>
      <w:pPr>
        <w:spacing w:line="480" w:lineRule="exact"/>
        <w:ind w:firstLine="560" w:firstLineChars="200"/>
        <w:rPr>
          <w:rStyle w:val="132"/>
          <w:rFonts w:ascii="宋体" w:hAnsi="宋体" w:cs="宋体"/>
          <w:sz w:val="28"/>
          <w:szCs w:val="28"/>
        </w:rPr>
      </w:pPr>
      <w:r>
        <w:rPr>
          <w:rStyle w:val="132"/>
          <w:rFonts w:hint="eastAsia" w:ascii="宋体" w:hAnsi="宋体" w:cs="宋体"/>
          <w:sz w:val="28"/>
          <w:szCs w:val="28"/>
        </w:rPr>
        <w:t>（2）各投标人报名或投标时项目授权代表限1-2人进入校园；项目授权代表进入校园时须自行配戴口罩、做好手部消毒及投标文件等消毒防护工作。</w:t>
      </w:r>
    </w:p>
    <w:p>
      <w:pPr>
        <w:spacing w:line="480" w:lineRule="exact"/>
        <w:ind w:firstLine="560" w:firstLineChars="200"/>
        <w:rPr>
          <w:rStyle w:val="132"/>
          <w:rFonts w:ascii="宋体" w:hAnsi="宋体" w:cs="宋体"/>
          <w:sz w:val="28"/>
          <w:szCs w:val="28"/>
        </w:rPr>
      </w:pPr>
      <w:r>
        <w:rPr>
          <w:rStyle w:val="132"/>
          <w:rFonts w:hint="eastAsia" w:ascii="宋体" w:hAnsi="宋体" w:cs="宋体"/>
          <w:sz w:val="28"/>
          <w:szCs w:val="28"/>
        </w:rPr>
        <w:t>（3）投标人进入校园前须在门卫处进行信息实名登记并接受体温测量（体温异常者拒绝进入校园），主动出示有效“健康码”（非绿色健康码拒绝进入校园），出示本人近14天的出行轨迹；来校前14天内有疫情中高风险疫区（以进校前一日权威发布的疫情风险等级区域划分为依据）旅居史的人员一律不得进入校园。</w:t>
      </w:r>
    </w:p>
    <w:p>
      <w:pPr>
        <w:spacing w:line="480" w:lineRule="exact"/>
        <w:ind w:firstLine="560" w:firstLineChars="200"/>
        <w:rPr>
          <w:rStyle w:val="132"/>
          <w:rFonts w:ascii="宋体" w:hAnsi="宋体" w:cs="宋体"/>
          <w:sz w:val="28"/>
          <w:szCs w:val="28"/>
        </w:rPr>
      </w:pPr>
      <w:r>
        <w:rPr>
          <w:rStyle w:val="132"/>
          <w:rFonts w:hint="eastAsia" w:ascii="宋体" w:hAnsi="宋体" w:cs="宋体"/>
          <w:sz w:val="28"/>
          <w:szCs w:val="28"/>
        </w:rPr>
        <w:t>（4）投标人进入校园后应在指定地点参与踏勘、报名、投标活动，不到招标人其他场所活动；投标工作结束后应立即离开校园，不逗留。</w:t>
      </w:r>
    </w:p>
    <w:p>
      <w:pPr>
        <w:spacing w:line="480" w:lineRule="exact"/>
        <w:ind w:firstLine="560" w:firstLineChars="200"/>
        <w:rPr>
          <w:rStyle w:val="132"/>
          <w:rFonts w:ascii="宋体" w:hAnsi="宋体" w:cs="宋体"/>
          <w:sz w:val="28"/>
          <w:szCs w:val="28"/>
        </w:rPr>
      </w:pPr>
      <w:r>
        <w:rPr>
          <w:rStyle w:val="132"/>
          <w:rFonts w:hint="eastAsia" w:ascii="宋体" w:hAnsi="宋体" w:cs="宋体"/>
          <w:sz w:val="28"/>
          <w:szCs w:val="28"/>
        </w:rPr>
        <w:t>（5）请各投标人预留好相应时间，配合做好上述管控措施。</w:t>
      </w:r>
    </w:p>
    <w:p>
      <w:pPr>
        <w:pStyle w:val="4"/>
        <w:keepNext/>
        <w:keepLines/>
        <w:pageBreakBefore w:val="0"/>
        <w:widowControl w:val="0"/>
        <w:kinsoku/>
        <w:wordWrap/>
        <w:overflowPunct/>
        <w:topLinePunct w:val="0"/>
        <w:autoSpaceDE/>
        <w:autoSpaceDN/>
        <w:bidi w:val="0"/>
        <w:adjustRightInd/>
        <w:snapToGrid/>
        <w:spacing w:after="0" w:line="480" w:lineRule="exact"/>
        <w:ind w:firstLine="561" w:firstLineChars="200"/>
        <w:jc w:val="both"/>
        <w:textAlignment w:val="auto"/>
        <w:outlineLvl w:val="1"/>
        <w:rPr>
          <w:rFonts w:hint="eastAsia" w:ascii="宋体" w:hAnsi="宋体" w:eastAsia="宋体" w:cs="宋体"/>
          <w:b/>
          <w:bCs/>
          <w:kern w:val="2"/>
          <w:sz w:val="28"/>
          <w:szCs w:val="28"/>
          <w:lang w:val="en-US" w:eastAsia="zh-CN" w:bidi="ar-SA"/>
        </w:rPr>
      </w:pPr>
      <w:bookmarkStart w:id="1" w:name="_Toc28359018"/>
      <w:bookmarkStart w:id="2" w:name="_Toc35393636"/>
      <w:bookmarkStart w:id="3" w:name="_Toc28359095"/>
      <w:bookmarkStart w:id="4" w:name="_Toc35393805"/>
      <w:r>
        <w:rPr>
          <w:rFonts w:hint="eastAsia" w:ascii="宋体" w:hAnsi="宋体" w:eastAsia="宋体" w:cs="宋体"/>
          <w:b/>
          <w:bCs/>
          <w:kern w:val="2"/>
          <w:sz w:val="28"/>
          <w:szCs w:val="28"/>
          <w:lang w:val="en-US" w:eastAsia="zh-CN" w:bidi="ar-SA"/>
        </w:rPr>
        <w:t>八、凡对本次采购提出询问，请按以下方式联系。</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1、使用部门联系人：党老师  ，联系电话：13770052519。</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采购部门联系人：蒋老师  ，联系电话：0515-89966103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招标人地址：盐城市高职园区学海路28号 ，邮政编码：224005</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2、招标技术服务单位：大洲设计咨询集团有限公司。</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技术咨询人：曹先生，联系电话：13770068551。</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3、对项目需求部分的询问、质疑请与采购人联系、答复；其他部分的询问、质疑请与招标技术服务单位联系、答复。</w:t>
      </w:r>
    </w:p>
    <w:p>
      <w:pPr>
        <w:pStyle w:val="2"/>
        <w:pageBreakBefore w:val="0"/>
        <w:widowControl w:val="0"/>
        <w:kinsoku/>
        <w:wordWrap/>
        <w:overflowPunct/>
        <w:topLinePunct w:val="0"/>
        <w:bidi w:val="0"/>
        <w:snapToGrid/>
        <w:spacing w:line="480" w:lineRule="exact"/>
        <w:ind w:firstLine="561" w:firstLineChars="200"/>
        <w:textAlignment w:val="auto"/>
        <w:rPr>
          <w:rFonts w:ascii="宋体" w:hAnsi="宋体" w:cs="宋体"/>
          <w:b/>
          <w:bCs/>
          <w:color w:val="auto"/>
          <w:sz w:val="28"/>
          <w:szCs w:val="28"/>
        </w:rPr>
      </w:pPr>
      <w:r>
        <w:rPr>
          <w:rStyle w:val="132"/>
          <w:rFonts w:hint="eastAsia" w:ascii="宋体" w:hAnsi="宋体" w:cs="宋体"/>
          <w:b/>
          <w:bCs/>
          <w:color w:val="auto"/>
          <w:sz w:val="28"/>
          <w:szCs w:val="28"/>
          <w:lang w:val="en-US" w:eastAsia="zh-CN"/>
        </w:rPr>
        <w:t>九</w:t>
      </w:r>
      <w:r>
        <w:rPr>
          <w:rStyle w:val="132"/>
          <w:rFonts w:hint="eastAsia" w:ascii="宋体" w:hAnsi="宋体" w:cs="宋体"/>
          <w:b/>
          <w:bCs/>
          <w:color w:val="auto"/>
          <w:sz w:val="28"/>
          <w:szCs w:val="28"/>
        </w:rPr>
        <w:t>、现场踏勘</w:t>
      </w:r>
    </w:p>
    <w:p>
      <w:pPr>
        <w:spacing w:line="480" w:lineRule="exact"/>
        <w:ind w:firstLine="560" w:firstLineChars="200"/>
        <w:rPr>
          <w:rFonts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、投标人须在投标前在招标人组织下现场踏勘；招标人现场踏勘联系人：党老师  ，联系电话：13770052519。如因投标人未</w:t>
      </w:r>
      <w:r>
        <w:rPr>
          <w:rFonts w:hint="eastAsia" w:ascii="宋体" w:hAnsi="宋体" w:cs="宋体"/>
          <w:sz w:val="28"/>
          <w:szCs w:val="28"/>
          <w:lang w:val="en-US" w:eastAsia="zh-CN"/>
        </w:rPr>
        <w:t>通过审查获取</w:t>
      </w:r>
      <w:r>
        <w:rPr>
          <w:rFonts w:hint="eastAsia" w:ascii="宋体" w:hAnsi="宋体" w:cs="宋体"/>
          <w:sz w:val="28"/>
          <w:szCs w:val="28"/>
        </w:rPr>
        <w:t>踏勘现场，不予接收投标文件。</w:t>
      </w:r>
    </w:p>
    <w:p>
      <w:pPr>
        <w:spacing w:line="480" w:lineRule="exact"/>
        <w:ind w:firstLine="420"/>
        <w:rPr>
          <w:rFonts w:ascii="宋体" w:hAnsi="宋体" w:cs="宋体"/>
          <w:sz w:val="28"/>
          <w:szCs w:val="28"/>
        </w:rPr>
      </w:pPr>
      <w:r>
        <w:rPr>
          <w:rFonts w:hint="eastAsia" w:ascii="宋体" w:hAnsi="宋体" w:cs="宋体"/>
          <w:sz w:val="28"/>
          <w:szCs w:val="28"/>
        </w:rPr>
        <w:t>踏勘时间：2021年7月29日-2021年</w:t>
      </w:r>
      <w:r>
        <w:rPr>
          <w:rFonts w:hint="eastAsia" w:ascii="宋体" w:hAnsi="宋体" w:cs="宋体"/>
          <w:sz w:val="28"/>
          <w:szCs w:val="28"/>
          <w:lang w:val="en-US" w:eastAsia="zh-CN"/>
        </w:rPr>
        <w:t>8</w:t>
      </w:r>
      <w:r>
        <w:rPr>
          <w:rFonts w:hint="eastAsia" w:ascii="宋体" w:hAnsi="宋体" w:cs="宋体"/>
          <w:sz w:val="28"/>
          <w:szCs w:val="28"/>
        </w:rPr>
        <w:t>月</w:t>
      </w:r>
      <w:r>
        <w:rPr>
          <w:rFonts w:hint="eastAsia" w:ascii="宋体" w:hAnsi="宋体" w:cs="宋体"/>
          <w:sz w:val="28"/>
          <w:szCs w:val="28"/>
          <w:lang w:val="en-US" w:eastAsia="zh-CN"/>
        </w:rPr>
        <w:t>4</w:t>
      </w:r>
      <w:r>
        <w:rPr>
          <w:rFonts w:hint="eastAsia" w:ascii="宋体" w:hAnsi="宋体" w:cs="宋体"/>
          <w:sz w:val="28"/>
          <w:szCs w:val="28"/>
        </w:rPr>
        <w:t>日（工作日）上午</w:t>
      </w:r>
      <w:r>
        <w:rPr>
          <w:rFonts w:hint="eastAsia" w:ascii="宋体" w:hAnsi="宋体" w:cs="宋体"/>
          <w:sz w:val="28"/>
          <w:szCs w:val="28"/>
          <w:lang w:val="en-US" w:eastAsia="zh-CN"/>
        </w:rPr>
        <w:t>09</w:t>
      </w:r>
      <w:r>
        <w:rPr>
          <w:rFonts w:hint="eastAsia" w:ascii="宋体" w:hAnsi="宋体" w:cs="宋体"/>
          <w:sz w:val="28"/>
          <w:szCs w:val="28"/>
        </w:rPr>
        <w:t>：</w:t>
      </w:r>
      <w:r>
        <w:rPr>
          <w:rFonts w:hint="eastAsia" w:ascii="宋体" w:hAnsi="宋体" w:cs="宋体"/>
          <w:sz w:val="28"/>
          <w:szCs w:val="28"/>
          <w:lang w:val="en-US" w:eastAsia="zh-CN"/>
        </w:rPr>
        <w:t>0</w:t>
      </w:r>
      <w:r>
        <w:rPr>
          <w:rFonts w:hint="eastAsia" w:ascii="宋体" w:hAnsi="宋体" w:cs="宋体"/>
          <w:sz w:val="28"/>
          <w:szCs w:val="28"/>
        </w:rPr>
        <w:t>0—下午1</w:t>
      </w:r>
      <w:r>
        <w:rPr>
          <w:rFonts w:hint="eastAsia" w:ascii="宋体" w:hAnsi="宋体" w:cs="宋体"/>
          <w:sz w:val="28"/>
          <w:szCs w:val="28"/>
          <w:lang w:val="en-US" w:eastAsia="zh-CN"/>
        </w:rPr>
        <w:t>7</w:t>
      </w:r>
      <w:r>
        <w:rPr>
          <w:rFonts w:hint="eastAsia" w:ascii="宋体" w:hAnsi="宋体" w:cs="宋体"/>
          <w:sz w:val="28"/>
          <w:szCs w:val="28"/>
        </w:rPr>
        <w:t>:00。</w:t>
      </w:r>
    </w:p>
    <w:p>
      <w:pPr>
        <w:spacing w:line="480" w:lineRule="exact"/>
        <w:ind w:firstLine="420"/>
        <w:rPr>
          <w:rFonts w:ascii="宋体" w:hAnsi="宋体" w:cs="宋体"/>
          <w:sz w:val="28"/>
          <w:szCs w:val="28"/>
        </w:rPr>
      </w:pPr>
      <w:r>
        <w:rPr>
          <w:rFonts w:hint="eastAsia" w:ascii="宋体" w:hAnsi="宋体" w:cs="宋体"/>
          <w:sz w:val="28"/>
          <w:szCs w:val="28"/>
        </w:rPr>
        <w:t>踏勘地点：盐城幼儿师范高等专科学校校区内。</w:t>
      </w:r>
    </w:p>
    <w:p>
      <w:pPr>
        <w:spacing w:line="480" w:lineRule="exact"/>
        <w:ind w:firstLine="420"/>
        <w:rPr>
          <w:rFonts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、投标人踏勘现场发生的费用自理，自行负责在踏勘现场中所发生的人员伤亡和财产损失。</w:t>
      </w:r>
    </w:p>
    <w:p>
      <w:pPr>
        <w:spacing w:line="480" w:lineRule="exact"/>
        <w:ind w:firstLine="420"/>
        <w:rPr>
          <w:rFonts w:hint="eastAsia" w:ascii="宋体" w:hAnsi="宋体" w:cs="宋体"/>
          <w:sz w:val="28"/>
          <w:szCs w:val="28"/>
        </w:rPr>
      </w:pPr>
      <w:r>
        <w:rPr>
          <w:rFonts w:hint="eastAsia" w:ascii="宋体" w:hAnsi="宋体" w:cs="宋体"/>
          <w:sz w:val="28"/>
          <w:szCs w:val="28"/>
          <w:lang w:val="en-US" w:eastAsia="zh-CN"/>
        </w:rPr>
        <w:t>3</w:t>
      </w:r>
      <w:r>
        <w:rPr>
          <w:rFonts w:hint="eastAsia" w:ascii="宋体" w:hAnsi="宋体" w:cs="宋体"/>
          <w:sz w:val="28"/>
          <w:szCs w:val="28"/>
        </w:rPr>
        <w:t>、投标人到项目实施现场进行踏勘时，应当充分了解学生住宿情况、现场位置、情况、道路、储存空间、装卸限制、流动人员数量、学校教育教学需求导致施工时间受到限制及水电施工条件等任何其它足以影响报价的情况，并根据现场的实际情况将本项目可预见的相关费用（包括可能遗留的矛盾）自行考虑到投标报价中，投标人中标后可预见的相关费用包干使用。招标人向投标人提供的有关现场的数据和资料，是招标人现有的能够被投标人利用的资料，投标人对该数据和资料做出的任何推论、理解和结论招标人均不负责任，任何因忽视或误解现场情况而导致的索赔或工期延长申请将不被批准。</w:t>
      </w:r>
    </w:p>
    <w:p>
      <w:pPr>
        <w:pStyle w:val="2"/>
        <w:rPr>
          <w:rFonts w:asciiTheme="majorHAnsi"/>
        </w:rPr>
      </w:pPr>
    </w:p>
    <w:p>
      <w:pPr>
        <w:pStyle w:val="2"/>
        <w:rPr>
          <w:rFonts w:asciiTheme="majorHAnsi"/>
        </w:rPr>
      </w:pPr>
    </w:p>
    <w:p>
      <w:pPr>
        <w:pStyle w:val="2"/>
        <w:rPr>
          <w:rFonts w:asciiTheme="majorHAnsi"/>
        </w:rPr>
      </w:pPr>
    </w:p>
    <w:p>
      <w:pPr>
        <w:pStyle w:val="47"/>
        <w:numPr>
          <w:ilvl w:val="0"/>
          <w:numId w:val="3"/>
        </w:numPr>
      </w:pPr>
      <w:r>
        <w:rPr>
          <w:rFonts w:hint="eastAsia" w:asciiTheme="majorHAnsi"/>
        </w:rPr>
        <w:t>投标人须知</w:t>
      </w:r>
    </w:p>
    <w:p>
      <w:pPr>
        <w:pStyle w:val="6"/>
        <w:spacing w:before="0" w:after="0" w:line="480" w:lineRule="exact"/>
        <w:ind w:firstLine="320" w:firstLineChars="100"/>
        <w:rPr>
          <w:color w:val="000000"/>
        </w:rPr>
      </w:pPr>
      <w:r>
        <w:rPr>
          <w:rFonts w:hint="eastAsia"/>
          <w:color w:val="000000"/>
        </w:rPr>
        <w:t>一、总则</w:t>
      </w:r>
    </w:p>
    <w:p>
      <w:pPr>
        <w:pStyle w:val="7"/>
        <w:spacing w:before="0" w:after="0" w:line="480" w:lineRule="exact"/>
        <w:ind w:firstLine="420" w:firstLineChars="150"/>
        <w:rPr>
          <w:b w:val="0"/>
          <w:bCs w:val="0"/>
          <w:color w:val="000000"/>
        </w:rPr>
      </w:pPr>
      <w:r>
        <w:rPr>
          <w:rFonts w:hint="eastAsia"/>
          <w:b w:val="0"/>
          <w:bCs w:val="0"/>
          <w:color w:val="000000"/>
        </w:rPr>
        <w:t>1、招标方式</w:t>
      </w:r>
    </w:p>
    <w:p>
      <w:pPr>
        <w:spacing w:line="480" w:lineRule="exact"/>
        <w:ind w:firstLine="480" w:firstLineChars="200"/>
        <w:rPr>
          <w:color w:val="000000"/>
          <w:sz w:val="24"/>
        </w:rPr>
      </w:pPr>
      <w:r>
        <w:rPr>
          <w:rFonts w:hint="eastAsia"/>
          <w:color w:val="000000"/>
          <w:sz w:val="24"/>
        </w:rPr>
        <w:t>1.1 本次招标采取公开招标方式，本招标文件仅适用于招标公告中所述项目。</w:t>
      </w:r>
    </w:p>
    <w:p>
      <w:pPr>
        <w:pStyle w:val="7"/>
        <w:spacing w:before="0" w:after="0" w:line="480" w:lineRule="exact"/>
        <w:ind w:firstLine="420" w:firstLineChars="150"/>
        <w:rPr>
          <w:b w:val="0"/>
          <w:bCs w:val="0"/>
          <w:color w:val="000000"/>
        </w:rPr>
      </w:pPr>
      <w:r>
        <w:rPr>
          <w:rFonts w:hint="eastAsia"/>
          <w:b w:val="0"/>
          <w:bCs w:val="0"/>
          <w:color w:val="000000"/>
        </w:rPr>
        <w:t>2、合格的投标人</w:t>
      </w:r>
    </w:p>
    <w:p>
      <w:pPr>
        <w:spacing w:line="480" w:lineRule="exact"/>
        <w:ind w:firstLine="480" w:firstLineChars="200"/>
        <w:rPr>
          <w:color w:val="000000"/>
          <w:sz w:val="24"/>
          <w:szCs w:val="24"/>
        </w:rPr>
      </w:pPr>
      <w:r>
        <w:rPr>
          <w:rFonts w:hint="eastAsia"/>
          <w:color w:val="000000"/>
          <w:sz w:val="24"/>
          <w:szCs w:val="24"/>
        </w:rPr>
        <w:t>2.1满足招标公告中供应商的资格要求的规定。</w:t>
      </w:r>
    </w:p>
    <w:p>
      <w:pPr>
        <w:spacing w:line="480" w:lineRule="exact"/>
        <w:ind w:firstLine="480" w:firstLineChars="200"/>
        <w:rPr>
          <w:color w:val="000000"/>
          <w:sz w:val="24"/>
          <w:szCs w:val="24"/>
        </w:rPr>
      </w:pPr>
      <w:r>
        <w:rPr>
          <w:rFonts w:hint="eastAsia"/>
          <w:color w:val="000000"/>
          <w:sz w:val="24"/>
          <w:szCs w:val="24"/>
        </w:rPr>
        <w:t>2.2 满足本文件实质性条款的规定。</w:t>
      </w:r>
    </w:p>
    <w:p>
      <w:pPr>
        <w:pStyle w:val="7"/>
        <w:spacing w:before="0" w:after="0" w:line="480" w:lineRule="exact"/>
        <w:ind w:firstLine="420" w:firstLineChars="150"/>
        <w:rPr>
          <w:b w:val="0"/>
          <w:bCs w:val="0"/>
          <w:color w:val="000000"/>
        </w:rPr>
      </w:pPr>
      <w:r>
        <w:rPr>
          <w:rFonts w:hint="eastAsia"/>
          <w:b w:val="0"/>
          <w:bCs w:val="0"/>
          <w:color w:val="000000"/>
        </w:rPr>
        <w:t>3、适用法律</w:t>
      </w:r>
    </w:p>
    <w:p>
      <w:pPr>
        <w:spacing w:line="480" w:lineRule="exact"/>
        <w:ind w:firstLine="480" w:firstLineChars="200"/>
        <w:rPr>
          <w:color w:val="000000"/>
          <w:sz w:val="24"/>
        </w:rPr>
      </w:pPr>
      <w:r>
        <w:rPr>
          <w:rFonts w:hint="eastAsia"/>
          <w:color w:val="000000"/>
          <w:sz w:val="24"/>
        </w:rPr>
        <w:t>3.1 本次招标及由此产生的合同受中华人民共和国有关的法律法规制约和保护</w:t>
      </w:r>
      <w:r>
        <w:rPr>
          <w:color w:val="000000"/>
          <w:sz w:val="24"/>
        </w:rPr>
        <w:t>。</w:t>
      </w:r>
    </w:p>
    <w:p>
      <w:pPr>
        <w:pStyle w:val="7"/>
        <w:spacing w:before="0" w:after="0" w:line="480" w:lineRule="exact"/>
        <w:ind w:firstLine="420" w:firstLineChars="150"/>
        <w:rPr>
          <w:b w:val="0"/>
          <w:bCs w:val="0"/>
          <w:color w:val="000000"/>
        </w:rPr>
      </w:pPr>
      <w:r>
        <w:rPr>
          <w:rFonts w:hint="eastAsia"/>
          <w:b w:val="0"/>
          <w:bCs w:val="0"/>
          <w:color w:val="000000"/>
        </w:rPr>
        <w:t>4、投标费用</w:t>
      </w:r>
    </w:p>
    <w:p>
      <w:pPr>
        <w:spacing w:line="480" w:lineRule="exact"/>
        <w:ind w:firstLine="480" w:firstLineChars="200"/>
        <w:rPr>
          <w:color w:val="000000"/>
          <w:sz w:val="24"/>
        </w:rPr>
      </w:pPr>
      <w:r>
        <w:rPr>
          <w:rFonts w:hint="eastAsia"/>
          <w:bCs/>
          <w:color w:val="000000"/>
          <w:sz w:val="24"/>
        </w:rPr>
        <w:t>4.1</w:t>
      </w:r>
      <w:r>
        <w:rPr>
          <w:rFonts w:hint="eastAsia"/>
          <w:color w:val="000000"/>
          <w:sz w:val="24"/>
        </w:rPr>
        <w:t xml:space="preserve"> 投标人应自行承担所有与参加投标有关的费用，无论投标过程中的做法和结果如何，采购人在任何情况下均无义务和责任承担这些费用。</w:t>
      </w:r>
    </w:p>
    <w:p>
      <w:pPr>
        <w:pStyle w:val="7"/>
        <w:spacing w:before="0" w:after="0" w:line="480" w:lineRule="exact"/>
        <w:ind w:firstLine="450" w:firstLineChars="150"/>
        <w:rPr>
          <w:rFonts w:ascii="黑体" w:hAnsi="宋体"/>
          <w:b w:val="0"/>
          <w:bCs w:val="0"/>
          <w:color w:val="000000"/>
        </w:rPr>
      </w:pPr>
      <w:r>
        <w:rPr>
          <w:rFonts w:hint="eastAsia" w:ascii="宋体" w:hAnsi="宋体"/>
          <w:color w:val="000000"/>
          <w:sz w:val="30"/>
        </w:rPr>
        <w:t>5、</w:t>
      </w:r>
      <w:r>
        <w:rPr>
          <w:rFonts w:hint="eastAsia" w:ascii="黑体" w:hAnsi="宋体"/>
          <w:b w:val="0"/>
          <w:bCs w:val="0"/>
          <w:color w:val="000000"/>
        </w:rPr>
        <w:t>招标文件的约束力</w:t>
      </w:r>
    </w:p>
    <w:p>
      <w:pPr>
        <w:spacing w:line="480" w:lineRule="exact"/>
        <w:ind w:firstLine="480" w:firstLineChars="200"/>
        <w:rPr>
          <w:color w:val="000000"/>
          <w:sz w:val="24"/>
          <w:szCs w:val="24"/>
        </w:rPr>
      </w:pPr>
      <w:r>
        <w:rPr>
          <w:rFonts w:hint="eastAsia"/>
          <w:bCs/>
          <w:color w:val="000000"/>
          <w:sz w:val="24"/>
          <w:szCs w:val="24"/>
        </w:rPr>
        <w:t>5.1</w:t>
      </w:r>
      <w:r>
        <w:rPr>
          <w:rFonts w:hint="eastAsia"/>
          <w:color w:val="000000"/>
          <w:sz w:val="24"/>
          <w:szCs w:val="24"/>
        </w:rPr>
        <w:t xml:space="preserve"> 投标人一旦参加本项目采购活动，即被认为接受了本招标文件的规定和约束，并且视为自招标公告期限届满之日起知道或应当知道自身权益是否受到了损害。</w:t>
      </w:r>
    </w:p>
    <w:p>
      <w:pPr>
        <w:pStyle w:val="7"/>
        <w:spacing w:before="0" w:after="0" w:line="480" w:lineRule="exact"/>
        <w:ind w:firstLine="420" w:firstLineChars="150"/>
        <w:rPr>
          <w:rFonts w:ascii="黑体" w:hAnsi="宋体"/>
          <w:b w:val="0"/>
          <w:bCs w:val="0"/>
          <w:color w:val="000000"/>
        </w:rPr>
      </w:pPr>
      <w:r>
        <w:rPr>
          <w:rFonts w:hint="eastAsia" w:ascii="黑体" w:hAnsi="宋体"/>
          <w:b w:val="0"/>
          <w:bCs w:val="0"/>
          <w:color w:val="000000"/>
        </w:rPr>
        <w:t>6、招标文件的解释</w:t>
      </w:r>
    </w:p>
    <w:p>
      <w:pPr>
        <w:spacing w:line="480" w:lineRule="exact"/>
        <w:ind w:firstLine="480" w:firstLineChars="200"/>
        <w:rPr>
          <w:bCs/>
          <w:color w:val="000000"/>
          <w:sz w:val="24"/>
          <w:szCs w:val="24"/>
        </w:rPr>
      </w:pPr>
      <w:r>
        <w:rPr>
          <w:rFonts w:hint="eastAsia"/>
          <w:bCs/>
          <w:color w:val="000000"/>
          <w:sz w:val="24"/>
          <w:szCs w:val="24"/>
        </w:rPr>
        <w:t>6.1 本招标文件由</w:t>
      </w:r>
      <w:r>
        <w:rPr>
          <w:rFonts w:hint="eastAsia"/>
          <w:bCs/>
          <w:color w:val="000000"/>
          <w:sz w:val="24"/>
        </w:rPr>
        <w:t>采购人</w:t>
      </w:r>
      <w:r>
        <w:rPr>
          <w:rFonts w:hint="eastAsia"/>
          <w:bCs/>
          <w:color w:val="000000"/>
          <w:sz w:val="24"/>
          <w:szCs w:val="24"/>
        </w:rPr>
        <w:t>负责解释。</w:t>
      </w:r>
    </w:p>
    <w:p>
      <w:pPr>
        <w:pStyle w:val="6"/>
        <w:spacing w:before="0" w:after="0" w:line="480" w:lineRule="exact"/>
        <w:ind w:firstLine="320" w:firstLineChars="100"/>
        <w:rPr>
          <w:color w:val="000000"/>
        </w:rPr>
      </w:pPr>
      <w:r>
        <w:rPr>
          <w:rFonts w:hint="eastAsia"/>
          <w:color w:val="000000"/>
        </w:rPr>
        <w:t>二、招标文件</w:t>
      </w:r>
    </w:p>
    <w:p>
      <w:pPr>
        <w:pStyle w:val="7"/>
        <w:spacing w:before="0" w:after="0" w:line="480" w:lineRule="exact"/>
        <w:ind w:firstLine="420" w:firstLineChars="150"/>
        <w:rPr>
          <w:b w:val="0"/>
          <w:bCs w:val="0"/>
          <w:color w:val="000000"/>
        </w:rPr>
      </w:pPr>
      <w:r>
        <w:rPr>
          <w:rFonts w:hint="eastAsia"/>
          <w:b w:val="0"/>
          <w:bCs w:val="0"/>
          <w:color w:val="000000"/>
        </w:rPr>
        <w:t>7、招标文件构成</w:t>
      </w:r>
    </w:p>
    <w:p>
      <w:pPr>
        <w:spacing w:line="480" w:lineRule="exact"/>
        <w:ind w:firstLine="480" w:firstLineChars="200"/>
        <w:rPr>
          <w:color w:val="000000"/>
          <w:sz w:val="24"/>
        </w:rPr>
      </w:pPr>
      <w:r>
        <w:rPr>
          <w:rFonts w:hint="eastAsia"/>
          <w:bCs/>
          <w:color w:val="000000"/>
          <w:sz w:val="24"/>
        </w:rPr>
        <w:t>7.1</w:t>
      </w:r>
      <w:r>
        <w:rPr>
          <w:rFonts w:hint="eastAsia"/>
          <w:color w:val="000000"/>
          <w:sz w:val="24"/>
        </w:rPr>
        <w:t xml:space="preserve"> 招标文件有以下部分组成：</w:t>
      </w:r>
    </w:p>
    <w:p>
      <w:pPr>
        <w:spacing w:line="480" w:lineRule="exact"/>
        <w:ind w:firstLine="360" w:firstLineChars="150"/>
        <w:rPr>
          <w:color w:val="000000"/>
          <w:sz w:val="24"/>
          <w:szCs w:val="24"/>
        </w:rPr>
      </w:pPr>
      <w:r>
        <w:rPr>
          <w:rFonts w:hint="eastAsia"/>
          <w:color w:val="000000"/>
          <w:sz w:val="24"/>
          <w:szCs w:val="24"/>
        </w:rPr>
        <w:t>（1）招标公告</w:t>
      </w:r>
    </w:p>
    <w:p>
      <w:pPr>
        <w:spacing w:line="480" w:lineRule="exact"/>
        <w:ind w:firstLine="360" w:firstLineChars="150"/>
        <w:rPr>
          <w:color w:val="000000"/>
          <w:sz w:val="24"/>
          <w:szCs w:val="24"/>
        </w:rPr>
      </w:pPr>
      <w:r>
        <w:rPr>
          <w:rFonts w:hint="eastAsia"/>
          <w:color w:val="000000"/>
          <w:sz w:val="24"/>
          <w:szCs w:val="24"/>
        </w:rPr>
        <w:t>（2）投标人须知</w:t>
      </w:r>
    </w:p>
    <w:p>
      <w:pPr>
        <w:spacing w:line="480" w:lineRule="exact"/>
        <w:ind w:firstLine="360" w:firstLineChars="150"/>
        <w:rPr>
          <w:color w:val="000000"/>
          <w:sz w:val="24"/>
          <w:szCs w:val="24"/>
        </w:rPr>
      </w:pPr>
      <w:r>
        <w:rPr>
          <w:rFonts w:hint="eastAsia"/>
          <w:color w:val="000000"/>
          <w:sz w:val="24"/>
          <w:szCs w:val="24"/>
        </w:rPr>
        <w:t>（3）合同条款及格式</w:t>
      </w:r>
    </w:p>
    <w:p>
      <w:pPr>
        <w:spacing w:line="480" w:lineRule="exact"/>
        <w:ind w:firstLine="360" w:firstLineChars="150"/>
        <w:rPr>
          <w:color w:val="000000"/>
          <w:sz w:val="24"/>
          <w:szCs w:val="24"/>
        </w:rPr>
      </w:pPr>
      <w:r>
        <w:rPr>
          <w:rFonts w:hint="eastAsia"/>
          <w:color w:val="000000"/>
          <w:sz w:val="24"/>
          <w:szCs w:val="24"/>
        </w:rPr>
        <w:t>（4）项目需求</w:t>
      </w:r>
    </w:p>
    <w:p>
      <w:pPr>
        <w:spacing w:line="480" w:lineRule="exact"/>
        <w:ind w:firstLine="360" w:firstLineChars="150"/>
        <w:rPr>
          <w:color w:val="000000"/>
          <w:sz w:val="24"/>
          <w:szCs w:val="24"/>
        </w:rPr>
      </w:pPr>
      <w:r>
        <w:rPr>
          <w:rFonts w:hint="eastAsia"/>
          <w:color w:val="000000"/>
          <w:sz w:val="24"/>
          <w:szCs w:val="24"/>
        </w:rPr>
        <w:t>（5）评标方法与评标标准</w:t>
      </w:r>
    </w:p>
    <w:p>
      <w:pPr>
        <w:spacing w:line="480" w:lineRule="exact"/>
        <w:ind w:firstLine="360" w:firstLineChars="150"/>
        <w:rPr>
          <w:color w:val="000000"/>
          <w:sz w:val="24"/>
          <w:szCs w:val="24"/>
        </w:rPr>
      </w:pPr>
      <w:r>
        <w:rPr>
          <w:rFonts w:hint="eastAsia"/>
          <w:color w:val="000000"/>
          <w:sz w:val="24"/>
          <w:szCs w:val="24"/>
        </w:rPr>
        <w:t>（6）投标文件格式</w:t>
      </w:r>
    </w:p>
    <w:p>
      <w:pPr>
        <w:spacing w:line="480" w:lineRule="exact"/>
        <w:ind w:firstLine="480" w:firstLineChars="200"/>
        <w:rPr>
          <w:color w:val="000000"/>
          <w:sz w:val="24"/>
        </w:rPr>
      </w:pPr>
      <w:r>
        <w:rPr>
          <w:rFonts w:hint="eastAsia"/>
          <w:color w:val="000000"/>
          <w:sz w:val="24"/>
        </w:rPr>
        <w:t>请仔细检查招标文件是否齐全，如有缺漏请立即与采购人联系解决。</w:t>
      </w:r>
    </w:p>
    <w:p>
      <w:pPr>
        <w:spacing w:line="480" w:lineRule="exact"/>
        <w:ind w:firstLine="480" w:firstLineChars="200"/>
        <w:rPr>
          <w:color w:val="000000"/>
          <w:sz w:val="24"/>
        </w:rPr>
      </w:pPr>
      <w:r>
        <w:rPr>
          <w:rFonts w:hint="eastAsia"/>
          <w:bCs/>
          <w:color w:val="000000"/>
          <w:sz w:val="24"/>
        </w:rPr>
        <w:t>7.2</w:t>
      </w:r>
      <w:r>
        <w:rPr>
          <w:rFonts w:hint="eastAsia"/>
          <w:color w:val="000000"/>
          <w:sz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7"/>
        <w:spacing w:before="0" w:after="0" w:line="480" w:lineRule="exact"/>
        <w:ind w:firstLine="420" w:firstLineChars="150"/>
        <w:rPr>
          <w:b w:val="0"/>
          <w:bCs w:val="0"/>
          <w:color w:val="000000"/>
        </w:rPr>
      </w:pPr>
      <w:r>
        <w:rPr>
          <w:rFonts w:hint="eastAsia"/>
          <w:b w:val="0"/>
          <w:bCs w:val="0"/>
          <w:color w:val="000000"/>
        </w:rPr>
        <w:t>8、招标文件的询问</w:t>
      </w:r>
    </w:p>
    <w:p>
      <w:pPr>
        <w:spacing w:line="480" w:lineRule="exact"/>
        <w:ind w:firstLine="480" w:firstLineChars="200"/>
        <w:rPr>
          <w:color w:val="000000"/>
          <w:sz w:val="24"/>
          <w:szCs w:val="24"/>
        </w:rPr>
      </w:pPr>
      <w:r>
        <w:rPr>
          <w:rFonts w:hint="eastAsia"/>
          <w:bCs/>
          <w:color w:val="000000"/>
          <w:sz w:val="24"/>
        </w:rPr>
        <w:t>8.1</w:t>
      </w:r>
      <w:r>
        <w:rPr>
          <w:rFonts w:hint="eastAsia"/>
          <w:color w:val="000000"/>
          <w:sz w:val="24"/>
        </w:rPr>
        <w:t xml:space="preserve"> 任何要求对招标文件进行询问的投标人，应在投标截止日期</w:t>
      </w:r>
      <w:r>
        <w:rPr>
          <w:rFonts w:hint="eastAsia" w:ascii="仿宋_GB2312" w:hAnsi="仿宋_GB2312"/>
          <w:b/>
          <w:color w:val="000000"/>
          <w:sz w:val="24"/>
          <w:szCs w:val="24"/>
        </w:rPr>
        <w:t>十日</w:t>
      </w:r>
      <w:r>
        <w:rPr>
          <w:rFonts w:hint="eastAsia" w:ascii="仿宋_GB2312" w:hAnsi="仿宋_GB2312"/>
          <w:color w:val="000000"/>
          <w:sz w:val="24"/>
          <w:szCs w:val="24"/>
        </w:rPr>
        <w:t>前</w:t>
      </w:r>
      <w:r>
        <w:rPr>
          <w:rFonts w:hint="eastAsia"/>
          <w:color w:val="000000"/>
          <w:sz w:val="24"/>
        </w:rPr>
        <w:t>按招标公告中的通讯地址，向采购人或采购人提出。</w:t>
      </w:r>
    </w:p>
    <w:p>
      <w:pPr>
        <w:pStyle w:val="7"/>
        <w:spacing w:before="0" w:after="0" w:line="480" w:lineRule="exact"/>
        <w:ind w:firstLine="420" w:firstLineChars="150"/>
        <w:rPr>
          <w:b w:val="0"/>
          <w:bCs w:val="0"/>
          <w:color w:val="000000"/>
        </w:rPr>
      </w:pPr>
      <w:r>
        <w:rPr>
          <w:rFonts w:hint="eastAsia"/>
          <w:b w:val="0"/>
          <w:bCs w:val="0"/>
          <w:color w:val="000000"/>
        </w:rPr>
        <w:t>9、招标文件的修改</w:t>
      </w:r>
    </w:p>
    <w:p>
      <w:pPr>
        <w:spacing w:line="480" w:lineRule="exact"/>
        <w:ind w:firstLine="480" w:firstLineChars="200"/>
        <w:rPr>
          <w:color w:val="000000"/>
          <w:sz w:val="24"/>
        </w:rPr>
      </w:pPr>
      <w:r>
        <w:rPr>
          <w:rFonts w:hint="eastAsia"/>
          <w:bCs/>
          <w:color w:val="000000"/>
          <w:sz w:val="24"/>
        </w:rPr>
        <w:t>9.1</w:t>
      </w:r>
      <w:r>
        <w:rPr>
          <w:rFonts w:hint="eastAsia"/>
          <w:color w:val="000000"/>
          <w:sz w:val="24"/>
        </w:rPr>
        <w:t xml:space="preserve"> 在投标截止时间</w:t>
      </w:r>
      <w:r>
        <w:rPr>
          <w:rFonts w:hint="eastAsia" w:ascii="仿宋_GB2312" w:hAnsi="仿宋_GB2312"/>
          <w:color w:val="000000"/>
          <w:sz w:val="24"/>
        </w:rPr>
        <w:t>前</w:t>
      </w:r>
      <w:r>
        <w:rPr>
          <w:rFonts w:hint="eastAsia"/>
          <w:color w:val="000000"/>
          <w:sz w:val="24"/>
        </w:rPr>
        <w:t>，采购人可以对招标文件进行修改。</w:t>
      </w:r>
    </w:p>
    <w:p>
      <w:pPr>
        <w:spacing w:line="480" w:lineRule="exact"/>
        <w:ind w:firstLine="480" w:firstLineChars="200"/>
        <w:rPr>
          <w:rFonts w:hAnsi="Arial"/>
          <w:color w:val="000000"/>
          <w:sz w:val="28"/>
        </w:rPr>
      </w:pPr>
      <w:r>
        <w:rPr>
          <w:rFonts w:hint="eastAsia"/>
          <w:bCs/>
          <w:color w:val="000000"/>
          <w:sz w:val="24"/>
        </w:rPr>
        <w:t>9.2</w:t>
      </w:r>
      <w:r>
        <w:rPr>
          <w:rFonts w:hint="eastAsia"/>
          <w:color w:val="000000"/>
          <w:sz w:val="24"/>
        </w:rPr>
        <w:t>采购人和采购人</w:t>
      </w:r>
      <w:r>
        <w:rPr>
          <w:rFonts w:hint="eastAsia"/>
          <w:color w:val="000000"/>
          <w:sz w:val="24"/>
          <w:szCs w:val="24"/>
        </w:rPr>
        <w:t>有权依法</w:t>
      </w:r>
      <w:r>
        <w:rPr>
          <w:rFonts w:hint="eastAsia"/>
          <w:color w:val="000000"/>
          <w:sz w:val="24"/>
        </w:rPr>
        <w:t>推迟投标截止日期和开标日期。</w:t>
      </w:r>
    </w:p>
    <w:p>
      <w:pPr>
        <w:spacing w:line="480" w:lineRule="exact"/>
        <w:ind w:firstLine="480" w:firstLineChars="200"/>
        <w:rPr>
          <w:color w:val="000000"/>
          <w:sz w:val="24"/>
        </w:rPr>
      </w:pPr>
      <w:r>
        <w:rPr>
          <w:rFonts w:hint="eastAsia"/>
          <w:bCs/>
          <w:color w:val="000000"/>
          <w:sz w:val="24"/>
        </w:rPr>
        <w:t>9.3</w:t>
      </w:r>
      <w:r>
        <w:rPr>
          <w:rFonts w:hint="eastAsia"/>
          <w:color w:val="000000"/>
          <w:sz w:val="24"/>
        </w:rPr>
        <w:t>招标文件的修改将在盐城幼儿师范高等专科学校网公布，</w:t>
      </w:r>
      <w:r>
        <w:rPr>
          <w:rFonts w:hint="eastAsia"/>
          <w:color w:val="000000"/>
          <w:sz w:val="24"/>
          <w:szCs w:val="24"/>
        </w:rPr>
        <w:t>补充文件将作为招标文件的组成部分，</w:t>
      </w:r>
      <w:r>
        <w:rPr>
          <w:rFonts w:hint="eastAsia"/>
          <w:color w:val="000000"/>
          <w:sz w:val="24"/>
        </w:rPr>
        <w:t>并对投标人具有约束力。</w:t>
      </w:r>
    </w:p>
    <w:p>
      <w:pPr>
        <w:pStyle w:val="6"/>
        <w:spacing w:before="0" w:after="0" w:line="480" w:lineRule="exact"/>
        <w:ind w:firstLine="320" w:firstLineChars="100"/>
        <w:rPr>
          <w:color w:val="000000"/>
        </w:rPr>
      </w:pPr>
      <w:r>
        <w:rPr>
          <w:rFonts w:hint="eastAsia"/>
          <w:color w:val="000000"/>
        </w:rPr>
        <w:t>三、投标文件的编制</w:t>
      </w:r>
    </w:p>
    <w:p>
      <w:pPr>
        <w:pStyle w:val="7"/>
        <w:spacing w:before="0" w:after="0" w:line="480" w:lineRule="exact"/>
        <w:ind w:firstLine="420" w:firstLineChars="150"/>
        <w:rPr>
          <w:bCs w:val="0"/>
          <w:color w:val="000000"/>
        </w:rPr>
      </w:pPr>
      <w:r>
        <w:rPr>
          <w:rFonts w:hint="eastAsia"/>
          <w:b w:val="0"/>
          <w:bCs w:val="0"/>
          <w:color w:val="000000"/>
        </w:rPr>
        <w:t>10、投标文件的语言及度量衡单位</w:t>
      </w:r>
    </w:p>
    <w:p>
      <w:pPr>
        <w:spacing w:line="480" w:lineRule="exact"/>
        <w:ind w:firstLine="480" w:firstLineChars="200"/>
        <w:rPr>
          <w:color w:val="000000"/>
          <w:sz w:val="24"/>
        </w:rPr>
      </w:pPr>
      <w:r>
        <w:rPr>
          <w:rFonts w:hint="eastAsia"/>
          <w:bCs/>
          <w:color w:val="000000"/>
          <w:sz w:val="24"/>
        </w:rPr>
        <w:t>10.1</w:t>
      </w:r>
      <w:r>
        <w:rPr>
          <w:rFonts w:hint="eastAsia"/>
          <w:color w:val="000000"/>
          <w:sz w:val="24"/>
        </w:rPr>
        <w:t xml:space="preserve"> 投标人提交的投标文件以及投标人与采购人、采购人就有关投标的所有来往通知、函件和文件均应使用</w:t>
      </w:r>
      <w:r>
        <w:rPr>
          <w:rFonts w:hint="eastAsia"/>
          <w:b/>
          <w:bCs/>
          <w:color w:val="000000"/>
          <w:sz w:val="24"/>
        </w:rPr>
        <w:t>简体中文</w:t>
      </w:r>
      <w:r>
        <w:rPr>
          <w:rFonts w:hint="eastAsia"/>
          <w:color w:val="000000"/>
          <w:sz w:val="24"/>
        </w:rPr>
        <w:t>。</w:t>
      </w:r>
    </w:p>
    <w:p>
      <w:pPr>
        <w:spacing w:line="480" w:lineRule="exact"/>
        <w:ind w:firstLine="480" w:firstLineChars="200"/>
        <w:rPr>
          <w:color w:val="000000"/>
          <w:sz w:val="24"/>
        </w:rPr>
      </w:pPr>
      <w:r>
        <w:rPr>
          <w:rFonts w:hint="eastAsia"/>
          <w:bCs/>
          <w:color w:val="000000"/>
          <w:sz w:val="24"/>
        </w:rPr>
        <w:t>10.2</w:t>
      </w:r>
      <w:r>
        <w:rPr>
          <w:rFonts w:hint="eastAsia"/>
          <w:color w:val="000000"/>
          <w:sz w:val="24"/>
        </w:rPr>
        <w:t xml:space="preserve"> 除技术性能另有规定外，投标文件所使用的度量衡单位，均须采用国家法定计量单位。</w:t>
      </w:r>
    </w:p>
    <w:p>
      <w:pPr>
        <w:pStyle w:val="7"/>
        <w:spacing w:before="0" w:after="0" w:line="480" w:lineRule="exact"/>
        <w:ind w:firstLine="420" w:firstLineChars="150"/>
        <w:rPr>
          <w:b w:val="0"/>
          <w:bCs w:val="0"/>
          <w:color w:val="000000"/>
        </w:rPr>
      </w:pPr>
      <w:r>
        <w:rPr>
          <w:rFonts w:hint="eastAsia"/>
          <w:b w:val="0"/>
          <w:bCs w:val="0"/>
          <w:color w:val="000000"/>
        </w:rPr>
        <w:t>11、投标文件构成</w:t>
      </w:r>
    </w:p>
    <w:p>
      <w:pPr>
        <w:spacing w:line="480" w:lineRule="exact"/>
        <w:ind w:firstLine="480" w:firstLineChars="200"/>
        <w:rPr>
          <w:color w:val="000000"/>
          <w:sz w:val="24"/>
        </w:rPr>
      </w:pPr>
      <w:r>
        <w:rPr>
          <w:rFonts w:hint="eastAsia"/>
          <w:color w:val="000000"/>
          <w:sz w:val="24"/>
        </w:rPr>
        <w:t>本次投标文件共为一个标书，标书正副本封面须加盖法人章、法定代表人章印（或签署）后密封；标书封袋大小根据需要自行制作，封袋中含正、副本，其中共正本一份、副本四份，并在封袋上正确标明工程名称、投标人名称、标书号。</w:t>
      </w:r>
    </w:p>
    <w:p>
      <w:pPr>
        <w:spacing w:line="480" w:lineRule="exact"/>
        <w:ind w:firstLine="480" w:firstLineChars="200"/>
        <w:rPr>
          <w:rFonts w:hint="eastAsia"/>
          <w:color w:val="000000"/>
          <w:sz w:val="24"/>
        </w:rPr>
      </w:pPr>
      <w:r>
        <w:rPr>
          <w:rFonts w:hint="eastAsia"/>
          <w:color w:val="000000"/>
          <w:sz w:val="24"/>
        </w:rPr>
        <w:t>11.1投标人编写投标文件应按照招标文件要求及“投标文件的组成及格式”的要求制作投标文件。标书投标文件应（至少）包括（但不限于）：</w:t>
      </w:r>
    </w:p>
    <w:p>
      <w:pPr>
        <w:spacing w:line="480" w:lineRule="exact"/>
        <w:ind w:firstLine="480" w:firstLineChars="200"/>
        <w:rPr>
          <w:rFonts w:hint="eastAsia"/>
          <w:color w:val="000000"/>
          <w:sz w:val="24"/>
        </w:rPr>
      </w:pPr>
      <w:r>
        <w:rPr>
          <w:rFonts w:hint="eastAsia"/>
          <w:color w:val="000000"/>
          <w:sz w:val="24"/>
        </w:rPr>
        <w:t>(1)、资信证明文件</w:t>
      </w:r>
    </w:p>
    <w:p>
      <w:pPr>
        <w:spacing w:line="480" w:lineRule="exact"/>
        <w:ind w:firstLine="480" w:firstLineChars="200"/>
        <w:rPr>
          <w:rFonts w:hint="eastAsia"/>
          <w:color w:val="000000"/>
          <w:sz w:val="24"/>
        </w:rPr>
      </w:pPr>
      <w:r>
        <w:rPr>
          <w:rFonts w:hint="eastAsia"/>
          <w:color w:val="000000"/>
          <w:sz w:val="24"/>
        </w:rPr>
        <w:t>(2)、评分证明材料</w:t>
      </w:r>
    </w:p>
    <w:p>
      <w:pPr>
        <w:spacing w:line="480" w:lineRule="exact"/>
        <w:ind w:firstLine="480" w:firstLineChars="200"/>
        <w:rPr>
          <w:rFonts w:hint="eastAsia"/>
          <w:color w:val="000000"/>
          <w:sz w:val="24"/>
        </w:rPr>
      </w:pPr>
      <w:r>
        <w:rPr>
          <w:rFonts w:hint="eastAsia"/>
          <w:color w:val="000000"/>
          <w:sz w:val="24"/>
        </w:rPr>
        <w:t>(3)、授权委托书</w:t>
      </w:r>
    </w:p>
    <w:p>
      <w:pPr>
        <w:spacing w:line="480" w:lineRule="exact"/>
        <w:ind w:firstLine="480" w:firstLineChars="200"/>
        <w:rPr>
          <w:rFonts w:hint="eastAsia"/>
          <w:color w:val="000000"/>
          <w:sz w:val="24"/>
        </w:rPr>
      </w:pPr>
      <w:r>
        <w:rPr>
          <w:rFonts w:hint="eastAsia"/>
          <w:color w:val="000000"/>
          <w:sz w:val="24"/>
        </w:rPr>
        <w:t>(4)、投标函</w:t>
      </w:r>
    </w:p>
    <w:p>
      <w:pPr>
        <w:spacing w:line="480" w:lineRule="exact"/>
        <w:ind w:firstLine="480" w:firstLineChars="200"/>
        <w:rPr>
          <w:rFonts w:hint="eastAsia"/>
          <w:color w:val="000000"/>
          <w:sz w:val="24"/>
        </w:rPr>
      </w:pPr>
      <w:r>
        <w:rPr>
          <w:rFonts w:hint="eastAsia"/>
          <w:color w:val="000000"/>
          <w:sz w:val="24"/>
        </w:rPr>
        <w:t>(5)、开标一览表</w:t>
      </w:r>
    </w:p>
    <w:p>
      <w:pPr>
        <w:spacing w:line="480" w:lineRule="exact"/>
        <w:ind w:firstLine="480" w:firstLineChars="200"/>
        <w:rPr>
          <w:sz w:val="24"/>
          <w:szCs w:val="24"/>
        </w:rPr>
      </w:pPr>
      <w:r>
        <w:rPr>
          <w:rFonts w:hint="eastAsia"/>
          <w:color w:val="000000"/>
          <w:sz w:val="24"/>
        </w:rPr>
        <w:t>投标时需提供电子标书（U盘）一份。（U盘中包含投标书面文件所有内容，必须包括</w:t>
      </w:r>
      <w:r>
        <w:rPr>
          <w:rFonts w:hint="eastAsia"/>
          <w:b/>
          <w:bCs/>
          <w:sz w:val="24"/>
          <w:szCs w:val="24"/>
        </w:rPr>
        <w:t>提升方案；采用U盘（表面加贴投标单位简称）单独装袋密封后递交</w:t>
      </w:r>
      <w:r>
        <w:rPr>
          <w:rFonts w:hint="eastAsia"/>
          <w:sz w:val="24"/>
          <w:szCs w:val="24"/>
        </w:rPr>
        <w:t>）。</w:t>
      </w:r>
    </w:p>
    <w:p>
      <w:pPr>
        <w:spacing w:line="480" w:lineRule="exact"/>
        <w:ind w:firstLine="480" w:firstLineChars="200"/>
        <w:rPr>
          <w:b/>
          <w:bCs/>
          <w:sz w:val="24"/>
          <w:szCs w:val="24"/>
        </w:rPr>
      </w:pPr>
      <w:r>
        <w:rPr>
          <w:rFonts w:hint="eastAsia"/>
          <w:color w:val="000000"/>
          <w:sz w:val="24"/>
        </w:rPr>
        <w:t>以上材料的复印件加盖单位法人章、法定代表人章印（或签署）；原件不必装订，直接封在档案袋内密封后提交</w:t>
      </w:r>
      <w:r>
        <w:rPr>
          <w:rFonts w:hint="eastAsia"/>
          <w:sz w:val="24"/>
          <w:szCs w:val="24"/>
        </w:rPr>
        <w:t>，</w:t>
      </w:r>
      <w:r>
        <w:rPr>
          <w:rFonts w:hint="eastAsia"/>
          <w:b/>
          <w:bCs/>
          <w:sz w:val="24"/>
          <w:szCs w:val="24"/>
        </w:rPr>
        <w:t>并将原件资料清单放在封袋内。</w:t>
      </w:r>
    </w:p>
    <w:p>
      <w:pPr>
        <w:pStyle w:val="7"/>
        <w:spacing w:before="0" w:after="0" w:line="480" w:lineRule="exact"/>
        <w:ind w:firstLine="420" w:firstLineChars="150"/>
        <w:rPr>
          <w:b w:val="0"/>
          <w:bCs w:val="0"/>
          <w:color w:val="000000"/>
        </w:rPr>
      </w:pPr>
      <w:r>
        <w:rPr>
          <w:rFonts w:hint="eastAsia"/>
          <w:b w:val="0"/>
          <w:bCs w:val="0"/>
          <w:color w:val="000000"/>
        </w:rPr>
        <w:t>12、证明投标人资格及符合招标文件规定的文件</w:t>
      </w:r>
    </w:p>
    <w:p>
      <w:pPr>
        <w:spacing w:line="480" w:lineRule="exact"/>
        <w:ind w:firstLine="480" w:firstLineChars="200"/>
        <w:rPr>
          <w:color w:val="000000"/>
          <w:sz w:val="24"/>
        </w:rPr>
      </w:pPr>
      <w:r>
        <w:rPr>
          <w:rFonts w:hint="eastAsia"/>
          <w:color w:val="000000"/>
          <w:sz w:val="24"/>
        </w:rPr>
        <w:t>12.1投标人应按要求提交资格证明文件及符合招标文件规定的文件。</w:t>
      </w:r>
    </w:p>
    <w:p>
      <w:pPr>
        <w:spacing w:line="480" w:lineRule="exact"/>
        <w:ind w:firstLine="480" w:firstLineChars="200"/>
        <w:rPr>
          <w:color w:val="000000"/>
          <w:sz w:val="24"/>
        </w:rPr>
      </w:pPr>
      <w:r>
        <w:rPr>
          <w:rFonts w:hint="eastAsia"/>
          <w:color w:val="000000"/>
          <w:sz w:val="24"/>
        </w:rPr>
        <w:t>12.2投标人应提交证明其有资格参加投标和中标后有能力独立履行合同的文件。</w:t>
      </w:r>
    </w:p>
    <w:p>
      <w:pPr>
        <w:spacing w:line="480" w:lineRule="exact"/>
        <w:ind w:firstLine="480" w:firstLineChars="200"/>
        <w:rPr>
          <w:color w:val="000000"/>
          <w:sz w:val="24"/>
        </w:rPr>
      </w:pPr>
      <w:r>
        <w:rPr>
          <w:rFonts w:hint="eastAsia"/>
          <w:color w:val="000000"/>
          <w:sz w:val="24"/>
        </w:rPr>
        <w:t>12.3投标人除必须具有履行合同所需提供的货物以及服务的能力外，还必须具备相应的财务、技术方面的能力。</w:t>
      </w:r>
    </w:p>
    <w:p>
      <w:pPr>
        <w:spacing w:line="480" w:lineRule="exact"/>
        <w:rPr>
          <w:color w:val="000000"/>
          <w:sz w:val="24"/>
          <w:szCs w:val="24"/>
        </w:rPr>
      </w:pPr>
      <w:r>
        <w:rPr>
          <w:rFonts w:hint="eastAsia"/>
          <w:color w:val="000000"/>
          <w:sz w:val="24"/>
          <w:szCs w:val="24"/>
        </w:rPr>
        <w:t xml:space="preserve">    12.4投标人应提交根据合同要求提供的证明产品质量合格以及符合招标文件规定的证明文件。</w:t>
      </w:r>
    </w:p>
    <w:p>
      <w:pPr>
        <w:spacing w:line="480" w:lineRule="exact"/>
        <w:rPr>
          <w:color w:val="000000"/>
          <w:sz w:val="24"/>
          <w:szCs w:val="24"/>
        </w:rPr>
      </w:pPr>
      <w:r>
        <w:rPr>
          <w:rFonts w:hint="eastAsia"/>
          <w:color w:val="000000"/>
          <w:sz w:val="24"/>
          <w:szCs w:val="24"/>
        </w:rPr>
        <w:t xml:space="preserve">    12.5证明投标人所提供货物与招标文件的要求相一致的文件可以是手册、图纸、文字资料和数据</w:t>
      </w:r>
      <w:r>
        <w:rPr>
          <w:rFonts w:hint="eastAsia"/>
          <w:bCs/>
          <w:color w:val="000000"/>
          <w:sz w:val="24"/>
        </w:rPr>
        <w:t>。</w:t>
      </w:r>
    </w:p>
    <w:p>
      <w:pPr>
        <w:pStyle w:val="7"/>
        <w:spacing w:before="0" w:after="0" w:line="480" w:lineRule="exact"/>
        <w:ind w:firstLine="420" w:firstLineChars="150"/>
        <w:rPr>
          <w:b w:val="0"/>
          <w:bCs w:val="0"/>
          <w:color w:val="000000"/>
        </w:rPr>
      </w:pPr>
      <w:r>
        <w:rPr>
          <w:rFonts w:hint="eastAsia"/>
          <w:b w:val="0"/>
          <w:bCs w:val="0"/>
          <w:color w:val="000000"/>
        </w:rPr>
        <w:t>13、供货一览表和投标配置与分项报价表</w:t>
      </w:r>
    </w:p>
    <w:p>
      <w:pPr>
        <w:spacing w:line="480" w:lineRule="exact"/>
        <w:ind w:firstLine="480" w:firstLineChars="200"/>
        <w:rPr>
          <w:bCs/>
          <w:color w:val="000000"/>
          <w:sz w:val="24"/>
        </w:rPr>
      </w:pPr>
      <w:r>
        <w:rPr>
          <w:rFonts w:hint="eastAsia"/>
          <w:bCs/>
          <w:color w:val="000000"/>
          <w:sz w:val="24"/>
        </w:rPr>
        <w:t>13.1</w:t>
      </w:r>
      <w:r>
        <w:rPr>
          <w:rFonts w:hint="eastAsia"/>
          <w:color w:val="000000"/>
          <w:sz w:val="24"/>
        </w:rPr>
        <w:t xml:space="preserve"> 投标人应按照招标文件规定格式填报供货一览表、投标配置与分项报价表，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480" w:lineRule="exact"/>
        <w:ind w:firstLine="480" w:firstLineChars="200"/>
        <w:rPr>
          <w:color w:val="000000"/>
          <w:sz w:val="24"/>
        </w:rPr>
      </w:pPr>
      <w:r>
        <w:rPr>
          <w:rFonts w:hint="eastAsia"/>
          <w:bCs/>
          <w:color w:val="000000"/>
          <w:sz w:val="24"/>
        </w:rPr>
        <w:t>13.2</w:t>
      </w:r>
      <w:r>
        <w:rPr>
          <w:rFonts w:hint="eastAsia"/>
          <w:color w:val="000000"/>
          <w:sz w:val="24"/>
        </w:rPr>
        <w:t xml:space="preserve"> 标的物</w:t>
      </w:r>
    </w:p>
    <w:p>
      <w:pPr>
        <w:spacing w:line="480" w:lineRule="exact"/>
        <w:ind w:firstLine="480" w:firstLineChars="200"/>
        <w:rPr>
          <w:color w:val="000000"/>
          <w:sz w:val="24"/>
        </w:rPr>
      </w:pPr>
      <w:r>
        <w:rPr>
          <w:rFonts w:hint="eastAsia"/>
          <w:bCs/>
          <w:color w:val="000000"/>
          <w:sz w:val="24"/>
        </w:rPr>
        <w:t>采购人需求的货物供应、安装，调试及有关技术服务等</w:t>
      </w:r>
      <w:r>
        <w:rPr>
          <w:rFonts w:hint="eastAsia"/>
          <w:color w:val="000000"/>
          <w:sz w:val="24"/>
        </w:rPr>
        <w:t>。</w:t>
      </w:r>
    </w:p>
    <w:p>
      <w:pPr>
        <w:spacing w:line="480" w:lineRule="exact"/>
        <w:ind w:firstLine="480" w:firstLineChars="200"/>
        <w:rPr>
          <w:bCs/>
          <w:color w:val="000000"/>
          <w:sz w:val="24"/>
        </w:rPr>
      </w:pPr>
      <w:r>
        <w:rPr>
          <w:rFonts w:hint="eastAsia"/>
          <w:color w:val="000000"/>
          <w:sz w:val="24"/>
        </w:rPr>
        <w:t>13.3</w:t>
      </w:r>
      <w:r>
        <w:rPr>
          <w:rFonts w:hint="eastAsia"/>
          <w:bCs/>
          <w:color w:val="000000"/>
          <w:sz w:val="24"/>
        </w:rPr>
        <w:t>有关费用处理</w:t>
      </w:r>
    </w:p>
    <w:p>
      <w:pPr>
        <w:spacing w:line="480" w:lineRule="exact"/>
        <w:ind w:firstLine="480" w:firstLineChars="200"/>
        <w:rPr>
          <w:bCs/>
          <w:color w:val="000000"/>
          <w:sz w:val="24"/>
        </w:rPr>
      </w:pPr>
      <w:r>
        <w:rPr>
          <w:rFonts w:hint="eastAsia"/>
          <w:color w:val="000000"/>
          <w:sz w:val="24"/>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480" w:lineRule="exact"/>
        <w:ind w:firstLine="480" w:firstLineChars="200"/>
        <w:rPr>
          <w:bCs/>
          <w:color w:val="000000"/>
          <w:sz w:val="24"/>
        </w:rPr>
      </w:pPr>
      <w:r>
        <w:rPr>
          <w:rFonts w:hint="eastAsia"/>
          <w:color w:val="000000"/>
          <w:sz w:val="24"/>
        </w:rPr>
        <w:t>13.4</w:t>
      </w:r>
      <w:r>
        <w:rPr>
          <w:rFonts w:hint="eastAsia"/>
          <w:bCs/>
          <w:color w:val="000000"/>
          <w:sz w:val="24"/>
        </w:rPr>
        <w:t>其它费用处理</w:t>
      </w:r>
    </w:p>
    <w:p>
      <w:pPr>
        <w:spacing w:line="480" w:lineRule="exact"/>
        <w:ind w:firstLine="480" w:firstLineChars="200"/>
        <w:rPr>
          <w:bCs/>
          <w:color w:val="000000"/>
          <w:sz w:val="24"/>
        </w:rPr>
      </w:pPr>
      <w:r>
        <w:rPr>
          <w:rFonts w:hint="eastAsia"/>
          <w:bCs/>
          <w:color w:val="000000"/>
          <w:sz w:val="24"/>
        </w:rPr>
        <w:t>招标文件未列明，而投标人认为必需的费用也需列入报价。</w:t>
      </w:r>
    </w:p>
    <w:p>
      <w:pPr>
        <w:spacing w:line="480" w:lineRule="exact"/>
        <w:ind w:firstLine="480" w:firstLineChars="200"/>
        <w:rPr>
          <w:bCs/>
          <w:color w:val="000000"/>
          <w:sz w:val="24"/>
        </w:rPr>
      </w:pPr>
      <w:r>
        <w:rPr>
          <w:rFonts w:hint="eastAsia"/>
          <w:color w:val="000000"/>
          <w:sz w:val="24"/>
        </w:rPr>
        <w:t>13.5</w:t>
      </w:r>
      <w:r>
        <w:rPr>
          <w:rFonts w:hint="eastAsia"/>
          <w:bCs/>
          <w:color w:val="000000"/>
          <w:sz w:val="24"/>
        </w:rPr>
        <w:t>投标货币</w:t>
      </w:r>
    </w:p>
    <w:p>
      <w:pPr>
        <w:spacing w:line="480" w:lineRule="exact"/>
        <w:ind w:firstLine="480" w:firstLineChars="200"/>
        <w:rPr>
          <w:bCs/>
          <w:color w:val="000000"/>
          <w:sz w:val="24"/>
        </w:rPr>
      </w:pPr>
      <w:r>
        <w:rPr>
          <w:rFonts w:hint="eastAsia"/>
          <w:bCs/>
          <w:color w:val="000000"/>
          <w:sz w:val="24"/>
        </w:rPr>
        <w:t>投标文件中的货物单价和总价无特殊规定的采用人民币报价，以元为单位标注。</w:t>
      </w:r>
      <w:r>
        <w:rPr>
          <w:rFonts w:hint="eastAsia"/>
          <w:color w:val="000000"/>
          <w:sz w:val="24"/>
        </w:rPr>
        <w:t>招标文件中另有规定的按规定执行。</w:t>
      </w:r>
    </w:p>
    <w:p>
      <w:pPr>
        <w:spacing w:line="480" w:lineRule="exact"/>
        <w:ind w:firstLine="480" w:firstLineChars="200"/>
        <w:rPr>
          <w:color w:val="000000"/>
          <w:sz w:val="24"/>
        </w:rPr>
      </w:pPr>
      <w:r>
        <w:rPr>
          <w:rFonts w:hint="eastAsia"/>
          <w:color w:val="000000"/>
          <w:sz w:val="24"/>
        </w:rPr>
        <w:t>13.6</w:t>
      </w:r>
      <w:r>
        <w:rPr>
          <w:rFonts w:hint="eastAsia"/>
          <w:bCs/>
          <w:color w:val="000000"/>
          <w:sz w:val="24"/>
        </w:rPr>
        <w:t xml:space="preserve"> 投标配置与分项报价表上的价格应按下列方式分开填写</w:t>
      </w:r>
      <w:r>
        <w:rPr>
          <w:rFonts w:hint="eastAsia"/>
          <w:color w:val="000000"/>
          <w:sz w:val="24"/>
        </w:rPr>
        <w:t>：</w:t>
      </w:r>
    </w:p>
    <w:p>
      <w:pPr>
        <w:spacing w:line="480" w:lineRule="exact"/>
        <w:ind w:firstLine="480" w:firstLineChars="200"/>
        <w:rPr>
          <w:bCs/>
          <w:color w:val="000000"/>
          <w:sz w:val="24"/>
        </w:rPr>
      </w:pPr>
      <w:r>
        <w:rPr>
          <w:rFonts w:hint="eastAsia"/>
          <w:bCs/>
          <w:color w:val="000000"/>
          <w:sz w:val="24"/>
        </w:rPr>
        <w:t xml:space="preserve">13.6.1 </w:t>
      </w:r>
      <w:r>
        <w:rPr>
          <w:rFonts w:hint="eastAsia"/>
          <w:color w:val="000000"/>
          <w:sz w:val="24"/>
        </w:rPr>
        <w:t>项目总价：包括</w:t>
      </w:r>
      <w:r>
        <w:rPr>
          <w:rFonts w:hint="eastAsia"/>
          <w:bCs/>
          <w:color w:val="000000"/>
          <w:sz w:val="24"/>
        </w:rPr>
        <w:t>买方需求的货物价格</w:t>
      </w:r>
      <w:r>
        <w:rPr>
          <w:rFonts w:hint="eastAsia"/>
          <w:color w:val="000000"/>
          <w:sz w:val="24"/>
        </w:rPr>
        <w:t>、</w:t>
      </w:r>
      <w:r>
        <w:rPr>
          <w:rFonts w:hint="eastAsia"/>
          <w:bCs/>
          <w:color w:val="000000"/>
          <w:sz w:val="24"/>
        </w:rPr>
        <w:t>质量保证费用、培训费用及售后服务费用，项目在指定地点、环境交付、安装、调试、验收所需费用和所有</w:t>
      </w:r>
      <w:r>
        <w:rPr>
          <w:rFonts w:hint="eastAsia"/>
          <w:color w:val="000000"/>
          <w:sz w:val="24"/>
        </w:rPr>
        <w:t>相关税金费用</w:t>
      </w:r>
      <w:r>
        <w:rPr>
          <w:rFonts w:hint="eastAsia"/>
          <w:bCs/>
          <w:color w:val="000000"/>
          <w:sz w:val="24"/>
        </w:rPr>
        <w:t>及为完成整个项目所产生的其它所有费用。</w:t>
      </w:r>
    </w:p>
    <w:p>
      <w:pPr>
        <w:spacing w:line="480" w:lineRule="exact"/>
        <w:ind w:firstLine="480" w:firstLineChars="200"/>
        <w:rPr>
          <w:bCs/>
          <w:color w:val="000000"/>
          <w:sz w:val="24"/>
        </w:rPr>
      </w:pPr>
      <w:r>
        <w:rPr>
          <w:rFonts w:hint="eastAsia"/>
          <w:color w:val="000000"/>
          <w:sz w:val="24"/>
        </w:rPr>
        <w:t>13.6.2</w:t>
      </w:r>
      <w:r>
        <w:rPr>
          <w:rFonts w:hint="eastAsia"/>
          <w:bCs/>
          <w:color w:val="000000"/>
          <w:sz w:val="24"/>
        </w:rPr>
        <w:t>项目单价按投标配置及分项报价表中要求填报。</w:t>
      </w:r>
    </w:p>
    <w:p>
      <w:pPr>
        <w:spacing w:line="480" w:lineRule="exact"/>
        <w:ind w:firstLine="420" w:firstLineChars="150"/>
        <w:rPr>
          <w:bCs/>
          <w:color w:val="000000"/>
          <w:sz w:val="24"/>
        </w:rPr>
      </w:pPr>
      <w:r>
        <w:rPr>
          <w:rFonts w:hint="eastAsia"/>
          <w:bCs/>
          <w:color w:val="000000"/>
          <w:sz w:val="28"/>
          <w:szCs w:val="28"/>
        </w:rPr>
        <w:t>14</w:t>
      </w:r>
      <w:r>
        <w:rPr>
          <w:rFonts w:hint="eastAsia"/>
          <w:b/>
          <w:bCs/>
          <w:color w:val="000000"/>
        </w:rPr>
        <w:t>、</w:t>
      </w:r>
      <w:r>
        <w:rPr>
          <w:rFonts w:hint="eastAsia" w:ascii="黑体" w:eastAsia="黑体"/>
          <w:color w:val="000000"/>
          <w:sz w:val="28"/>
          <w:szCs w:val="28"/>
        </w:rPr>
        <w:t>技术参数响应及偏离表、商务条款响应及偏离表及投标货物说明</w:t>
      </w:r>
    </w:p>
    <w:p>
      <w:pPr>
        <w:autoSpaceDE w:val="0"/>
        <w:autoSpaceDN w:val="0"/>
        <w:adjustRightInd w:val="0"/>
        <w:spacing w:line="480" w:lineRule="exact"/>
        <w:ind w:firstLine="480" w:firstLineChars="200"/>
        <w:rPr>
          <w:rFonts w:hAnsi="Arial"/>
          <w:color w:val="000000"/>
          <w:sz w:val="24"/>
          <w:lang w:val="zh-CN"/>
        </w:rPr>
      </w:pPr>
      <w:r>
        <w:rPr>
          <w:rFonts w:hAnsi="Arial"/>
          <w:bCs/>
          <w:color w:val="000000"/>
          <w:sz w:val="24"/>
          <w:lang w:val="zh-CN"/>
        </w:rPr>
        <w:t>1</w:t>
      </w:r>
      <w:r>
        <w:rPr>
          <w:rFonts w:hint="eastAsia" w:hAnsi="Arial"/>
          <w:bCs/>
          <w:color w:val="000000"/>
          <w:sz w:val="24"/>
          <w:lang w:val="zh-CN"/>
        </w:rPr>
        <w:t>4</w:t>
      </w:r>
      <w:r>
        <w:rPr>
          <w:rFonts w:hAnsi="Arial"/>
          <w:bCs/>
          <w:color w:val="000000"/>
          <w:sz w:val="24"/>
          <w:lang w:val="zh-CN"/>
        </w:rPr>
        <w:t>.1</w:t>
      </w:r>
      <w:r>
        <w:rPr>
          <w:rFonts w:hint="eastAsia" w:hAnsi="Arial"/>
          <w:color w:val="000000"/>
          <w:sz w:val="24"/>
          <w:lang w:val="zh-CN"/>
        </w:rPr>
        <w:t>对招标文件中的技术与商务条款要求逐项作出响应或偏离，并说明原因；</w:t>
      </w:r>
    </w:p>
    <w:p>
      <w:pPr>
        <w:tabs>
          <w:tab w:val="left" w:pos="1035"/>
        </w:tabs>
        <w:autoSpaceDE w:val="0"/>
        <w:autoSpaceDN w:val="0"/>
        <w:adjustRightInd w:val="0"/>
        <w:spacing w:line="480" w:lineRule="exact"/>
        <w:ind w:firstLine="480" w:firstLineChars="200"/>
        <w:rPr>
          <w:rFonts w:hAnsi="Arial"/>
          <w:color w:val="000000"/>
          <w:sz w:val="24"/>
          <w:lang w:val="zh-CN"/>
        </w:rPr>
      </w:pPr>
      <w:r>
        <w:rPr>
          <w:rFonts w:hint="eastAsia" w:hAnsi="Arial"/>
          <w:color w:val="000000"/>
          <w:sz w:val="24"/>
          <w:lang w:val="zh-CN"/>
        </w:rPr>
        <w:t>14.2 提供参加本项目类似案例简介；</w:t>
      </w:r>
    </w:p>
    <w:p>
      <w:pPr>
        <w:tabs>
          <w:tab w:val="left" w:pos="1035"/>
        </w:tabs>
        <w:autoSpaceDE w:val="0"/>
        <w:autoSpaceDN w:val="0"/>
        <w:adjustRightInd w:val="0"/>
        <w:spacing w:line="480" w:lineRule="exact"/>
        <w:ind w:firstLine="480" w:firstLineChars="200"/>
        <w:rPr>
          <w:rFonts w:hAnsi="Arial"/>
          <w:color w:val="000000"/>
          <w:sz w:val="24"/>
          <w:lang w:val="zh-CN"/>
        </w:rPr>
      </w:pPr>
      <w:r>
        <w:rPr>
          <w:rFonts w:hint="eastAsia" w:hAnsi="Arial"/>
          <w:color w:val="000000"/>
          <w:sz w:val="24"/>
          <w:lang w:val="zh-CN"/>
        </w:rPr>
        <w:t>14.3 培训计划；</w:t>
      </w:r>
    </w:p>
    <w:p>
      <w:pPr>
        <w:tabs>
          <w:tab w:val="left" w:pos="1035"/>
        </w:tabs>
        <w:autoSpaceDE w:val="0"/>
        <w:autoSpaceDN w:val="0"/>
        <w:adjustRightInd w:val="0"/>
        <w:spacing w:line="480" w:lineRule="exact"/>
        <w:ind w:firstLine="480" w:firstLineChars="200"/>
        <w:rPr>
          <w:rFonts w:hAnsi="Arial"/>
          <w:color w:val="000000"/>
          <w:sz w:val="24"/>
          <w:lang w:val="zh-CN"/>
        </w:rPr>
      </w:pPr>
      <w:r>
        <w:rPr>
          <w:rFonts w:hint="eastAsia" w:hAnsi="Arial"/>
          <w:color w:val="000000"/>
          <w:sz w:val="24"/>
          <w:lang w:val="zh-CN"/>
        </w:rPr>
        <w:t>14.4 详细阐述所投货物的主要组成部分、功能设计、实现思路及关键技术；</w:t>
      </w:r>
    </w:p>
    <w:p>
      <w:pPr>
        <w:tabs>
          <w:tab w:val="left" w:pos="1035"/>
        </w:tabs>
        <w:autoSpaceDE w:val="0"/>
        <w:autoSpaceDN w:val="0"/>
        <w:adjustRightInd w:val="0"/>
        <w:spacing w:line="480" w:lineRule="exact"/>
        <w:ind w:firstLine="480" w:firstLineChars="200"/>
        <w:rPr>
          <w:rFonts w:hAnsi="Arial"/>
          <w:color w:val="000000"/>
          <w:sz w:val="24"/>
          <w:lang w:val="zh-CN"/>
        </w:rPr>
      </w:pPr>
      <w:r>
        <w:rPr>
          <w:rFonts w:hint="eastAsia" w:hAnsi="Arial"/>
          <w:color w:val="000000"/>
          <w:sz w:val="24"/>
          <w:lang w:val="zh-CN"/>
        </w:rPr>
        <w:t>14.5 投标人认为需要的其他技术文件或说明。</w:t>
      </w:r>
    </w:p>
    <w:p>
      <w:pPr>
        <w:tabs>
          <w:tab w:val="left" w:pos="1035"/>
        </w:tabs>
        <w:autoSpaceDE w:val="0"/>
        <w:autoSpaceDN w:val="0"/>
        <w:adjustRightInd w:val="0"/>
        <w:spacing w:line="480" w:lineRule="exact"/>
        <w:ind w:firstLine="420" w:firstLineChars="150"/>
        <w:rPr>
          <w:rFonts w:hAnsi="Arial"/>
          <w:color w:val="000000"/>
          <w:sz w:val="24"/>
          <w:lang w:val="zh-CN"/>
        </w:rPr>
      </w:pPr>
      <w:r>
        <w:rPr>
          <w:rFonts w:hint="eastAsia" w:ascii="黑体" w:eastAsia="黑体"/>
          <w:bCs/>
          <w:color w:val="000000"/>
          <w:sz w:val="28"/>
          <w:szCs w:val="28"/>
        </w:rPr>
        <w:t>15、</w:t>
      </w:r>
      <w:r>
        <w:rPr>
          <w:rFonts w:hint="eastAsia" w:ascii="黑体" w:eastAsia="黑体"/>
          <w:b/>
          <w:bCs/>
          <w:color w:val="000000"/>
          <w:sz w:val="28"/>
          <w:szCs w:val="28"/>
        </w:rPr>
        <w:t>服务承诺及售后服务机构、人员的情况介绍</w:t>
      </w:r>
    </w:p>
    <w:p>
      <w:pPr>
        <w:tabs>
          <w:tab w:val="left" w:pos="1035"/>
        </w:tabs>
        <w:autoSpaceDE w:val="0"/>
        <w:autoSpaceDN w:val="0"/>
        <w:adjustRightInd w:val="0"/>
        <w:spacing w:line="480" w:lineRule="exact"/>
        <w:ind w:firstLine="480" w:firstLineChars="200"/>
        <w:rPr>
          <w:rFonts w:hAnsi="Arial"/>
          <w:color w:val="000000"/>
          <w:sz w:val="24"/>
          <w:lang w:val="zh-CN"/>
        </w:rPr>
      </w:pPr>
      <w:r>
        <w:rPr>
          <w:rFonts w:hint="eastAsia"/>
          <w:bCs/>
          <w:color w:val="000000"/>
          <w:sz w:val="24"/>
          <w:szCs w:val="24"/>
        </w:rPr>
        <w:t>15.1</w:t>
      </w:r>
      <w:r>
        <w:rPr>
          <w:rFonts w:hint="eastAsia"/>
          <w:color w:val="000000"/>
          <w:sz w:val="24"/>
          <w:szCs w:val="24"/>
        </w:rPr>
        <w:t>投标人的服务承诺应按不低于招标文件中商务要求的标准。</w:t>
      </w:r>
    </w:p>
    <w:p>
      <w:pPr>
        <w:spacing w:line="480" w:lineRule="exact"/>
        <w:ind w:firstLine="480"/>
        <w:rPr>
          <w:color w:val="000000"/>
          <w:sz w:val="24"/>
          <w:szCs w:val="24"/>
        </w:rPr>
      </w:pPr>
      <w:r>
        <w:rPr>
          <w:rFonts w:hint="eastAsia"/>
          <w:bCs/>
          <w:color w:val="000000"/>
          <w:sz w:val="24"/>
          <w:szCs w:val="24"/>
        </w:rPr>
        <w:t>15.2</w:t>
      </w:r>
      <w:r>
        <w:rPr>
          <w:rFonts w:hint="eastAsia"/>
          <w:color w:val="000000"/>
          <w:sz w:val="24"/>
          <w:szCs w:val="24"/>
        </w:rPr>
        <w:t>提供投标人有关售后服务的管理制度、售后服务机构的分布情况、售后服务人员的数量、素质、技术水平及售后服务的反应能力。</w:t>
      </w:r>
    </w:p>
    <w:p>
      <w:pPr>
        <w:pStyle w:val="7"/>
        <w:spacing w:before="0" w:after="0" w:line="480" w:lineRule="exact"/>
        <w:ind w:firstLine="420" w:firstLineChars="150"/>
        <w:rPr>
          <w:b w:val="0"/>
          <w:bCs w:val="0"/>
          <w:color w:val="000000"/>
        </w:rPr>
      </w:pPr>
      <w:r>
        <w:rPr>
          <w:rFonts w:hint="eastAsia"/>
          <w:b w:val="0"/>
          <w:bCs w:val="0"/>
          <w:color w:val="000000"/>
        </w:rPr>
        <w:t>16、投标函和开标一览表</w:t>
      </w:r>
    </w:p>
    <w:p>
      <w:pPr>
        <w:spacing w:line="480" w:lineRule="exact"/>
        <w:ind w:firstLine="480" w:firstLineChars="200"/>
        <w:rPr>
          <w:color w:val="000000"/>
          <w:sz w:val="24"/>
        </w:rPr>
      </w:pPr>
      <w:r>
        <w:rPr>
          <w:rFonts w:hint="eastAsia"/>
          <w:bCs/>
          <w:color w:val="000000"/>
          <w:sz w:val="24"/>
        </w:rPr>
        <w:t>16.1</w:t>
      </w:r>
      <w:r>
        <w:rPr>
          <w:rFonts w:hint="eastAsia"/>
          <w:color w:val="000000"/>
          <w:sz w:val="24"/>
        </w:rPr>
        <w:t xml:space="preserve"> 投标人应按照招标文件中提供的格式完整、正确填写投标函、开标一览表。</w:t>
      </w:r>
    </w:p>
    <w:p>
      <w:pPr>
        <w:spacing w:line="480" w:lineRule="exact"/>
        <w:ind w:firstLine="480" w:firstLineChars="200"/>
        <w:rPr>
          <w:color w:val="000000"/>
          <w:sz w:val="24"/>
        </w:rPr>
      </w:pPr>
      <w:r>
        <w:rPr>
          <w:rFonts w:hint="eastAsia"/>
          <w:bCs/>
          <w:color w:val="000000"/>
          <w:sz w:val="24"/>
        </w:rPr>
        <w:t>16.2开标一览表中的价格应与投标文件中投标配置与分项报价表中的价格一致，如不一致，</w:t>
      </w:r>
      <w:r>
        <w:rPr>
          <w:rFonts w:hint="eastAsia"/>
          <w:color w:val="000000"/>
          <w:sz w:val="24"/>
          <w:szCs w:val="24"/>
        </w:rPr>
        <w:t>不作为无效投标处理</w:t>
      </w:r>
      <w:r>
        <w:rPr>
          <w:rFonts w:hint="eastAsia"/>
          <w:bCs/>
          <w:color w:val="000000"/>
          <w:sz w:val="24"/>
        </w:rPr>
        <w:t>，但评标时按开标一览表中价格为准</w:t>
      </w:r>
      <w:r>
        <w:rPr>
          <w:rFonts w:hint="eastAsia"/>
          <w:b/>
          <w:bCs/>
          <w:color w:val="000000"/>
          <w:sz w:val="24"/>
        </w:rPr>
        <w:t>。</w:t>
      </w:r>
    </w:p>
    <w:p>
      <w:pPr>
        <w:pStyle w:val="7"/>
        <w:spacing w:before="0" w:after="0" w:line="480" w:lineRule="exact"/>
        <w:ind w:firstLine="420" w:firstLineChars="150"/>
        <w:rPr>
          <w:b w:val="0"/>
          <w:bCs w:val="0"/>
          <w:color w:val="000000"/>
        </w:rPr>
      </w:pPr>
      <w:r>
        <w:rPr>
          <w:rFonts w:hint="eastAsia"/>
          <w:b w:val="0"/>
          <w:bCs w:val="0"/>
          <w:color w:val="000000"/>
        </w:rPr>
        <w:t>17、投标有效期</w:t>
      </w:r>
    </w:p>
    <w:p>
      <w:pPr>
        <w:spacing w:line="480" w:lineRule="exact"/>
        <w:ind w:firstLine="480" w:firstLineChars="200"/>
        <w:rPr>
          <w:bCs/>
          <w:color w:val="000000"/>
          <w:sz w:val="24"/>
        </w:rPr>
      </w:pPr>
      <w:r>
        <w:rPr>
          <w:rFonts w:hint="eastAsia"/>
          <w:color w:val="000000"/>
          <w:sz w:val="24"/>
        </w:rPr>
        <w:t>18.1</w:t>
      </w:r>
      <w:r>
        <w:rPr>
          <w:rFonts w:hint="eastAsia"/>
          <w:bCs/>
          <w:color w:val="000000"/>
          <w:sz w:val="24"/>
        </w:rPr>
        <w:t xml:space="preserve"> 投标有效期为开标之日后</w:t>
      </w:r>
      <w:r>
        <w:rPr>
          <w:rFonts w:hint="eastAsia" w:ascii="仿宋_GB2312" w:hAnsi="仿宋_GB2312"/>
          <w:b/>
          <w:color w:val="000000"/>
          <w:sz w:val="24"/>
          <w:u w:val="single"/>
        </w:rPr>
        <w:t>六十（60）天</w:t>
      </w:r>
      <w:r>
        <w:rPr>
          <w:rFonts w:hint="eastAsia"/>
          <w:bCs/>
          <w:color w:val="000000"/>
          <w:sz w:val="24"/>
        </w:rPr>
        <w:t>。投标有效期比规定短的将被视为非响应性投标而予以拒绝。</w:t>
      </w:r>
    </w:p>
    <w:p>
      <w:pPr>
        <w:spacing w:line="480" w:lineRule="exact"/>
        <w:ind w:firstLine="480" w:firstLineChars="200"/>
        <w:rPr>
          <w:bCs/>
          <w:color w:val="000000"/>
          <w:sz w:val="24"/>
        </w:rPr>
      </w:pPr>
      <w:r>
        <w:rPr>
          <w:rFonts w:hint="eastAsia"/>
          <w:color w:val="000000"/>
          <w:sz w:val="24"/>
        </w:rPr>
        <w:t>18.2</w:t>
      </w:r>
      <w:r>
        <w:rPr>
          <w:rFonts w:hint="eastAsia"/>
          <w:bCs/>
          <w:color w:val="000000"/>
          <w:sz w:val="24"/>
        </w:rPr>
        <w:t xml:space="preserve"> 在特殊情况下，采购人于原投标有效期满之前，可向投标人提出延长投标有效期的要求。这种要求与答复均应采用书面形式。投标人可以拒绝采购人的这一要求而放弃投标</w:t>
      </w:r>
      <w:r>
        <w:rPr>
          <w:rFonts w:hint="eastAsia"/>
          <w:color w:val="000000"/>
          <w:sz w:val="24"/>
          <w:szCs w:val="24"/>
        </w:rPr>
        <w:t>。</w:t>
      </w:r>
      <w:r>
        <w:rPr>
          <w:rFonts w:hint="eastAsia"/>
          <w:bCs/>
          <w:color w:val="000000"/>
          <w:sz w:val="24"/>
        </w:rPr>
        <w:t>同意延长投标有效期的投标人既不能要求也不允许修改其投标文件。</w:t>
      </w:r>
    </w:p>
    <w:p>
      <w:pPr>
        <w:pStyle w:val="7"/>
        <w:spacing w:before="0" w:after="0" w:line="480" w:lineRule="exact"/>
        <w:ind w:firstLine="420" w:firstLineChars="150"/>
        <w:rPr>
          <w:b w:val="0"/>
          <w:bCs w:val="0"/>
          <w:color w:val="000000"/>
        </w:rPr>
      </w:pPr>
      <w:r>
        <w:rPr>
          <w:rFonts w:hint="eastAsia"/>
          <w:b w:val="0"/>
          <w:bCs w:val="0"/>
          <w:color w:val="000000"/>
        </w:rPr>
        <w:t>18、投标文件份数和签署</w:t>
      </w:r>
    </w:p>
    <w:p>
      <w:pPr>
        <w:spacing w:line="480" w:lineRule="exact"/>
        <w:ind w:firstLine="480" w:firstLineChars="200"/>
        <w:rPr>
          <w:bCs/>
          <w:color w:val="000000"/>
          <w:sz w:val="24"/>
        </w:rPr>
      </w:pPr>
      <w:r>
        <w:rPr>
          <w:rFonts w:hint="eastAsia"/>
          <w:color w:val="000000"/>
          <w:sz w:val="24"/>
        </w:rPr>
        <w:t>18.1</w:t>
      </w:r>
      <w:r>
        <w:rPr>
          <w:rFonts w:hint="eastAsia"/>
          <w:bCs/>
          <w:color w:val="000000"/>
          <w:sz w:val="24"/>
        </w:rPr>
        <w:t>投标人应严格按照招标公告和招标文件要求的份数准备投标文件，每份投标文件须清楚地标明“正本”或“副本”字样。一旦正本和副本不符，以正本为准。</w:t>
      </w:r>
    </w:p>
    <w:p>
      <w:pPr>
        <w:spacing w:line="480" w:lineRule="exact"/>
        <w:ind w:firstLine="480" w:firstLineChars="200"/>
        <w:rPr>
          <w:bCs/>
          <w:color w:val="000000"/>
          <w:sz w:val="24"/>
        </w:rPr>
      </w:pPr>
      <w:r>
        <w:rPr>
          <w:rFonts w:hint="eastAsia"/>
          <w:color w:val="000000"/>
          <w:sz w:val="24"/>
        </w:rPr>
        <w:t>18.2投标文件正本中，</w:t>
      </w:r>
      <w:r>
        <w:rPr>
          <w:rFonts w:hint="eastAsia"/>
          <w:bCs/>
          <w:color w:val="000000"/>
          <w:sz w:val="24"/>
        </w:rPr>
        <w:t>招标文件要求必须提供原件的按照要求提供，文</w:t>
      </w:r>
      <w:r>
        <w:rPr>
          <w:rFonts w:hint="eastAsia"/>
          <w:color w:val="000000"/>
          <w:sz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pacing w:line="480" w:lineRule="exact"/>
        <w:ind w:firstLine="480" w:firstLineChars="200"/>
        <w:rPr>
          <w:bCs/>
          <w:color w:val="000000"/>
          <w:sz w:val="24"/>
        </w:rPr>
      </w:pPr>
      <w:r>
        <w:rPr>
          <w:rFonts w:hint="eastAsia"/>
          <w:color w:val="000000"/>
          <w:sz w:val="24"/>
        </w:rPr>
        <w:t>18.3</w:t>
      </w:r>
      <w:r>
        <w:rPr>
          <w:rFonts w:hint="eastAsia"/>
          <w:bCs/>
          <w:color w:val="000000"/>
          <w:sz w:val="24"/>
        </w:rPr>
        <w:t xml:space="preserve"> 除投标人对错处做必要修改外，投标文件不得行间插字、涂改或增删。如有修改错漏处，必须由投标文件签署人签字或盖章。</w:t>
      </w:r>
    </w:p>
    <w:p>
      <w:pPr>
        <w:pStyle w:val="6"/>
        <w:spacing w:before="0" w:after="0" w:line="480" w:lineRule="exact"/>
        <w:ind w:firstLine="320" w:firstLineChars="100"/>
        <w:rPr>
          <w:color w:val="000000"/>
        </w:rPr>
      </w:pPr>
      <w:r>
        <w:rPr>
          <w:rFonts w:hint="eastAsia"/>
          <w:color w:val="000000"/>
        </w:rPr>
        <w:t>四、投标文件的递交</w:t>
      </w:r>
    </w:p>
    <w:p>
      <w:pPr>
        <w:pStyle w:val="7"/>
        <w:spacing w:before="0" w:after="0" w:line="480" w:lineRule="exact"/>
        <w:ind w:firstLine="420" w:firstLineChars="150"/>
        <w:rPr>
          <w:rFonts w:ascii="黑体"/>
          <w:b w:val="0"/>
          <w:bCs w:val="0"/>
          <w:color w:val="000000"/>
        </w:rPr>
      </w:pPr>
      <w:r>
        <w:rPr>
          <w:rFonts w:hint="eastAsia" w:ascii="黑体"/>
          <w:b w:val="0"/>
          <w:bCs w:val="0"/>
          <w:color w:val="000000"/>
        </w:rPr>
        <w:t>19、投标文件的密封和标记</w:t>
      </w:r>
    </w:p>
    <w:p>
      <w:pPr>
        <w:spacing w:line="480" w:lineRule="exact"/>
        <w:ind w:firstLine="480" w:firstLineChars="200"/>
      </w:pPr>
      <w:r>
        <w:rPr>
          <w:rFonts w:hint="eastAsia"/>
          <w:sz w:val="24"/>
          <w:szCs w:val="24"/>
        </w:rPr>
        <w:t>19.1投标人应严格按照招标公告和招标文件要求的份数准备投标文件，每份投标文件须清楚地标明“正本”或“副本”字样。一旦正本和副本不符，以正本为准。正本份数：1份；副本份数：4份。</w:t>
      </w:r>
      <w:r>
        <w:rPr>
          <w:rFonts w:hint="eastAsia"/>
          <w:b/>
          <w:bCs/>
          <w:sz w:val="24"/>
          <w:szCs w:val="24"/>
        </w:rPr>
        <w:t>（另请提供电子标书&lt;U&gt;盘一份，U盘中包含投标书面文件所有内容</w:t>
      </w:r>
      <w:r>
        <w:rPr>
          <w:rFonts w:hint="eastAsia"/>
          <w:b/>
          <w:bCs/>
          <w:sz w:val="24"/>
          <w:szCs w:val="24"/>
          <w:lang w:eastAsia="zh-CN"/>
        </w:rPr>
        <w:t>，</w:t>
      </w:r>
      <w:r>
        <w:rPr>
          <w:rFonts w:hint="eastAsia"/>
          <w:color w:val="000000"/>
          <w:sz w:val="24"/>
        </w:rPr>
        <w:t>必须包括</w:t>
      </w:r>
      <w:r>
        <w:rPr>
          <w:rFonts w:hint="eastAsia"/>
          <w:b/>
          <w:bCs/>
          <w:sz w:val="24"/>
          <w:szCs w:val="24"/>
        </w:rPr>
        <w:t>提升方案；采用U盘（表面加贴投标单位简称）单独装袋密封后递交）</w:t>
      </w:r>
    </w:p>
    <w:p>
      <w:pPr>
        <w:spacing w:line="480" w:lineRule="exact"/>
        <w:ind w:firstLine="480" w:firstLineChars="200"/>
        <w:rPr>
          <w:sz w:val="24"/>
          <w:szCs w:val="24"/>
        </w:rPr>
      </w:pPr>
      <w:r>
        <w:rPr>
          <w:rFonts w:hint="eastAsia"/>
          <w:sz w:val="24"/>
          <w:szCs w:val="24"/>
        </w:rPr>
        <w:t>19.2投标文件正本中，招标文件要求必须提供原件的按照要求提供</w:t>
      </w:r>
      <w:r>
        <w:rPr>
          <w:rFonts w:hint="eastAsia"/>
          <w:b/>
          <w:bCs/>
          <w:sz w:val="24"/>
          <w:szCs w:val="24"/>
        </w:rPr>
        <w:t>（所有证书等用于核查的原件单独密封在一个封袋内，在封袋上标明工程名称、投标单位、投标日期并盖公章和法人章与投标文件一并提交）</w:t>
      </w:r>
      <w:r>
        <w:rPr>
          <w:rFonts w:hint="eastAsia"/>
          <w:sz w:val="24"/>
          <w:szCs w:val="24"/>
        </w:rPr>
        <w:t>，文字材料需打印或用不褪色墨水书写。投标文件的正本须经法定代表人或授权委托人（被授权人）签署和加盖投标人公章。 本采购文件所表述（指定）的公章是指法定名称章，不包括合同专用章、业务专用章等印章。</w:t>
      </w:r>
    </w:p>
    <w:p>
      <w:pPr>
        <w:spacing w:line="480" w:lineRule="exact"/>
        <w:ind w:firstLine="480" w:firstLineChars="200"/>
        <w:rPr>
          <w:color w:val="000000"/>
          <w:sz w:val="24"/>
        </w:rPr>
      </w:pPr>
      <w:r>
        <w:rPr>
          <w:rFonts w:hint="eastAsia"/>
          <w:sz w:val="24"/>
          <w:szCs w:val="24"/>
        </w:rPr>
        <w:t>19.3 除投标人对错处做必要修改外，投标文件不得行间插字、涂改或增删。如有修改错漏处，必须由投标文件签署人签字或盖章。</w:t>
      </w:r>
    </w:p>
    <w:p>
      <w:pPr>
        <w:spacing w:line="480" w:lineRule="exact"/>
        <w:ind w:firstLine="480" w:firstLineChars="200"/>
        <w:rPr>
          <w:bCs/>
          <w:color w:val="000000"/>
          <w:sz w:val="24"/>
        </w:rPr>
      </w:pPr>
      <w:r>
        <w:rPr>
          <w:rFonts w:hint="eastAsia"/>
          <w:color w:val="000000"/>
          <w:sz w:val="24"/>
        </w:rPr>
        <w:t>19.4</w:t>
      </w:r>
      <w:r>
        <w:rPr>
          <w:rFonts w:hint="eastAsia"/>
          <w:bCs/>
          <w:color w:val="000000"/>
          <w:sz w:val="24"/>
        </w:rPr>
        <w:t xml:space="preserve"> 密封的投标文件应：</w:t>
      </w:r>
    </w:p>
    <w:p>
      <w:pPr>
        <w:spacing w:line="480" w:lineRule="exact"/>
        <w:ind w:firstLine="480" w:firstLineChars="200"/>
        <w:rPr>
          <w:bCs/>
          <w:color w:val="000000"/>
          <w:sz w:val="24"/>
        </w:rPr>
      </w:pPr>
      <w:r>
        <w:rPr>
          <w:rFonts w:hint="eastAsia"/>
          <w:bCs/>
          <w:color w:val="000000"/>
          <w:sz w:val="24"/>
        </w:rPr>
        <w:t>19.4.1 注明投标人名称，如因标注不清而产生的后果由投标人自负。按招标公告中注明的地址送达；</w:t>
      </w:r>
    </w:p>
    <w:p>
      <w:pPr>
        <w:spacing w:line="480" w:lineRule="exact"/>
        <w:ind w:firstLine="480" w:firstLineChars="200"/>
        <w:rPr>
          <w:bCs/>
          <w:color w:val="000000"/>
          <w:sz w:val="24"/>
        </w:rPr>
      </w:pPr>
      <w:r>
        <w:rPr>
          <w:rFonts w:hint="eastAsia"/>
          <w:bCs/>
          <w:color w:val="000000"/>
          <w:sz w:val="24"/>
        </w:rPr>
        <w:t>19.4.2  注明投标项目名称、标书编号及包号。</w:t>
      </w:r>
    </w:p>
    <w:p>
      <w:pPr>
        <w:spacing w:line="480" w:lineRule="exact"/>
        <w:ind w:firstLine="480" w:firstLineChars="200"/>
        <w:rPr>
          <w:bCs/>
          <w:color w:val="000000"/>
          <w:sz w:val="24"/>
        </w:rPr>
      </w:pPr>
      <w:r>
        <w:rPr>
          <w:rFonts w:hint="eastAsia"/>
          <w:color w:val="000000"/>
          <w:sz w:val="24"/>
        </w:rPr>
        <w:t>19.4.3</w:t>
      </w:r>
      <w:r>
        <w:rPr>
          <w:rFonts w:hint="eastAsia"/>
          <w:bCs/>
          <w:color w:val="000000"/>
          <w:sz w:val="24"/>
        </w:rPr>
        <w:t xml:space="preserve">  未按要求密封和加写标记，采购人对误投或过早启封概不负责。对由此造成提前开封的投标文件，采购人将予以拒绝。</w:t>
      </w:r>
    </w:p>
    <w:p>
      <w:pPr>
        <w:pStyle w:val="7"/>
        <w:spacing w:before="0" w:after="0" w:line="480" w:lineRule="exact"/>
        <w:ind w:firstLine="420" w:firstLineChars="150"/>
        <w:rPr>
          <w:b w:val="0"/>
          <w:bCs w:val="0"/>
          <w:color w:val="000000"/>
        </w:rPr>
      </w:pPr>
      <w:r>
        <w:rPr>
          <w:rFonts w:hint="eastAsia"/>
          <w:b w:val="0"/>
          <w:bCs w:val="0"/>
          <w:color w:val="000000"/>
        </w:rPr>
        <w:t>20、投标截止日期</w:t>
      </w:r>
    </w:p>
    <w:p>
      <w:pPr>
        <w:spacing w:line="480" w:lineRule="exact"/>
        <w:ind w:firstLine="480" w:firstLineChars="200"/>
        <w:rPr>
          <w:bCs/>
          <w:color w:val="000000"/>
          <w:sz w:val="24"/>
        </w:rPr>
      </w:pPr>
      <w:r>
        <w:rPr>
          <w:rFonts w:hint="eastAsia"/>
          <w:color w:val="000000"/>
          <w:sz w:val="24"/>
        </w:rPr>
        <w:t>20.1</w:t>
      </w:r>
      <w:r>
        <w:rPr>
          <w:rFonts w:hint="eastAsia"/>
          <w:bCs/>
          <w:color w:val="000000"/>
          <w:sz w:val="24"/>
        </w:rPr>
        <w:t xml:space="preserve"> 采购人收到投标文件的时间不得迟于招标公告中规定的截止时间。</w:t>
      </w:r>
    </w:p>
    <w:p>
      <w:pPr>
        <w:spacing w:line="480" w:lineRule="exact"/>
        <w:ind w:firstLine="480" w:firstLineChars="200"/>
        <w:rPr>
          <w:bCs/>
          <w:color w:val="000000"/>
          <w:sz w:val="24"/>
        </w:rPr>
      </w:pPr>
      <w:r>
        <w:rPr>
          <w:rFonts w:hint="eastAsia"/>
          <w:color w:val="000000"/>
          <w:sz w:val="24"/>
        </w:rPr>
        <w:t>20.2</w:t>
      </w:r>
      <w:r>
        <w:rPr>
          <w:rFonts w:hint="eastAsia"/>
          <w:bCs/>
          <w:color w:val="000000"/>
          <w:sz w:val="24"/>
        </w:rPr>
        <w:t xml:space="preserve"> 采购人有权通过修改招标文件酌情延长投标截止日期，在此情况下，投标人的所有权利和义务以及投标人受制的截止日期均应以延长后新的截止日期为准。</w:t>
      </w:r>
    </w:p>
    <w:p>
      <w:pPr>
        <w:pStyle w:val="7"/>
        <w:spacing w:before="0" w:after="0" w:line="480" w:lineRule="exact"/>
        <w:ind w:firstLine="420" w:firstLineChars="150"/>
        <w:rPr>
          <w:b w:val="0"/>
          <w:bCs w:val="0"/>
          <w:color w:val="000000"/>
        </w:rPr>
      </w:pPr>
      <w:r>
        <w:rPr>
          <w:rFonts w:hint="eastAsia"/>
          <w:b w:val="0"/>
          <w:bCs w:val="0"/>
          <w:color w:val="000000"/>
        </w:rPr>
        <w:t>21、迟交的投标文件</w:t>
      </w:r>
    </w:p>
    <w:p>
      <w:pPr>
        <w:spacing w:line="480" w:lineRule="exact"/>
        <w:ind w:firstLine="480" w:firstLineChars="200"/>
        <w:rPr>
          <w:bCs/>
          <w:color w:val="000000"/>
          <w:sz w:val="24"/>
        </w:rPr>
      </w:pPr>
      <w:r>
        <w:rPr>
          <w:rFonts w:hint="eastAsia"/>
          <w:color w:val="000000"/>
          <w:sz w:val="24"/>
        </w:rPr>
        <w:t>21.1</w:t>
      </w:r>
      <w:r>
        <w:rPr>
          <w:rFonts w:hint="eastAsia"/>
          <w:bCs/>
          <w:color w:val="000000"/>
          <w:sz w:val="24"/>
        </w:rPr>
        <w:t xml:space="preserve"> 采购人拒绝接收在其规定的投标截止时间后递交的任何投标文件。</w:t>
      </w:r>
    </w:p>
    <w:p>
      <w:pPr>
        <w:pStyle w:val="7"/>
        <w:spacing w:before="0" w:after="0" w:line="480" w:lineRule="exact"/>
        <w:ind w:firstLine="420" w:firstLineChars="150"/>
        <w:rPr>
          <w:b w:val="0"/>
          <w:bCs w:val="0"/>
          <w:color w:val="000000"/>
        </w:rPr>
      </w:pPr>
      <w:r>
        <w:rPr>
          <w:rFonts w:hint="eastAsia"/>
          <w:b w:val="0"/>
          <w:bCs w:val="0"/>
          <w:color w:val="000000"/>
        </w:rPr>
        <w:t>22、投标文件的修改和撤回</w:t>
      </w:r>
    </w:p>
    <w:p>
      <w:pPr>
        <w:spacing w:line="480" w:lineRule="exact"/>
        <w:ind w:firstLine="480" w:firstLineChars="200"/>
        <w:rPr>
          <w:color w:val="000000"/>
          <w:sz w:val="24"/>
          <w:szCs w:val="24"/>
        </w:rPr>
      </w:pPr>
      <w:r>
        <w:rPr>
          <w:rFonts w:hint="eastAsia"/>
          <w:color w:val="000000"/>
          <w:sz w:val="24"/>
        </w:rPr>
        <w:t>22.1</w:t>
      </w:r>
      <w:r>
        <w:rPr>
          <w:rFonts w:hint="eastAsia"/>
          <w:bCs/>
          <w:color w:val="000000"/>
          <w:sz w:val="24"/>
        </w:rPr>
        <w:t xml:space="preserve"> 投标人在递交投标文件后，可以修改或撤回其投标文件，但这种修改和撤回，必须在规定的投标截止时间前，以书面形式</w:t>
      </w:r>
      <w:r>
        <w:rPr>
          <w:rFonts w:hint="eastAsia"/>
          <w:color w:val="000000"/>
          <w:sz w:val="24"/>
          <w:szCs w:val="24"/>
        </w:rPr>
        <w:t>通知采购人，修改或撤回其投标文件。</w:t>
      </w:r>
    </w:p>
    <w:p>
      <w:pPr>
        <w:spacing w:line="480" w:lineRule="exact"/>
        <w:ind w:firstLine="480" w:firstLineChars="200"/>
        <w:rPr>
          <w:color w:val="000000"/>
          <w:sz w:val="24"/>
          <w:szCs w:val="24"/>
        </w:rPr>
      </w:pPr>
      <w:r>
        <w:rPr>
          <w:rFonts w:hint="eastAsia"/>
          <w:color w:val="000000"/>
          <w:sz w:val="24"/>
        </w:rPr>
        <w:t>22.2</w:t>
      </w:r>
      <w:r>
        <w:rPr>
          <w:rFonts w:hint="eastAsia"/>
          <w:bCs/>
          <w:color w:val="000000"/>
          <w:sz w:val="24"/>
        </w:rPr>
        <w:t xml:space="preserve"> 投标人的修改或撤回文件应按规定进行编制、密封、标记和发送，并应在封套上加注“修改</w:t>
      </w:r>
      <w:r>
        <w:rPr>
          <w:bCs/>
          <w:color w:val="000000"/>
          <w:sz w:val="24"/>
        </w:rPr>
        <w:t>”</w:t>
      </w:r>
      <w:r>
        <w:rPr>
          <w:rFonts w:hint="eastAsia"/>
          <w:bCs/>
          <w:color w:val="000000"/>
          <w:sz w:val="24"/>
        </w:rPr>
        <w:t>或“撤回</w:t>
      </w:r>
      <w:r>
        <w:rPr>
          <w:bCs/>
          <w:color w:val="000000"/>
          <w:sz w:val="24"/>
        </w:rPr>
        <w:t>”</w:t>
      </w:r>
      <w:r>
        <w:rPr>
          <w:rFonts w:hint="eastAsia"/>
          <w:bCs/>
          <w:color w:val="000000"/>
          <w:sz w:val="24"/>
        </w:rPr>
        <w:t>字样。</w:t>
      </w:r>
      <w:r>
        <w:rPr>
          <w:rFonts w:hint="eastAsia"/>
          <w:color w:val="000000"/>
          <w:sz w:val="24"/>
          <w:szCs w:val="24"/>
        </w:rPr>
        <w:t>上述补充或修改若涉及投标报价，必须注明“最后唯一报价”字样，否则将视为有选择的报价。修改文件必须在投标截止时间前送达采购人。</w:t>
      </w:r>
    </w:p>
    <w:p>
      <w:pPr>
        <w:spacing w:line="480" w:lineRule="exact"/>
        <w:ind w:firstLine="480" w:firstLineChars="200"/>
        <w:rPr>
          <w:bCs/>
          <w:color w:val="000000"/>
          <w:sz w:val="24"/>
        </w:rPr>
      </w:pPr>
      <w:r>
        <w:rPr>
          <w:rFonts w:hint="eastAsia"/>
          <w:color w:val="000000"/>
          <w:sz w:val="24"/>
        </w:rPr>
        <w:t>22.3</w:t>
      </w:r>
      <w:r>
        <w:rPr>
          <w:rFonts w:hint="eastAsia"/>
          <w:bCs/>
          <w:color w:val="000000"/>
          <w:sz w:val="24"/>
        </w:rPr>
        <w:t xml:space="preserve"> 在投标截止时间之后，投标人不得对其投标文件作任何修改。</w:t>
      </w:r>
    </w:p>
    <w:p>
      <w:pPr>
        <w:spacing w:line="480" w:lineRule="exact"/>
        <w:ind w:firstLine="480" w:firstLineChars="200"/>
        <w:rPr>
          <w:bCs/>
          <w:color w:val="000000"/>
          <w:sz w:val="24"/>
        </w:rPr>
      </w:pPr>
      <w:r>
        <w:rPr>
          <w:rFonts w:hint="eastAsia"/>
          <w:color w:val="000000"/>
          <w:sz w:val="24"/>
        </w:rPr>
        <w:t>22.4</w:t>
      </w:r>
      <w:r>
        <w:rPr>
          <w:rFonts w:hint="eastAsia"/>
          <w:bCs/>
          <w:color w:val="000000"/>
          <w:sz w:val="24"/>
        </w:rPr>
        <w:t xml:space="preserve"> 在投标截止时间至招标文件中规定的投标有效期满之间的这段时间内，投标人不得撤回其投标。</w:t>
      </w:r>
    </w:p>
    <w:p>
      <w:pPr>
        <w:pStyle w:val="6"/>
        <w:spacing w:before="0" w:after="0" w:line="480" w:lineRule="exact"/>
        <w:ind w:firstLine="320" w:firstLineChars="100"/>
        <w:rPr>
          <w:color w:val="000000"/>
        </w:rPr>
      </w:pPr>
      <w:r>
        <w:rPr>
          <w:rFonts w:hint="eastAsia"/>
          <w:color w:val="000000"/>
        </w:rPr>
        <w:t>五、开标与评标</w:t>
      </w:r>
    </w:p>
    <w:p>
      <w:pPr>
        <w:pStyle w:val="7"/>
        <w:spacing w:before="0" w:after="0" w:line="480" w:lineRule="exact"/>
        <w:ind w:firstLine="420" w:firstLineChars="150"/>
        <w:rPr>
          <w:b w:val="0"/>
          <w:bCs w:val="0"/>
          <w:color w:val="000000"/>
        </w:rPr>
      </w:pPr>
      <w:r>
        <w:rPr>
          <w:rFonts w:hint="eastAsia"/>
          <w:b w:val="0"/>
          <w:bCs w:val="0"/>
          <w:color w:val="000000"/>
        </w:rPr>
        <w:t>23、开标</w:t>
      </w:r>
    </w:p>
    <w:p>
      <w:pPr>
        <w:spacing w:line="480" w:lineRule="exact"/>
        <w:ind w:firstLine="480" w:firstLineChars="200"/>
        <w:rPr>
          <w:color w:val="000000"/>
          <w:sz w:val="24"/>
          <w:szCs w:val="24"/>
        </w:rPr>
      </w:pPr>
      <w:r>
        <w:rPr>
          <w:rFonts w:hint="eastAsia"/>
          <w:color w:val="000000"/>
          <w:sz w:val="24"/>
        </w:rPr>
        <w:t>23.1</w:t>
      </w:r>
      <w:r>
        <w:rPr>
          <w:rFonts w:hint="eastAsia"/>
          <w:bCs/>
          <w:color w:val="000000"/>
          <w:sz w:val="24"/>
        </w:rPr>
        <w:t xml:space="preserve"> 采购人将在招标公告中规定的时间和地点组织公开开标</w:t>
      </w:r>
      <w:r>
        <w:rPr>
          <w:rFonts w:hint="eastAsia"/>
          <w:color w:val="000000"/>
          <w:sz w:val="24"/>
          <w:szCs w:val="24"/>
        </w:rPr>
        <w:t>。投标人应委派携带有效证件的代表准时参加，参加开标的代表需签名以证明其出席。</w:t>
      </w:r>
    </w:p>
    <w:p>
      <w:pPr>
        <w:spacing w:line="480" w:lineRule="exact"/>
        <w:rPr>
          <w:color w:val="000000"/>
          <w:sz w:val="24"/>
          <w:szCs w:val="24"/>
        </w:rPr>
      </w:pPr>
      <w:r>
        <w:rPr>
          <w:rFonts w:hint="eastAsia"/>
          <w:bCs/>
          <w:color w:val="000000"/>
          <w:sz w:val="24"/>
          <w:szCs w:val="24"/>
        </w:rPr>
        <w:t>23.2</w:t>
      </w:r>
      <w:r>
        <w:rPr>
          <w:rFonts w:hint="eastAsia"/>
          <w:color w:val="000000"/>
          <w:sz w:val="24"/>
          <w:szCs w:val="24"/>
        </w:rPr>
        <w:t>开标仪式由采购人组织，采购人工作人员、投标人代表等参加。</w:t>
      </w:r>
    </w:p>
    <w:p>
      <w:pPr>
        <w:spacing w:line="480" w:lineRule="exact"/>
        <w:ind w:firstLine="480" w:firstLineChars="200"/>
        <w:rPr>
          <w:bCs/>
          <w:color w:val="000000"/>
          <w:sz w:val="24"/>
        </w:rPr>
      </w:pPr>
      <w:r>
        <w:rPr>
          <w:rFonts w:hint="eastAsia"/>
          <w:color w:val="000000"/>
          <w:sz w:val="24"/>
        </w:rPr>
        <w:t>23.3</w:t>
      </w:r>
      <w:r>
        <w:rPr>
          <w:rFonts w:hint="eastAsia"/>
          <w:bCs/>
          <w:color w:val="000000"/>
          <w:sz w:val="24"/>
        </w:rPr>
        <w:t>按照规定同意撤回的投标将不予开封。</w:t>
      </w:r>
    </w:p>
    <w:p>
      <w:pPr>
        <w:spacing w:line="480" w:lineRule="exact"/>
        <w:ind w:firstLine="480" w:firstLineChars="200"/>
        <w:rPr>
          <w:color w:val="000000"/>
          <w:sz w:val="24"/>
          <w:szCs w:val="24"/>
        </w:rPr>
      </w:pPr>
      <w:r>
        <w:rPr>
          <w:color w:val="000000"/>
          <w:sz w:val="24"/>
          <w:szCs w:val="24"/>
        </w:rPr>
        <w:t>2</w:t>
      </w:r>
      <w:r>
        <w:rPr>
          <w:rFonts w:hint="eastAsia"/>
          <w:color w:val="000000"/>
          <w:sz w:val="24"/>
          <w:szCs w:val="24"/>
        </w:rPr>
        <w:t>3</w:t>
      </w:r>
      <w:r>
        <w:rPr>
          <w:color w:val="000000"/>
          <w:sz w:val="24"/>
          <w:szCs w:val="24"/>
        </w:rPr>
        <w:t>.</w:t>
      </w:r>
      <w:r>
        <w:rPr>
          <w:rFonts w:hint="eastAsia"/>
          <w:color w:val="000000"/>
          <w:sz w:val="24"/>
          <w:szCs w:val="24"/>
        </w:rPr>
        <w:t>4 开标时请投标人代表查验投标文件密封情况，确认无误后，采购人当众拆封宣读每份投标文件中“开标一览表”的内容，未列入开标一览表的内容一律不在开标时宣读。开标时未宣读的投标报价信息，不得在评标时采用。</w:t>
      </w:r>
    </w:p>
    <w:p>
      <w:pPr>
        <w:spacing w:line="480" w:lineRule="exact"/>
        <w:rPr>
          <w:color w:val="000000"/>
          <w:sz w:val="24"/>
          <w:szCs w:val="24"/>
        </w:rPr>
      </w:pPr>
      <w:r>
        <w:rPr>
          <w:color w:val="000000"/>
          <w:sz w:val="24"/>
          <w:szCs w:val="24"/>
        </w:rPr>
        <w:t>2</w:t>
      </w:r>
      <w:r>
        <w:rPr>
          <w:rFonts w:hint="eastAsia"/>
          <w:color w:val="000000"/>
          <w:sz w:val="24"/>
          <w:szCs w:val="24"/>
        </w:rPr>
        <w:t>3</w:t>
      </w:r>
      <w:r>
        <w:rPr>
          <w:color w:val="000000"/>
          <w:sz w:val="24"/>
          <w:szCs w:val="24"/>
        </w:rPr>
        <w:t>.</w:t>
      </w:r>
      <w:r>
        <w:rPr>
          <w:rFonts w:hint="eastAsia"/>
          <w:color w:val="000000"/>
          <w:sz w:val="24"/>
          <w:szCs w:val="24"/>
        </w:rPr>
        <w:t>5 采购人将指定专人负责开标记录并存档备查，各投标人需仔细核对开标记录相关内容并签字确认。</w:t>
      </w:r>
    </w:p>
    <w:p>
      <w:pPr>
        <w:spacing w:line="480" w:lineRule="exact"/>
        <w:ind w:firstLine="480" w:firstLineChars="200"/>
        <w:rPr>
          <w:color w:val="000000"/>
          <w:sz w:val="24"/>
          <w:szCs w:val="24"/>
        </w:rPr>
      </w:pPr>
      <w:r>
        <w:rPr>
          <w:color w:val="000000"/>
          <w:sz w:val="24"/>
          <w:szCs w:val="24"/>
        </w:rPr>
        <w:t>2</w:t>
      </w:r>
      <w:r>
        <w:rPr>
          <w:rFonts w:hint="eastAsia"/>
          <w:color w:val="000000"/>
          <w:sz w:val="24"/>
          <w:szCs w:val="24"/>
        </w:rPr>
        <w:t>3</w:t>
      </w:r>
      <w:r>
        <w:rPr>
          <w:color w:val="000000"/>
          <w:sz w:val="24"/>
          <w:szCs w:val="24"/>
        </w:rPr>
        <w:t>.</w:t>
      </w:r>
      <w:r>
        <w:rPr>
          <w:rFonts w:hint="eastAsia"/>
          <w:color w:val="000000"/>
          <w:sz w:val="24"/>
          <w:szCs w:val="24"/>
        </w:rPr>
        <w:t>6 投标人在报价时不允许采用选择性报价，否则将被视为无效投标。</w:t>
      </w:r>
    </w:p>
    <w:p>
      <w:pPr>
        <w:pStyle w:val="7"/>
        <w:spacing w:before="0" w:after="0" w:line="480" w:lineRule="exact"/>
        <w:ind w:firstLine="420" w:firstLineChars="150"/>
        <w:rPr>
          <w:b w:val="0"/>
          <w:bCs w:val="0"/>
          <w:color w:val="000000"/>
        </w:rPr>
      </w:pPr>
      <w:r>
        <w:rPr>
          <w:rFonts w:hint="eastAsia"/>
          <w:b w:val="0"/>
          <w:bCs w:val="0"/>
          <w:color w:val="000000"/>
        </w:rPr>
        <w:t>24、资格审查</w:t>
      </w:r>
    </w:p>
    <w:p>
      <w:pPr>
        <w:spacing w:line="480" w:lineRule="exact"/>
        <w:ind w:firstLine="480" w:firstLineChars="200"/>
        <w:rPr>
          <w:bCs/>
          <w:color w:val="000000"/>
          <w:sz w:val="24"/>
        </w:rPr>
      </w:pPr>
      <w:r>
        <w:rPr>
          <w:rFonts w:hint="eastAsia"/>
          <w:color w:val="000000"/>
          <w:sz w:val="24"/>
          <w:szCs w:val="24"/>
        </w:rPr>
        <w:t>24.1</w:t>
      </w:r>
      <w:r>
        <w:rPr>
          <w:rFonts w:hint="eastAsia"/>
          <w:bCs/>
          <w:color w:val="000000"/>
          <w:sz w:val="24"/>
        </w:rPr>
        <w:t>依据法律法规和招标文件的约定，</w:t>
      </w:r>
      <w:r>
        <w:rPr>
          <w:bCs/>
          <w:color w:val="000000"/>
          <w:sz w:val="24"/>
        </w:rPr>
        <w:t>开标结束后，</w:t>
      </w:r>
      <w:r>
        <w:rPr>
          <w:rFonts w:hint="eastAsia"/>
          <w:bCs/>
          <w:color w:val="000000"/>
          <w:sz w:val="24"/>
        </w:rPr>
        <w:t>由采购人对投标文件中的资格证明文件进行审查。资格审查的结论，采购人以书面形式向评委会进行反馈。未通过资格审查的投标人，由采购人告知未通过资格审查的原因。</w:t>
      </w:r>
    </w:p>
    <w:p>
      <w:pPr>
        <w:spacing w:line="480" w:lineRule="exact"/>
        <w:ind w:firstLine="480" w:firstLineChars="200"/>
        <w:rPr>
          <w:bCs/>
          <w:color w:val="000000"/>
          <w:sz w:val="24"/>
        </w:rPr>
      </w:pPr>
      <w:r>
        <w:rPr>
          <w:rFonts w:hint="eastAsia"/>
          <w:bCs/>
          <w:color w:val="000000"/>
          <w:sz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pacing w:line="480" w:lineRule="exact"/>
        <w:ind w:firstLine="480" w:firstLineChars="200"/>
        <w:rPr>
          <w:bCs/>
          <w:color w:val="000000"/>
          <w:sz w:val="24"/>
        </w:rPr>
      </w:pPr>
      <w:r>
        <w:rPr>
          <w:rFonts w:hint="eastAsia"/>
          <w:bCs/>
          <w:color w:val="000000"/>
          <w:sz w:val="24"/>
        </w:rPr>
        <w:t>接受联合体的项目，两个以上的自然人、法人或者其他组织组成一个联合体，以一个供应商的身份共同参加政府采购活动的,联合体成员存在不良信用记录的，视同联合体存在不良应用记录。</w:t>
      </w:r>
    </w:p>
    <w:p>
      <w:pPr>
        <w:widowControl/>
        <w:spacing w:line="480" w:lineRule="exact"/>
        <w:jc w:val="left"/>
        <w:textAlignment w:val="baseline"/>
        <w:rPr>
          <w:color w:val="000000"/>
          <w:sz w:val="24"/>
          <w:szCs w:val="24"/>
        </w:rPr>
      </w:pPr>
      <w:r>
        <w:rPr>
          <w:color w:val="000000"/>
          <w:sz w:val="24"/>
          <w:szCs w:val="24"/>
        </w:rPr>
        <w:t>　　合格投标人不足3家的，不得评标。</w:t>
      </w:r>
    </w:p>
    <w:p>
      <w:pPr>
        <w:pStyle w:val="7"/>
        <w:spacing w:before="0" w:after="0" w:line="480" w:lineRule="exact"/>
        <w:ind w:firstLine="420" w:firstLineChars="150"/>
        <w:rPr>
          <w:b w:val="0"/>
          <w:bCs w:val="0"/>
          <w:color w:val="000000"/>
        </w:rPr>
      </w:pPr>
      <w:r>
        <w:rPr>
          <w:rFonts w:hint="eastAsia"/>
          <w:b w:val="0"/>
          <w:bCs w:val="0"/>
          <w:color w:val="000000"/>
        </w:rPr>
        <w:t>25、评标委员会</w:t>
      </w:r>
    </w:p>
    <w:p>
      <w:pPr>
        <w:spacing w:line="480" w:lineRule="exact"/>
        <w:rPr>
          <w:b/>
          <w:color w:val="000000"/>
          <w:sz w:val="24"/>
          <w:szCs w:val="24"/>
        </w:rPr>
      </w:pPr>
      <w:r>
        <w:rPr>
          <w:rFonts w:hint="eastAsia"/>
          <w:color w:val="000000"/>
          <w:sz w:val="24"/>
          <w:szCs w:val="24"/>
        </w:rPr>
        <w:t xml:space="preserve">  25.1资格审查通过后，采购人将组织评标委员会（以下简称评委会）进行评标。</w:t>
      </w:r>
    </w:p>
    <w:p>
      <w:pPr>
        <w:spacing w:line="480" w:lineRule="exact"/>
        <w:rPr>
          <w:color w:val="000000"/>
          <w:sz w:val="24"/>
          <w:szCs w:val="24"/>
        </w:rPr>
      </w:pPr>
      <w:r>
        <w:rPr>
          <w:rFonts w:hint="eastAsia"/>
          <w:color w:val="000000"/>
          <w:sz w:val="24"/>
          <w:szCs w:val="24"/>
        </w:rPr>
        <w:t xml:space="preserve"> 25.2 评委会由采购人代表和有关技术、经济等方面的专家组成，且人员构成符合政府采购有关规定。</w:t>
      </w:r>
    </w:p>
    <w:p>
      <w:pPr>
        <w:spacing w:line="480" w:lineRule="exact"/>
        <w:rPr>
          <w:color w:val="000000"/>
          <w:sz w:val="24"/>
          <w:szCs w:val="24"/>
        </w:rPr>
      </w:pPr>
      <w:r>
        <w:rPr>
          <w:rFonts w:hint="eastAsia"/>
          <w:color w:val="000000"/>
          <w:sz w:val="24"/>
          <w:szCs w:val="24"/>
        </w:rPr>
        <w:t xml:space="preserve">  25.3评委会独立工作，负责评审所有投标文件并确定中标侯选人。</w:t>
      </w:r>
    </w:p>
    <w:p>
      <w:pPr>
        <w:pStyle w:val="7"/>
        <w:spacing w:before="0" w:after="0" w:line="480" w:lineRule="exact"/>
        <w:ind w:firstLine="420" w:firstLineChars="150"/>
        <w:rPr>
          <w:rFonts w:ascii="黑体"/>
          <w:b w:val="0"/>
          <w:bCs w:val="0"/>
          <w:color w:val="000000"/>
        </w:rPr>
      </w:pPr>
      <w:r>
        <w:rPr>
          <w:rFonts w:hint="eastAsia" w:ascii="黑体"/>
          <w:b w:val="0"/>
          <w:bCs w:val="0"/>
          <w:color w:val="000000"/>
        </w:rPr>
        <w:t>26、评标过程的保密与公正</w:t>
      </w:r>
    </w:p>
    <w:p>
      <w:pPr>
        <w:spacing w:line="480" w:lineRule="exact"/>
        <w:ind w:firstLine="480" w:firstLineChars="200"/>
        <w:rPr>
          <w:bCs/>
          <w:color w:val="000000"/>
          <w:sz w:val="24"/>
        </w:rPr>
      </w:pPr>
      <w:r>
        <w:rPr>
          <w:rFonts w:hint="eastAsia"/>
          <w:color w:val="000000"/>
          <w:sz w:val="24"/>
        </w:rPr>
        <w:t>26.1</w:t>
      </w:r>
      <w:r>
        <w:rPr>
          <w:rFonts w:hint="eastAsia"/>
          <w:bCs/>
          <w:color w:val="000000"/>
          <w:sz w:val="24"/>
        </w:rPr>
        <w:t>公开开标后，直至签订合同之日止，凡是与审查、澄清、评价和比较投标的有关资料以及授标建议等，采购人、评委、采购人均不得向投标人或与评标无关的其他人员透露。</w:t>
      </w:r>
    </w:p>
    <w:p>
      <w:pPr>
        <w:spacing w:line="480" w:lineRule="exact"/>
        <w:ind w:firstLine="480" w:firstLineChars="200"/>
        <w:rPr>
          <w:color w:val="000000"/>
          <w:sz w:val="24"/>
          <w:szCs w:val="24"/>
        </w:rPr>
      </w:pPr>
      <w:r>
        <w:rPr>
          <w:rFonts w:hint="eastAsia"/>
          <w:color w:val="000000"/>
          <w:sz w:val="24"/>
        </w:rPr>
        <w:t>26.2</w:t>
      </w:r>
      <w:r>
        <w:rPr>
          <w:rFonts w:hint="eastAsia"/>
          <w:color w:val="000000"/>
          <w:sz w:val="24"/>
          <w:szCs w:val="24"/>
        </w:rPr>
        <w:t>在评标过程中，投标人不得以任何行为影响评标过程，否则其投标文件将被作为无效投标文件。</w:t>
      </w:r>
    </w:p>
    <w:p>
      <w:pPr>
        <w:spacing w:line="480" w:lineRule="exact"/>
        <w:ind w:firstLine="480" w:firstLineChars="200"/>
        <w:rPr>
          <w:color w:val="000000"/>
          <w:sz w:val="24"/>
          <w:szCs w:val="24"/>
        </w:rPr>
      </w:pPr>
      <w:r>
        <w:rPr>
          <w:rFonts w:hint="eastAsia"/>
          <w:color w:val="000000"/>
          <w:sz w:val="24"/>
        </w:rPr>
        <w:t>26.3</w:t>
      </w:r>
      <w:r>
        <w:rPr>
          <w:rFonts w:hint="eastAsia"/>
          <w:color w:val="000000"/>
          <w:sz w:val="24"/>
          <w:szCs w:val="24"/>
        </w:rPr>
        <w:t>在评标期间，采购人将设专门人员与投标人联系。</w:t>
      </w:r>
    </w:p>
    <w:p>
      <w:pPr>
        <w:spacing w:line="480" w:lineRule="exact"/>
        <w:ind w:firstLine="480" w:firstLineChars="200"/>
        <w:rPr>
          <w:color w:val="000000"/>
          <w:sz w:val="24"/>
          <w:szCs w:val="24"/>
        </w:rPr>
      </w:pPr>
      <w:r>
        <w:rPr>
          <w:rFonts w:hint="eastAsia"/>
          <w:color w:val="000000"/>
          <w:sz w:val="24"/>
          <w:szCs w:val="24"/>
        </w:rPr>
        <w:t>26.4 采购人和评标委员会不向落标的投标人解释未中标原因，也不公布评标过程中的相关细节。</w:t>
      </w:r>
    </w:p>
    <w:p>
      <w:pPr>
        <w:spacing w:line="480" w:lineRule="exact"/>
        <w:ind w:firstLine="480" w:firstLineChars="200"/>
        <w:rPr>
          <w:color w:val="000000"/>
          <w:sz w:val="24"/>
          <w:szCs w:val="24"/>
        </w:rPr>
      </w:pPr>
      <w:r>
        <w:rPr>
          <w:rFonts w:hint="eastAsia"/>
          <w:color w:val="000000"/>
          <w:sz w:val="24"/>
          <w:szCs w:val="24"/>
        </w:rPr>
        <w:t>26.5 采用综合评分法的项目，未中标的投标人如需了解自己的评审得分及排序情况，可向采购人提出申请。</w:t>
      </w:r>
    </w:p>
    <w:p>
      <w:pPr>
        <w:pStyle w:val="7"/>
        <w:spacing w:before="0" w:after="0" w:line="480" w:lineRule="exact"/>
        <w:ind w:firstLine="420" w:firstLineChars="150"/>
        <w:rPr>
          <w:b w:val="0"/>
          <w:bCs w:val="0"/>
          <w:color w:val="000000"/>
        </w:rPr>
      </w:pPr>
      <w:r>
        <w:rPr>
          <w:rFonts w:hint="eastAsia"/>
          <w:b w:val="0"/>
          <w:bCs w:val="0"/>
          <w:color w:val="000000"/>
        </w:rPr>
        <w:t>27、投标的澄清</w:t>
      </w:r>
    </w:p>
    <w:p>
      <w:pPr>
        <w:spacing w:line="480" w:lineRule="exact"/>
        <w:ind w:firstLine="480" w:firstLineChars="200"/>
        <w:rPr>
          <w:color w:val="000000"/>
          <w:sz w:val="24"/>
          <w:szCs w:val="24"/>
        </w:rPr>
      </w:pPr>
      <w:r>
        <w:rPr>
          <w:color w:val="000000"/>
          <w:sz w:val="24"/>
          <w:szCs w:val="24"/>
        </w:rPr>
        <w:t>2</w:t>
      </w:r>
      <w:r>
        <w:rPr>
          <w:rFonts w:hint="eastAsia"/>
          <w:color w:val="000000"/>
          <w:sz w:val="24"/>
          <w:szCs w:val="24"/>
        </w:rPr>
        <w:t>7.</w:t>
      </w:r>
      <w:r>
        <w:rPr>
          <w:color w:val="000000"/>
          <w:sz w:val="24"/>
          <w:szCs w:val="24"/>
        </w:rPr>
        <w:t>1</w:t>
      </w:r>
      <w:r>
        <w:rPr>
          <w:rFonts w:hint="eastAsia"/>
          <w:color w:val="000000"/>
          <w:sz w:val="24"/>
          <w:szCs w:val="24"/>
        </w:rPr>
        <w:t>评标期间，为有助于对投标文件的审查、评价和比较，评委会有权以书面形式要求投标人对其投标文件进行澄清，但并非对每个投标人都作澄清要求。</w:t>
      </w:r>
    </w:p>
    <w:p>
      <w:pPr>
        <w:spacing w:line="480" w:lineRule="exact"/>
        <w:rPr>
          <w:color w:val="000000"/>
          <w:sz w:val="24"/>
          <w:szCs w:val="24"/>
        </w:rPr>
      </w:pPr>
      <w:r>
        <w:rPr>
          <w:rFonts w:hint="eastAsia"/>
          <w:color w:val="000000"/>
          <w:sz w:val="24"/>
          <w:szCs w:val="24"/>
        </w:rPr>
        <w:t xml:space="preserve">    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480" w:lineRule="exact"/>
        <w:rPr>
          <w:color w:val="000000"/>
          <w:sz w:val="24"/>
          <w:szCs w:val="24"/>
        </w:rPr>
      </w:pPr>
      <w:r>
        <w:rPr>
          <w:rFonts w:hint="eastAsia"/>
          <w:color w:val="000000"/>
          <w:sz w:val="24"/>
          <w:szCs w:val="24"/>
        </w:rPr>
        <w:t xml:space="preserve">    27.3 接到评委会澄清要求的投标人如未按规定做出澄清，其风险由投标人自行承担。</w:t>
      </w:r>
    </w:p>
    <w:p>
      <w:pPr>
        <w:pStyle w:val="7"/>
        <w:spacing w:before="0" w:after="0" w:line="480" w:lineRule="exact"/>
        <w:ind w:firstLine="420" w:firstLineChars="150"/>
        <w:rPr>
          <w:b w:val="0"/>
          <w:bCs w:val="0"/>
          <w:color w:val="000000"/>
        </w:rPr>
      </w:pPr>
      <w:r>
        <w:rPr>
          <w:rFonts w:hint="eastAsia"/>
          <w:b w:val="0"/>
          <w:bCs w:val="0"/>
          <w:color w:val="000000"/>
        </w:rPr>
        <w:t>28、对投标文件的评审</w:t>
      </w:r>
    </w:p>
    <w:p>
      <w:pPr>
        <w:spacing w:line="480" w:lineRule="exact"/>
        <w:ind w:firstLine="480" w:firstLineChars="200"/>
        <w:rPr>
          <w:bCs/>
          <w:color w:val="000000"/>
          <w:sz w:val="24"/>
        </w:rPr>
      </w:pPr>
      <w:r>
        <w:rPr>
          <w:rFonts w:hint="eastAsia"/>
          <w:color w:val="000000"/>
          <w:sz w:val="24"/>
        </w:rPr>
        <w:t>28.1</w:t>
      </w:r>
      <w:r>
        <w:rPr>
          <w:rFonts w:hint="eastAsia"/>
          <w:bCs/>
          <w:color w:val="000000"/>
          <w:sz w:val="24"/>
        </w:rPr>
        <w:t>符合性检查：依据招标文件的规定，从投标文件的有效性、完整性和对招标文件的响应程度进行审查，以确定是否对招标文件的实质性要求作出响应。</w:t>
      </w:r>
    </w:p>
    <w:p>
      <w:pPr>
        <w:spacing w:line="480" w:lineRule="exact"/>
        <w:ind w:firstLine="480" w:firstLineChars="200"/>
        <w:rPr>
          <w:color w:val="000000"/>
          <w:sz w:val="24"/>
          <w:szCs w:val="24"/>
        </w:rPr>
      </w:pPr>
      <w:r>
        <w:rPr>
          <w:rFonts w:hint="eastAsia"/>
          <w:color w:val="000000"/>
          <w:sz w:val="24"/>
        </w:rPr>
        <w:t>28.2</w:t>
      </w:r>
      <w:r>
        <w:rPr>
          <w:rFonts w:hint="eastAsia"/>
          <w:color w:val="000000"/>
          <w:sz w:val="24"/>
          <w:szCs w:val="24"/>
        </w:rPr>
        <w:t>在详细评标之前，评委会将首先审查每份投标文件是否实质性响应了招标文件的要求。实质性响应的投标应该是与招标文件要求的全部条款、条件和规格相符，没有重大偏离或保留的投标。</w:t>
      </w:r>
    </w:p>
    <w:p>
      <w:pPr>
        <w:spacing w:line="480" w:lineRule="exact"/>
        <w:ind w:firstLine="480" w:firstLineChars="200"/>
        <w:rPr>
          <w:bCs/>
          <w:color w:val="000000"/>
          <w:sz w:val="24"/>
        </w:rPr>
      </w:pPr>
      <w:r>
        <w:rPr>
          <w:rFonts w:hint="eastAsia"/>
          <w:color w:val="000000"/>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bCs/>
          <w:color w:val="000000"/>
          <w:sz w:val="24"/>
        </w:rPr>
        <w:t>评委决定投标文件的响应性只根据投标文件本身的内容，而不寻求外部的证据。</w:t>
      </w:r>
    </w:p>
    <w:p>
      <w:pPr>
        <w:spacing w:line="480" w:lineRule="exact"/>
        <w:ind w:firstLine="480" w:firstLineChars="200"/>
        <w:rPr>
          <w:bCs/>
          <w:color w:val="000000"/>
          <w:sz w:val="24"/>
        </w:rPr>
      </w:pPr>
      <w:r>
        <w:rPr>
          <w:rFonts w:hint="eastAsia"/>
          <w:color w:val="000000"/>
          <w:sz w:val="24"/>
        </w:rPr>
        <w:t>28.3</w:t>
      </w:r>
      <w:r>
        <w:rPr>
          <w:rFonts w:hint="eastAsia"/>
          <w:bCs/>
          <w:color w:val="000000"/>
          <w:sz w:val="24"/>
        </w:rPr>
        <w:t>如果投标文件实质上没有响应招标文件的要求，评委会将按无效投标处理，投标人不得通过修改或撤销不合要求的偏离或保留而使其投标成为实质性响应的投标。</w:t>
      </w:r>
    </w:p>
    <w:p>
      <w:pPr>
        <w:spacing w:line="480" w:lineRule="exact"/>
        <w:ind w:firstLine="480" w:firstLineChars="200"/>
        <w:rPr>
          <w:bCs/>
          <w:color w:val="000000"/>
          <w:sz w:val="24"/>
        </w:rPr>
      </w:pPr>
      <w:r>
        <w:rPr>
          <w:rFonts w:hint="eastAsia"/>
          <w:color w:val="000000"/>
          <w:sz w:val="24"/>
        </w:rPr>
        <w:t>28.4</w:t>
      </w:r>
      <w:r>
        <w:rPr>
          <w:rFonts w:hint="eastAsia"/>
          <w:bCs/>
          <w:color w:val="000000"/>
          <w:sz w:val="24"/>
        </w:rPr>
        <w:t>评委会将对确定为实质性响应的投标进行进一步审核，看其是否有计算上或累加上的算术错误，修正错误的原则如下：</w:t>
      </w:r>
    </w:p>
    <w:p>
      <w:pPr>
        <w:spacing w:line="480" w:lineRule="exact"/>
        <w:ind w:firstLine="480" w:firstLineChars="200"/>
        <w:rPr>
          <w:bCs/>
          <w:color w:val="000000"/>
          <w:sz w:val="24"/>
        </w:rPr>
      </w:pPr>
      <w:r>
        <w:rPr>
          <w:rFonts w:hint="eastAsia"/>
          <w:bCs/>
          <w:color w:val="000000"/>
          <w:sz w:val="24"/>
        </w:rPr>
        <w:t>（1）投标文件中开标一览表内容与投标文件中相应内容不一致的，以开标一览表为准。</w:t>
      </w:r>
    </w:p>
    <w:p>
      <w:pPr>
        <w:spacing w:line="480" w:lineRule="exact"/>
        <w:ind w:firstLine="480" w:firstLineChars="200"/>
        <w:rPr>
          <w:bCs/>
          <w:color w:val="000000"/>
          <w:sz w:val="24"/>
        </w:rPr>
      </w:pPr>
      <w:r>
        <w:rPr>
          <w:rFonts w:hint="eastAsia"/>
          <w:bCs/>
          <w:color w:val="000000"/>
          <w:sz w:val="24"/>
        </w:rPr>
        <w:t>（2）大写金额和小写金额不一致的，以大写金额为准。</w:t>
      </w:r>
    </w:p>
    <w:p>
      <w:pPr>
        <w:spacing w:line="480" w:lineRule="exact"/>
        <w:ind w:firstLine="480" w:firstLineChars="200"/>
        <w:rPr>
          <w:bCs/>
          <w:color w:val="000000"/>
          <w:sz w:val="24"/>
        </w:rPr>
      </w:pPr>
      <w:r>
        <w:rPr>
          <w:rFonts w:hint="eastAsia"/>
          <w:bCs/>
          <w:color w:val="000000"/>
          <w:sz w:val="24"/>
        </w:rPr>
        <w:t>（3）单价金额小数点或者百分比有明显错位的，以开标一览表的总价为准，并修改单价。</w:t>
      </w:r>
    </w:p>
    <w:p>
      <w:pPr>
        <w:spacing w:line="480" w:lineRule="exact"/>
        <w:ind w:firstLine="480" w:firstLineChars="200"/>
        <w:rPr>
          <w:bCs/>
          <w:color w:val="000000"/>
          <w:sz w:val="24"/>
        </w:rPr>
      </w:pPr>
      <w:r>
        <w:rPr>
          <w:rFonts w:hint="eastAsia"/>
          <w:bCs/>
          <w:color w:val="000000"/>
          <w:sz w:val="24"/>
        </w:rPr>
        <w:t>（4）总价金额与按单价汇总金额不一致的，以单价金额计算结果为准。</w:t>
      </w:r>
    </w:p>
    <w:p>
      <w:pPr>
        <w:spacing w:line="480" w:lineRule="exact"/>
        <w:ind w:firstLine="480" w:firstLineChars="200"/>
        <w:rPr>
          <w:bCs/>
          <w:color w:val="000000"/>
          <w:sz w:val="24"/>
        </w:rPr>
      </w:pPr>
      <w:r>
        <w:rPr>
          <w:rFonts w:hint="eastAsia"/>
          <w:bCs/>
          <w:color w:val="000000"/>
          <w:sz w:val="24"/>
        </w:rPr>
        <w:t>同时出现两种以上错误的，按照前款规定的顺序修正。</w:t>
      </w:r>
    </w:p>
    <w:p>
      <w:pPr>
        <w:spacing w:line="480" w:lineRule="exact"/>
        <w:ind w:firstLine="480" w:firstLineChars="200"/>
        <w:rPr>
          <w:bCs/>
          <w:color w:val="000000"/>
          <w:sz w:val="24"/>
        </w:rPr>
      </w:pPr>
      <w:r>
        <w:rPr>
          <w:rFonts w:hint="eastAsia"/>
          <w:color w:val="000000"/>
          <w:sz w:val="24"/>
        </w:rPr>
        <w:t>28.5</w:t>
      </w:r>
      <w:r>
        <w:rPr>
          <w:rFonts w:hint="eastAsia"/>
          <w:bCs/>
          <w:color w:val="000000"/>
          <w:sz w:val="24"/>
        </w:rPr>
        <w:t>评委会将按上述修正错误的方法调整投标文件中的投标报价，调整后的价格应对投标人具有约束力。如果投标人不接受修正后的价格，则其投标将被拒绝。</w:t>
      </w:r>
    </w:p>
    <w:p>
      <w:pPr>
        <w:spacing w:line="480" w:lineRule="exact"/>
        <w:ind w:firstLine="480" w:firstLineChars="200"/>
        <w:rPr>
          <w:bCs/>
          <w:color w:val="000000"/>
          <w:sz w:val="24"/>
        </w:rPr>
      </w:pPr>
      <w:r>
        <w:rPr>
          <w:rFonts w:hint="eastAsia"/>
          <w:color w:val="000000"/>
          <w:sz w:val="24"/>
        </w:rPr>
        <w:t>28.6</w:t>
      </w:r>
      <w:r>
        <w:rPr>
          <w:rFonts w:hint="eastAsia"/>
          <w:bCs/>
          <w:color w:val="000000"/>
          <w:sz w:val="24"/>
        </w:rPr>
        <w:t>评委会将允许修正投标文件中不构成重大偏离的、微小的、非正规的、不一致的或不规则的地方，但这些修改不能影响任何投标人相应的名次排列。</w:t>
      </w:r>
    </w:p>
    <w:p>
      <w:pPr>
        <w:spacing w:line="480" w:lineRule="exact"/>
        <w:ind w:firstLine="480" w:firstLineChars="200"/>
        <w:rPr>
          <w:color w:val="000000"/>
          <w:sz w:val="24"/>
        </w:rPr>
      </w:pPr>
      <w:r>
        <w:rPr>
          <w:rFonts w:hint="eastAsia"/>
          <w:color w:val="000000"/>
          <w:sz w:val="24"/>
        </w:rPr>
        <w:t>28.7</w:t>
      </w:r>
      <w:r>
        <w:rPr>
          <w:b/>
          <w:color w:val="000000"/>
          <w:sz w:val="24"/>
        </w:rPr>
        <w:t>采用最低评标价法的采购项目，</w:t>
      </w:r>
      <w:r>
        <w:rPr>
          <w:color w:val="000000"/>
          <w:sz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pacing w:line="480" w:lineRule="exact"/>
        <w:ind w:firstLine="480" w:firstLineChars="200"/>
        <w:rPr>
          <w:color w:val="000000"/>
          <w:sz w:val="24"/>
        </w:rPr>
      </w:pPr>
      <w:r>
        <w:rPr>
          <w:b/>
          <w:color w:val="000000"/>
          <w:sz w:val="24"/>
        </w:rPr>
        <w:t>使用综合评分法的采购项目，</w:t>
      </w:r>
      <w:r>
        <w:rPr>
          <w:color w:val="000000"/>
          <w:sz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80" w:lineRule="exact"/>
        <w:ind w:firstLine="120" w:firstLineChars="50"/>
        <w:rPr>
          <w:color w:val="000000"/>
          <w:sz w:val="24"/>
        </w:rPr>
      </w:pPr>
      <w:r>
        <w:rPr>
          <w:color w:val="000000"/>
          <w:sz w:val="24"/>
        </w:rPr>
        <w:t>　</w:t>
      </w:r>
      <w:r>
        <w:rPr>
          <w:b/>
          <w:color w:val="000000"/>
          <w:sz w:val="24"/>
        </w:rPr>
        <w:t>非单一产品采购项目，</w:t>
      </w:r>
      <w:r>
        <w:rPr>
          <w:color w:val="000000"/>
          <w:sz w:val="24"/>
        </w:rPr>
        <w:t>采购人应当根据采购项目技术构成、产品价格比重等合理确定核心产品，并在招标文件中载明。多家投标人提供的核心产品品牌相同的，按前两款规定处理。</w:t>
      </w:r>
      <w:r>
        <w:rPr>
          <w:rFonts w:hint="eastAsia"/>
          <w:color w:val="000000"/>
          <w:sz w:val="24"/>
        </w:rPr>
        <w:t xml:space="preserve">   (87号令第31条)</w:t>
      </w:r>
    </w:p>
    <w:p>
      <w:pPr>
        <w:pStyle w:val="7"/>
        <w:spacing w:before="0" w:after="0" w:line="480" w:lineRule="exact"/>
        <w:ind w:firstLine="420" w:firstLineChars="150"/>
        <w:rPr>
          <w:b w:val="0"/>
          <w:bCs w:val="0"/>
          <w:color w:val="000000"/>
        </w:rPr>
      </w:pPr>
      <w:r>
        <w:rPr>
          <w:rFonts w:hint="eastAsia"/>
          <w:b w:val="0"/>
          <w:bCs w:val="0"/>
          <w:color w:val="000000"/>
        </w:rPr>
        <w:t>29、无效投标条款和废标条款</w:t>
      </w:r>
    </w:p>
    <w:p>
      <w:pPr>
        <w:spacing w:line="480" w:lineRule="exact"/>
        <w:ind w:left="479" w:leftChars="228"/>
        <w:rPr>
          <w:bCs/>
          <w:color w:val="000000"/>
          <w:sz w:val="24"/>
        </w:rPr>
      </w:pPr>
      <w:r>
        <w:rPr>
          <w:rFonts w:hint="eastAsia"/>
          <w:bCs/>
          <w:color w:val="000000"/>
          <w:sz w:val="24"/>
        </w:rPr>
        <w:t>29.1无效投标条款</w:t>
      </w:r>
    </w:p>
    <w:p>
      <w:pPr>
        <w:spacing w:line="480" w:lineRule="exact"/>
        <w:ind w:firstLine="480" w:firstLineChars="200"/>
        <w:rPr>
          <w:bCs/>
          <w:color w:val="000000"/>
          <w:sz w:val="24"/>
        </w:rPr>
      </w:pPr>
      <w:r>
        <w:rPr>
          <w:rFonts w:hint="eastAsia"/>
          <w:bCs/>
          <w:color w:val="000000"/>
          <w:sz w:val="24"/>
        </w:rPr>
        <w:t>29.1.1未按照招标文件规定要求密封、签署、盖章的；</w:t>
      </w:r>
    </w:p>
    <w:p>
      <w:pPr>
        <w:spacing w:line="480" w:lineRule="exact"/>
        <w:ind w:left="479" w:leftChars="228"/>
        <w:rPr>
          <w:bCs/>
          <w:color w:val="000000"/>
          <w:sz w:val="24"/>
        </w:rPr>
      </w:pPr>
      <w:r>
        <w:rPr>
          <w:rFonts w:hint="eastAsia"/>
          <w:bCs/>
          <w:color w:val="000000"/>
          <w:sz w:val="24"/>
        </w:rPr>
        <w:t>29.1.2投标人在报价时采用选择性报价；</w:t>
      </w:r>
    </w:p>
    <w:p>
      <w:pPr>
        <w:spacing w:line="480" w:lineRule="exact"/>
        <w:ind w:left="479" w:leftChars="228"/>
        <w:rPr>
          <w:bCs/>
          <w:color w:val="000000"/>
          <w:sz w:val="24"/>
        </w:rPr>
      </w:pPr>
      <w:r>
        <w:rPr>
          <w:rFonts w:hint="eastAsia"/>
          <w:bCs/>
          <w:color w:val="000000"/>
          <w:sz w:val="24"/>
        </w:rPr>
        <w:t>29.1.3投标人不具备招标文件中规定资格要求的；</w:t>
      </w:r>
    </w:p>
    <w:p>
      <w:pPr>
        <w:spacing w:line="480" w:lineRule="exact"/>
        <w:ind w:firstLine="480" w:firstLineChars="200"/>
        <w:rPr>
          <w:bCs/>
          <w:color w:val="000000"/>
          <w:sz w:val="24"/>
        </w:rPr>
      </w:pPr>
      <w:r>
        <w:rPr>
          <w:rFonts w:hint="eastAsia"/>
          <w:bCs/>
          <w:color w:val="000000"/>
          <w:sz w:val="24"/>
        </w:rPr>
        <w:t>29.1.4投标人的报价超过了采购预算或最高限价的；</w:t>
      </w:r>
    </w:p>
    <w:p>
      <w:pPr>
        <w:spacing w:line="480" w:lineRule="exact"/>
        <w:ind w:firstLine="480" w:firstLineChars="200"/>
        <w:rPr>
          <w:bCs/>
          <w:i/>
          <w:color w:val="000000"/>
          <w:sz w:val="24"/>
          <w:u w:val="single"/>
        </w:rPr>
      </w:pPr>
      <w:r>
        <w:rPr>
          <w:rFonts w:hint="eastAsia"/>
          <w:bCs/>
          <w:color w:val="000000"/>
          <w:sz w:val="24"/>
        </w:rPr>
        <w:t>29.1.5未通过符合性检查的；</w:t>
      </w:r>
    </w:p>
    <w:p>
      <w:pPr>
        <w:spacing w:line="480" w:lineRule="exact"/>
        <w:ind w:firstLine="360" w:firstLineChars="150"/>
        <w:rPr>
          <w:bCs/>
          <w:color w:val="000000"/>
          <w:sz w:val="24"/>
        </w:rPr>
      </w:pPr>
      <w:r>
        <w:rPr>
          <w:rFonts w:hint="eastAsia"/>
          <w:bCs/>
          <w:color w:val="000000"/>
          <w:sz w:val="24"/>
        </w:rPr>
        <w:t xml:space="preserve"> 29.1.6不符合招标文件中规定的其他实质性要求和条件的；</w:t>
      </w:r>
    </w:p>
    <w:p>
      <w:pPr>
        <w:spacing w:line="480" w:lineRule="exact"/>
        <w:ind w:firstLine="480" w:firstLineChars="200"/>
        <w:rPr>
          <w:bCs/>
          <w:color w:val="000000"/>
          <w:sz w:val="24"/>
        </w:rPr>
      </w:pPr>
      <w:r>
        <w:rPr>
          <w:rFonts w:hint="eastAsia"/>
          <w:bCs/>
          <w:color w:val="000000"/>
          <w:sz w:val="24"/>
        </w:rPr>
        <w:t>29.1.7投标人串通投标；</w:t>
      </w:r>
    </w:p>
    <w:p>
      <w:pPr>
        <w:spacing w:line="480" w:lineRule="exact"/>
        <w:ind w:firstLine="480" w:firstLineChars="200"/>
        <w:rPr>
          <w:bCs/>
          <w:color w:val="000000"/>
          <w:sz w:val="24"/>
        </w:rPr>
      </w:pPr>
      <w:r>
        <w:rPr>
          <w:rFonts w:hint="eastAsia"/>
          <w:bCs/>
          <w:color w:val="000000"/>
          <w:sz w:val="24"/>
        </w:rPr>
        <w:t>29.1.8  投标文件含有采购人不能接受的附加条件的。</w:t>
      </w:r>
    </w:p>
    <w:p>
      <w:pPr>
        <w:spacing w:line="480" w:lineRule="exact"/>
        <w:ind w:firstLine="480" w:firstLineChars="200"/>
        <w:rPr>
          <w:bCs/>
          <w:color w:val="000000"/>
          <w:sz w:val="24"/>
        </w:rPr>
      </w:pPr>
      <w:r>
        <w:rPr>
          <w:rFonts w:hint="eastAsia"/>
          <w:bCs/>
          <w:color w:val="000000"/>
          <w:sz w:val="24"/>
        </w:rPr>
        <w:t>29.1.9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80" w:lineRule="exact"/>
        <w:ind w:firstLine="480" w:firstLineChars="200"/>
        <w:rPr>
          <w:bCs/>
          <w:color w:val="000000"/>
          <w:sz w:val="24"/>
        </w:rPr>
      </w:pPr>
      <w:r>
        <w:rPr>
          <w:rFonts w:hint="eastAsia"/>
          <w:bCs/>
          <w:color w:val="000000"/>
          <w:sz w:val="24"/>
        </w:rPr>
        <w:t>29.1.10其他法律、法规及本招标文件规定的属无效投标的情形。</w:t>
      </w:r>
    </w:p>
    <w:p>
      <w:pPr>
        <w:spacing w:line="480" w:lineRule="exact"/>
        <w:ind w:left="479" w:leftChars="228"/>
        <w:rPr>
          <w:bCs/>
          <w:color w:val="000000"/>
          <w:sz w:val="24"/>
        </w:rPr>
      </w:pPr>
      <w:r>
        <w:rPr>
          <w:rFonts w:hint="eastAsia"/>
          <w:bCs/>
          <w:color w:val="000000"/>
          <w:sz w:val="24"/>
        </w:rPr>
        <w:t xml:space="preserve">29.2废标条款：                                                                                                                                                                                                                                                                                                                                                                                                                                                                                                                                                                                                                                                                                                                                                                                                                                                                                                                                                                                                                                                                                                                                                                                                                                                                                                                                                                                                                                                                         </w:t>
      </w:r>
    </w:p>
    <w:p>
      <w:pPr>
        <w:spacing w:line="480" w:lineRule="exact"/>
        <w:ind w:left="479" w:leftChars="228"/>
        <w:rPr>
          <w:bCs/>
          <w:color w:val="000000"/>
          <w:sz w:val="24"/>
        </w:rPr>
      </w:pPr>
      <w:r>
        <w:rPr>
          <w:rFonts w:hint="eastAsia"/>
          <w:bCs/>
          <w:color w:val="000000"/>
          <w:sz w:val="24"/>
        </w:rPr>
        <w:t>29.2.1符合专业条件的供应商或者对招标文件作实质响应的供应商不足三家的；29.2.2出现影响采购公正的违法、违规行为的；</w:t>
      </w:r>
    </w:p>
    <w:p>
      <w:pPr>
        <w:spacing w:line="480" w:lineRule="exact"/>
        <w:ind w:left="479" w:leftChars="228"/>
        <w:rPr>
          <w:bCs/>
          <w:color w:val="000000"/>
          <w:sz w:val="24"/>
        </w:rPr>
      </w:pPr>
      <w:r>
        <w:rPr>
          <w:rFonts w:hint="eastAsia"/>
          <w:bCs/>
          <w:color w:val="000000"/>
          <w:sz w:val="24"/>
        </w:rPr>
        <w:t>29.2.3因重大变故，采购任务取消的；</w:t>
      </w:r>
    </w:p>
    <w:p>
      <w:pPr>
        <w:spacing w:line="480" w:lineRule="exact"/>
        <w:ind w:left="479" w:leftChars="228"/>
        <w:rPr>
          <w:bCs/>
          <w:color w:val="000000"/>
          <w:sz w:val="24"/>
        </w:rPr>
      </w:pPr>
      <w:r>
        <w:rPr>
          <w:rFonts w:hint="eastAsia"/>
          <w:bCs/>
          <w:color w:val="000000"/>
          <w:sz w:val="24"/>
        </w:rPr>
        <w:t>29.2.4评标委员会认定招标文件存在歧义、 重大缺陷导致评审工作无法进行。</w:t>
      </w:r>
    </w:p>
    <w:p>
      <w:pPr>
        <w:spacing w:line="480" w:lineRule="exact"/>
        <w:ind w:left="479" w:leftChars="228"/>
        <w:rPr>
          <w:bCs/>
          <w:color w:val="000000"/>
          <w:sz w:val="24"/>
        </w:rPr>
      </w:pPr>
      <w:r>
        <w:rPr>
          <w:rFonts w:hint="eastAsia"/>
          <w:bCs/>
          <w:color w:val="000000"/>
          <w:sz w:val="24"/>
        </w:rPr>
        <w:t>29.3 投标截止时间结束后参加投标的供应商不足三家的处理：</w:t>
      </w:r>
    </w:p>
    <w:p>
      <w:pPr>
        <w:spacing w:line="480" w:lineRule="exact"/>
        <w:ind w:firstLine="480" w:firstLineChars="200"/>
        <w:rPr>
          <w:bCs/>
          <w:color w:val="000000"/>
          <w:sz w:val="24"/>
        </w:rPr>
      </w:pPr>
      <w:r>
        <w:rPr>
          <w:rFonts w:hint="eastAsia"/>
          <w:bCs/>
          <w:color w:val="000000"/>
          <w:sz w:val="24"/>
        </w:rPr>
        <w:t>29.3.1如出现投标截止时间结束后参加投标的供应商或者在评标期间对招标文件做出实质响应的供应商不足三家情况，按财政部第八十七号令第四十三条的规定执行。</w:t>
      </w:r>
    </w:p>
    <w:p>
      <w:pPr>
        <w:pStyle w:val="6"/>
        <w:spacing w:before="0" w:after="0" w:line="480" w:lineRule="exact"/>
        <w:ind w:firstLine="320" w:firstLineChars="100"/>
        <w:rPr>
          <w:color w:val="000000"/>
        </w:rPr>
      </w:pPr>
      <w:r>
        <w:rPr>
          <w:rFonts w:hint="eastAsia"/>
          <w:color w:val="000000"/>
        </w:rPr>
        <w:t>六、定标</w:t>
      </w:r>
    </w:p>
    <w:p>
      <w:pPr>
        <w:pStyle w:val="7"/>
        <w:spacing w:before="0" w:after="0" w:line="480" w:lineRule="exact"/>
        <w:ind w:firstLine="450" w:firstLineChars="150"/>
        <w:rPr>
          <w:rFonts w:ascii="黑体" w:hAnsi="宋体"/>
          <w:b w:val="0"/>
          <w:color w:val="000000"/>
          <w:sz w:val="30"/>
          <w:szCs w:val="30"/>
        </w:rPr>
      </w:pPr>
      <w:r>
        <w:rPr>
          <w:rFonts w:hint="eastAsia" w:ascii="黑体" w:hAnsi="宋体"/>
          <w:b w:val="0"/>
          <w:color w:val="000000"/>
          <w:sz w:val="30"/>
          <w:szCs w:val="30"/>
        </w:rPr>
        <w:t>30、确定中标单位</w:t>
      </w:r>
    </w:p>
    <w:p>
      <w:pPr>
        <w:spacing w:line="480" w:lineRule="exact"/>
        <w:ind w:firstLine="480" w:firstLineChars="200"/>
        <w:rPr>
          <w:bCs/>
          <w:color w:val="000000"/>
          <w:sz w:val="24"/>
        </w:rPr>
      </w:pPr>
      <w:r>
        <w:rPr>
          <w:rFonts w:hint="eastAsia"/>
          <w:bCs/>
          <w:color w:val="000000"/>
          <w:sz w:val="24"/>
        </w:rPr>
        <w:t>30.1评委会根据本招标文件规定评标方法与评标标准向采购人推荐出中标候选人。</w:t>
      </w:r>
    </w:p>
    <w:p>
      <w:pPr>
        <w:spacing w:line="480" w:lineRule="exact"/>
        <w:ind w:firstLine="480" w:firstLineChars="200"/>
        <w:rPr>
          <w:bCs/>
          <w:color w:val="000000"/>
          <w:sz w:val="24"/>
        </w:rPr>
      </w:pPr>
      <w:r>
        <w:rPr>
          <w:rFonts w:hint="eastAsia"/>
          <w:bCs/>
          <w:color w:val="000000"/>
          <w:sz w:val="24"/>
        </w:rPr>
        <w:t>30.2 采购人应根据评委会推荐的中标候选人确定中标供应商。</w:t>
      </w:r>
    </w:p>
    <w:p>
      <w:pPr>
        <w:spacing w:line="480" w:lineRule="exact"/>
        <w:ind w:firstLine="480" w:firstLineChars="200"/>
        <w:rPr>
          <w:color w:val="000000"/>
          <w:sz w:val="24"/>
          <w:szCs w:val="24"/>
        </w:rPr>
      </w:pPr>
      <w:r>
        <w:rPr>
          <w:rFonts w:hint="eastAsia"/>
          <w:bCs/>
          <w:color w:val="000000"/>
          <w:sz w:val="24"/>
          <w:szCs w:val="24"/>
        </w:rPr>
        <w:t>30.3</w:t>
      </w:r>
      <w:r>
        <w:rPr>
          <w:rFonts w:hint="eastAsia"/>
          <w:color w:val="000000"/>
          <w:sz w:val="24"/>
          <w:szCs w:val="24"/>
        </w:rPr>
        <w:t>采购人将在“盐城幼儿师范高等专科学校网站”发布中标公告，公告期限为1个工作日。</w:t>
      </w:r>
    </w:p>
    <w:p>
      <w:pPr>
        <w:snapToGrid w:val="0"/>
        <w:spacing w:line="480" w:lineRule="exact"/>
        <w:ind w:firstLine="480" w:firstLineChars="200"/>
        <w:rPr>
          <w:color w:val="000000"/>
          <w:sz w:val="24"/>
          <w:szCs w:val="24"/>
        </w:rPr>
      </w:pPr>
      <w:r>
        <w:rPr>
          <w:rFonts w:hint="eastAsia"/>
          <w:color w:val="000000"/>
          <w:sz w:val="24"/>
          <w:szCs w:val="24"/>
        </w:rPr>
        <w:t>30.4若有充分证据证明，中标供应商出现下列情况之一的，一经查实，将被取消中标资格：</w:t>
      </w:r>
    </w:p>
    <w:p>
      <w:pPr>
        <w:snapToGrid w:val="0"/>
        <w:spacing w:line="480" w:lineRule="exact"/>
        <w:ind w:firstLine="480" w:firstLineChars="200"/>
        <w:rPr>
          <w:color w:val="000000"/>
          <w:sz w:val="24"/>
          <w:szCs w:val="24"/>
        </w:rPr>
      </w:pPr>
      <w:r>
        <w:rPr>
          <w:rFonts w:hint="eastAsia"/>
          <w:color w:val="000000"/>
          <w:sz w:val="24"/>
          <w:szCs w:val="24"/>
        </w:rPr>
        <w:t>30.4.1提供虚假材料谋取中标的；</w:t>
      </w:r>
    </w:p>
    <w:p>
      <w:pPr>
        <w:snapToGrid w:val="0"/>
        <w:spacing w:line="480" w:lineRule="exact"/>
        <w:ind w:firstLine="480" w:firstLineChars="200"/>
        <w:rPr>
          <w:color w:val="000000"/>
          <w:sz w:val="24"/>
          <w:szCs w:val="24"/>
        </w:rPr>
      </w:pPr>
      <w:r>
        <w:rPr>
          <w:rFonts w:hint="eastAsia"/>
          <w:color w:val="000000"/>
          <w:sz w:val="24"/>
          <w:szCs w:val="24"/>
        </w:rPr>
        <w:t>30.4.2向采购人、采购人行贿或者提供其他不正当利益的；</w:t>
      </w:r>
    </w:p>
    <w:p>
      <w:pPr>
        <w:snapToGrid w:val="0"/>
        <w:spacing w:line="480" w:lineRule="exact"/>
        <w:ind w:firstLine="480" w:firstLineChars="200"/>
        <w:rPr>
          <w:color w:val="000000"/>
          <w:sz w:val="24"/>
          <w:szCs w:val="24"/>
        </w:rPr>
      </w:pPr>
      <w:r>
        <w:rPr>
          <w:rFonts w:hint="eastAsia"/>
          <w:color w:val="000000"/>
          <w:sz w:val="24"/>
          <w:szCs w:val="24"/>
        </w:rPr>
        <w:t>30.4.3恶意竞争，投标总报价明显低于其自身合理成本且又无法提供证明的；</w:t>
      </w:r>
    </w:p>
    <w:p>
      <w:pPr>
        <w:snapToGrid w:val="0"/>
        <w:spacing w:line="480" w:lineRule="exact"/>
        <w:ind w:firstLine="480" w:firstLineChars="200"/>
        <w:rPr>
          <w:color w:val="000000"/>
          <w:sz w:val="24"/>
          <w:szCs w:val="24"/>
        </w:rPr>
      </w:pPr>
      <w:r>
        <w:rPr>
          <w:rFonts w:hint="eastAsia"/>
          <w:color w:val="000000"/>
          <w:sz w:val="24"/>
          <w:szCs w:val="24"/>
        </w:rPr>
        <w:t>30.4.4属于本文件规定的无效条件，但在评标过程中又未被评委会发现的；</w:t>
      </w:r>
    </w:p>
    <w:p>
      <w:pPr>
        <w:snapToGrid w:val="0"/>
        <w:spacing w:line="480" w:lineRule="exact"/>
        <w:ind w:firstLine="480" w:firstLineChars="200"/>
        <w:rPr>
          <w:color w:val="000000"/>
          <w:sz w:val="24"/>
          <w:szCs w:val="24"/>
        </w:rPr>
      </w:pPr>
      <w:r>
        <w:rPr>
          <w:rFonts w:hint="eastAsia"/>
          <w:color w:val="000000"/>
          <w:sz w:val="24"/>
          <w:szCs w:val="24"/>
        </w:rPr>
        <w:t>30.4.5与采购人或者其他供应商恶意串通的；</w:t>
      </w:r>
    </w:p>
    <w:p>
      <w:pPr>
        <w:snapToGrid w:val="0"/>
        <w:spacing w:line="480" w:lineRule="exact"/>
        <w:ind w:firstLine="480" w:firstLineChars="200"/>
        <w:rPr>
          <w:color w:val="000000"/>
          <w:sz w:val="24"/>
          <w:szCs w:val="24"/>
        </w:rPr>
      </w:pPr>
      <w:r>
        <w:rPr>
          <w:rFonts w:hint="eastAsia"/>
          <w:color w:val="000000"/>
          <w:sz w:val="24"/>
          <w:szCs w:val="24"/>
        </w:rPr>
        <w:t>30.4.6采取不正当手段诋毁、排挤其他供应商的；</w:t>
      </w:r>
    </w:p>
    <w:p>
      <w:pPr>
        <w:snapToGrid w:val="0"/>
        <w:spacing w:line="480" w:lineRule="exact"/>
        <w:ind w:firstLine="480" w:firstLineChars="200"/>
        <w:rPr>
          <w:color w:val="000000"/>
          <w:sz w:val="24"/>
          <w:szCs w:val="24"/>
        </w:rPr>
      </w:pPr>
      <w:r>
        <w:rPr>
          <w:rFonts w:hint="eastAsia"/>
          <w:color w:val="000000"/>
          <w:sz w:val="24"/>
          <w:szCs w:val="24"/>
        </w:rPr>
        <w:t>30.4.7不符合法律、法规的规定的。</w:t>
      </w:r>
    </w:p>
    <w:p>
      <w:pPr>
        <w:snapToGrid w:val="0"/>
        <w:spacing w:line="480" w:lineRule="exact"/>
        <w:ind w:firstLine="480" w:firstLineChars="200"/>
        <w:rPr>
          <w:color w:val="000000"/>
          <w:sz w:val="24"/>
          <w:szCs w:val="24"/>
        </w:rPr>
      </w:pPr>
      <w:r>
        <w:rPr>
          <w:rFonts w:hint="eastAsia"/>
          <w:color w:val="000000"/>
          <w:sz w:val="24"/>
          <w:szCs w:val="24"/>
        </w:rPr>
        <w:t>30.5.</w:t>
      </w:r>
      <w:r>
        <w:rPr>
          <w:color w:val="000000"/>
          <w:kern w:val="0"/>
          <w:sz w:val="24"/>
          <w:szCs w:val="24"/>
        </w:rPr>
        <w:t>有下列情形之一的，</w:t>
      </w:r>
      <w:r>
        <w:rPr>
          <w:rFonts w:hint="eastAsia"/>
          <w:color w:val="000000"/>
          <w:kern w:val="0"/>
          <w:sz w:val="24"/>
          <w:szCs w:val="24"/>
        </w:rPr>
        <w:t>视为投标人</w:t>
      </w:r>
      <w:r>
        <w:rPr>
          <w:color w:val="000000"/>
          <w:kern w:val="0"/>
          <w:sz w:val="24"/>
          <w:szCs w:val="24"/>
        </w:rPr>
        <w:t>串通</w:t>
      </w:r>
      <w:r>
        <w:rPr>
          <w:rFonts w:hint="eastAsia"/>
          <w:color w:val="000000"/>
          <w:kern w:val="0"/>
          <w:sz w:val="24"/>
          <w:szCs w:val="24"/>
        </w:rPr>
        <w:t>投标，投标无效：</w:t>
      </w:r>
    </w:p>
    <w:p>
      <w:pPr>
        <w:snapToGrid w:val="0"/>
        <w:spacing w:line="480" w:lineRule="exact"/>
        <w:ind w:firstLine="480" w:firstLineChars="200"/>
        <w:rPr>
          <w:color w:val="000000"/>
          <w:sz w:val="24"/>
          <w:szCs w:val="24"/>
        </w:rPr>
      </w:pPr>
      <w:r>
        <w:rPr>
          <w:rFonts w:hint="eastAsia"/>
          <w:color w:val="000000"/>
          <w:sz w:val="24"/>
          <w:szCs w:val="24"/>
        </w:rPr>
        <w:t>30.5.1不同投标人的投标文件由同一单位或者个人编制。</w:t>
      </w:r>
    </w:p>
    <w:p>
      <w:pPr>
        <w:snapToGrid w:val="0"/>
        <w:spacing w:line="480" w:lineRule="exact"/>
        <w:ind w:firstLine="480" w:firstLineChars="200"/>
        <w:rPr>
          <w:color w:val="000000"/>
          <w:sz w:val="24"/>
          <w:szCs w:val="24"/>
        </w:rPr>
      </w:pPr>
      <w:r>
        <w:rPr>
          <w:rFonts w:hint="eastAsia"/>
          <w:color w:val="000000"/>
          <w:sz w:val="24"/>
          <w:szCs w:val="24"/>
        </w:rPr>
        <w:t>30.5.2不同投标人委托同一单位或者个人办理投标事宜。</w:t>
      </w:r>
    </w:p>
    <w:p>
      <w:pPr>
        <w:snapToGrid w:val="0"/>
        <w:spacing w:line="480" w:lineRule="exact"/>
        <w:ind w:firstLine="480" w:firstLineChars="200"/>
        <w:rPr>
          <w:color w:val="000000"/>
          <w:sz w:val="24"/>
          <w:szCs w:val="24"/>
        </w:rPr>
      </w:pPr>
      <w:r>
        <w:rPr>
          <w:rFonts w:hint="eastAsia"/>
          <w:color w:val="000000"/>
          <w:sz w:val="24"/>
          <w:szCs w:val="24"/>
        </w:rPr>
        <w:t>30.5.3 不同投标人的投标文件载明的项目管理成员或者联系人员为同一人。</w:t>
      </w:r>
    </w:p>
    <w:p>
      <w:pPr>
        <w:snapToGrid w:val="0"/>
        <w:spacing w:line="480" w:lineRule="exact"/>
        <w:ind w:firstLine="480" w:firstLineChars="200"/>
        <w:rPr>
          <w:color w:val="000000"/>
          <w:sz w:val="24"/>
          <w:szCs w:val="24"/>
        </w:rPr>
      </w:pPr>
      <w:r>
        <w:rPr>
          <w:rFonts w:hint="eastAsia"/>
          <w:color w:val="000000"/>
          <w:sz w:val="24"/>
          <w:szCs w:val="24"/>
        </w:rPr>
        <w:t>30.5.4不同投标人的投标文件异常一致或者投标报价呈规律性差异。</w:t>
      </w:r>
    </w:p>
    <w:p>
      <w:pPr>
        <w:snapToGrid w:val="0"/>
        <w:spacing w:line="480" w:lineRule="exact"/>
        <w:ind w:firstLine="480" w:firstLineChars="200"/>
        <w:rPr>
          <w:color w:val="000000"/>
          <w:sz w:val="24"/>
          <w:szCs w:val="24"/>
        </w:rPr>
      </w:pPr>
      <w:r>
        <w:rPr>
          <w:rFonts w:hint="eastAsia"/>
          <w:color w:val="000000"/>
          <w:sz w:val="24"/>
          <w:szCs w:val="24"/>
        </w:rPr>
        <w:t>30.5.5不同投标人的投标文件相互混装。</w:t>
      </w:r>
    </w:p>
    <w:p>
      <w:pPr>
        <w:pStyle w:val="7"/>
        <w:tabs>
          <w:tab w:val="left" w:pos="4120"/>
        </w:tabs>
        <w:spacing w:before="0" w:after="0" w:line="480" w:lineRule="exact"/>
        <w:ind w:firstLine="450" w:firstLineChars="150"/>
        <w:rPr>
          <w:rFonts w:ascii="黑体" w:hAnsi="宋体"/>
          <w:b w:val="0"/>
          <w:color w:val="000000"/>
          <w:sz w:val="30"/>
          <w:szCs w:val="30"/>
        </w:rPr>
      </w:pPr>
      <w:r>
        <w:rPr>
          <w:rFonts w:hint="eastAsia" w:ascii="黑体" w:hAnsi="宋体"/>
          <w:b w:val="0"/>
          <w:color w:val="000000"/>
          <w:sz w:val="30"/>
          <w:szCs w:val="30"/>
        </w:rPr>
        <w:t>31、质疑处理</w:t>
      </w:r>
      <w:r>
        <w:rPr>
          <w:rFonts w:ascii="黑体" w:hAnsi="宋体"/>
          <w:b w:val="0"/>
          <w:color w:val="000000"/>
          <w:sz w:val="30"/>
          <w:szCs w:val="30"/>
        </w:rPr>
        <w:tab/>
      </w:r>
    </w:p>
    <w:p>
      <w:pPr>
        <w:snapToGrid w:val="0"/>
        <w:spacing w:line="480" w:lineRule="exact"/>
        <w:ind w:firstLine="480" w:firstLineChars="200"/>
        <w:rPr>
          <w:color w:val="000000"/>
          <w:sz w:val="24"/>
          <w:szCs w:val="24"/>
        </w:rPr>
      </w:pPr>
      <w:r>
        <w:rPr>
          <w:rFonts w:hint="eastAsia"/>
          <w:color w:val="000000"/>
          <w:sz w:val="24"/>
          <w:szCs w:val="24"/>
        </w:rPr>
        <w:t>31.1参加投标供应商认为招标文件、采购过程和中标结果使自己的权益受到损害的，可以在知道或应知其权益受到损害之日起七个工作日内，以书面形式向采购人或采购人提出质疑。上述应知其权益受到损害之日，是指：</w:t>
      </w:r>
    </w:p>
    <w:p>
      <w:pPr>
        <w:snapToGrid w:val="0"/>
        <w:spacing w:line="480" w:lineRule="exact"/>
        <w:ind w:firstLine="480" w:firstLineChars="200"/>
        <w:rPr>
          <w:color w:val="000000"/>
          <w:sz w:val="24"/>
          <w:szCs w:val="24"/>
        </w:rPr>
      </w:pPr>
      <w:r>
        <w:rPr>
          <w:rFonts w:hint="eastAsia"/>
          <w:color w:val="000000"/>
          <w:sz w:val="24"/>
          <w:szCs w:val="24"/>
        </w:rPr>
        <w:t>31.1.1</w:t>
      </w:r>
      <w:r>
        <w:rPr>
          <w:color w:val="000000"/>
          <w:kern w:val="0"/>
          <w:sz w:val="24"/>
          <w:szCs w:val="24"/>
        </w:rPr>
        <w:t>对可以质疑的</w:t>
      </w:r>
      <w:r>
        <w:rPr>
          <w:rFonts w:hint="eastAsia"/>
          <w:color w:val="000000"/>
          <w:kern w:val="0"/>
          <w:sz w:val="24"/>
          <w:szCs w:val="24"/>
        </w:rPr>
        <w:t>招标</w:t>
      </w:r>
      <w:r>
        <w:rPr>
          <w:color w:val="000000"/>
          <w:kern w:val="0"/>
          <w:sz w:val="24"/>
          <w:szCs w:val="24"/>
        </w:rPr>
        <w:t>文件提出质疑的，为收到</w:t>
      </w:r>
      <w:r>
        <w:rPr>
          <w:rFonts w:hint="eastAsia"/>
          <w:color w:val="000000"/>
          <w:kern w:val="0"/>
          <w:sz w:val="24"/>
          <w:szCs w:val="24"/>
        </w:rPr>
        <w:t>招标</w:t>
      </w:r>
      <w:r>
        <w:rPr>
          <w:color w:val="000000"/>
          <w:kern w:val="0"/>
          <w:sz w:val="24"/>
          <w:szCs w:val="24"/>
        </w:rPr>
        <w:t>文件之日或者</w:t>
      </w:r>
      <w:r>
        <w:rPr>
          <w:rFonts w:hint="eastAsia"/>
          <w:color w:val="000000"/>
          <w:kern w:val="0"/>
          <w:sz w:val="24"/>
          <w:szCs w:val="24"/>
        </w:rPr>
        <w:t>招标</w:t>
      </w:r>
      <w:r>
        <w:rPr>
          <w:color w:val="000000"/>
          <w:kern w:val="0"/>
          <w:sz w:val="24"/>
          <w:szCs w:val="24"/>
        </w:rPr>
        <w:t>文件公告期限届满之日；</w:t>
      </w:r>
      <w:r>
        <w:rPr>
          <w:color w:val="000000"/>
          <w:kern w:val="0"/>
          <w:sz w:val="24"/>
          <w:szCs w:val="24"/>
        </w:rPr>
        <w:br w:type="textWrapping"/>
      </w:r>
      <w:r>
        <w:rPr>
          <w:color w:val="000000"/>
          <w:kern w:val="0"/>
          <w:sz w:val="24"/>
          <w:szCs w:val="24"/>
        </w:rPr>
        <w:t>　　</w:t>
      </w:r>
      <w:r>
        <w:rPr>
          <w:rFonts w:hint="eastAsia"/>
          <w:color w:val="000000"/>
          <w:sz w:val="24"/>
          <w:szCs w:val="24"/>
        </w:rPr>
        <w:t>31.1.2</w:t>
      </w:r>
      <w:r>
        <w:rPr>
          <w:color w:val="000000"/>
          <w:kern w:val="0"/>
          <w:sz w:val="24"/>
          <w:szCs w:val="24"/>
        </w:rPr>
        <w:t>对采购过程提出质疑的，为各采购程序环节结束之日；</w:t>
      </w:r>
      <w:r>
        <w:rPr>
          <w:color w:val="000000"/>
          <w:kern w:val="0"/>
          <w:sz w:val="24"/>
          <w:szCs w:val="24"/>
        </w:rPr>
        <w:br w:type="textWrapping"/>
      </w:r>
      <w:r>
        <w:rPr>
          <w:color w:val="000000"/>
          <w:kern w:val="0"/>
          <w:sz w:val="24"/>
          <w:szCs w:val="24"/>
        </w:rPr>
        <w:t>　　</w:t>
      </w:r>
      <w:r>
        <w:rPr>
          <w:rFonts w:hint="eastAsia"/>
          <w:color w:val="000000"/>
          <w:sz w:val="24"/>
          <w:szCs w:val="24"/>
        </w:rPr>
        <w:t>31.1.3</w:t>
      </w:r>
      <w:r>
        <w:rPr>
          <w:color w:val="000000"/>
          <w:kern w:val="0"/>
          <w:sz w:val="24"/>
          <w:szCs w:val="24"/>
        </w:rPr>
        <w:t>对中标结果提出质疑的，为中标结果公告期限届满之日。</w:t>
      </w:r>
    </w:p>
    <w:p>
      <w:pPr>
        <w:snapToGrid w:val="0"/>
        <w:spacing w:line="480" w:lineRule="exact"/>
        <w:ind w:firstLine="472" w:firstLineChars="197"/>
        <w:rPr>
          <w:color w:val="000000"/>
          <w:sz w:val="24"/>
          <w:szCs w:val="24"/>
        </w:rPr>
      </w:pPr>
      <w:r>
        <w:rPr>
          <w:rFonts w:hint="eastAsia"/>
          <w:color w:val="000000"/>
          <w:sz w:val="24"/>
          <w:szCs w:val="24"/>
        </w:rPr>
        <w:t>31.2质疑必须按《政府采购法》、《政府采购法实施条例》及《江苏省政府采购供应商监督管理暂行办法》的相关规定提交，未按上述要求提交的质疑函（含传真、电子邮件等）采购人有权不予受理。</w:t>
      </w:r>
    </w:p>
    <w:p>
      <w:pPr>
        <w:snapToGrid w:val="0"/>
        <w:spacing w:line="480" w:lineRule="exact"/>
        <w:ind w:firstLine="468" w:firstLineChars="195"/>
        <w:rPr>
          <w:color w:val="000000"/>
          <w:sz w:val="24"/>
          <w:szCs w:val="24"/>
        </w:rPr>
      </w:pPr>
      <w:r>
        <w:rPr>
          <w:rFonts w:hint="eastAsia"/>
          <w:color w:val="000000"/>
          <w:sz w:val="24"/>
          <w:szCs w:val="24"/>
        </w:rPr>
        <w:t>31.3未参加投标活动的供应商或在投标活动中自身权益未受到损害的供应商所提出的质疑不予受理。</w:t>
      </w:r>
    </w:p>
    <w:p>
      <w:pPr>
        <w:snapToGrid w:val="0"/>
        <w:spacing w:line="480" w:lineRule="exact"/>
        <w:ind w:firstLine="468" w:firstLineChars="195"/>
        <w:rPr>
          <w:color w:val="000000"/>
          <w:sz w:val="24"/>
          <w:szCs w:val="24"/>
        </w:rPr>
      </w:pPr>
      <w:r>
        <w:rPr>
          <w:rFonts w:hint="eastAsia"/>
          <w:color w:val="000000"/>
          <w:sz w:val="24"/>
          <w:szCs w:val="24"/>
        </w:rPr>
        <w:t>31.4质疑函应当包括下列内容：</w:t>
      </w:r>
    </w:p>
    <w:p>
      <w:pPr>
        <w:snapToGrid w:val="0"/>
        <w:spacing w:line="480" w:lineRule="exact"/>
        <w:ind w:firstLine="468" w:firstLineChars="195"/>
        <w:rPr>
          <w:color w:val="000000"/>
          <w:sz w:val="24"/>
          <w:szCs w:val="24"/>
        </w:rPr>
      </w:pPr>
      <w:r>
        <w:rPr>
          <w:rFonts w:hint="eastAsia"/>
          <w:color w:val="000000"/>
          <w:sz w:val="24"/>
          <w:szCs w:val="24"/>
        </w:rPr>
        <w:t>31.4.1质疑投标人的名称、地址、邮编、联系人、联系电话；</w:t>
      </w:r>
    </w:p>
    <w:p>
      <w:pPr>
        <w:snapToGrid w:val="0"/>
        <w:spacing w:line="480" w:lineRule="exact"/>
        <w:ind w:firstLine="468" w:firstLineChars="195"/>
        <w:rPr>
          <w:color w:val="000000"/>
          <w:sz w:val="24"/>
          <w:szCs w:val="24"/>
        </w:rPr>
      </w:pPr>
      <w:r>
        <w:rPr>
          <w:rFonts w:hint="eastAsia"/>
          <w:color w:val="000000"/>
          <w:sz w:val="24"/>
          <w:szCs w:val="24"/>
        </w:rPr>
        <w:t>31.4.2具体的质疑事项及明确的请求；</w:t>
      </w:r>
    </w:p>
    <w:p>
      <w:pPr>
        <w:snapToGrid w:val="0"/>
        <w:spacing w:line="480" w:lineRule="exact"/>
        <w:ind w:firstLine="468" w:firstLineChars="195"/>
        <w:rPr>
          <w:color w:val="000000"/>
          <w:sz w:val="24"/>
          <w:szCs w:val="24"/>
        </w:rPr>
      </w:pPr>
      <w:r>
        <w:rPr>
          <w:rFonts w:hint="eastAsia"/>
          <w:color w:val="000000"/>
          <w:sz w:val="24"/>
          <w:szCs w:val="24"/>
        </w:rPr>
        <w:t>31.4.3认为自己合法权益受到损害或可能受到损害的相关证据材料；</w:t>
      </w:r>
    </w:p>
    <w:p>
      <w:pPr>
        <w:snapToGrid w:val="0"/>
        <w:spacing w:line="480" w:lineRule="exact"/>
        <w:ind w:firstLine="468" w:firstLineChars="195"/>
        <w:rPr>
          <w:color w:val="000000"/>
          <w:sz w:val="24"/>
          <w:szCs w:val="24"/>
        </w:rPr>
      </w:pPr>
      <w:r>
        <w:rPr>
          <w:rFonts w:hint="eastAsia"/>
          <w:color w:val="000000"/>
          <w:sz w:val="24"/>
          <w:szCs w:val="24"/>
        </w:rPr>
        <w:t>31.4.4提起质疑的日期；</w:t>
      </w:r>
    </w:p>
    <w:p>
      <w:pPr>
        <w:snapToGrid w:val="0"/>
        <w:spacing w:line="480" w:lineRule="exact"/>
        <w:ind w:firstLine="480" w:firstLineChars="200"/>
        <w:rPr>
          <w:color w:val="000000"/>
          <w:sz w:val="24"/>
          <w:szCs w:val="24"/>
        </w:rPr>
      </w:pPr>
      <w:r>
        <w:rPr>
          <w:rFonts w:hint="eastAsia"/>
          <w:color w:val="000000"/>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pPr>
        <w:snapToGrid w:val="0"/>
        <w:spacing w:line="480" w:lineRule="exact"/>
        <w:ind w:firstLine="480" w:firstLineChars="200"/>
        <w:rPr>
          <w:color w:val="000000"/>
          <w:sz w:val="24"/>
          <w:szCs w:val="24"/>
        </w:rPr>
      </w:pPr>
      <w:r>
        <w:rPr>
          <w:rFonts w:hint="eastAsia"/>
          <w:color w:val="000000"/>
          <w:sz w:val="24"/>
          <w:szCs w:val="24"/>
        </w:rPr>
        <w:t>31.5采购人收到质疑函后，将对质疑的形式和内容进行审查，如质疑函内容、格式不符合规定，采购人将告知质疑人进行补正。</w:t>
      </w:r>
    </w:p>
    <w:p>
      <w:pPr>
        <w:snapToGrid w:val="0"/>
        <w:spacing w:line="480" w:lineRule="exact"/>
        <w:ind w:firstLine="468" w:firstLineChars="195"/>
        <w:rPr>
          <w:color w:val="000000"/>
          <w:sz w:val="24"/>
          <w:szCs w:val="24"/>
        </w:rPr>
      </w:pPr>
      <w:r>
        <w:rPr>
          <w:rFonts w:hint="eastAsia"/>
          <w:color w:val="000000"/>
          <w:sz w:val="24"/>
          <w:szCs w:val="24"/>
        </w:rPr>
        <w:t>31.6质疑人应当在法定质疑期限内进行补正并重新提交质疑函，拒不补正或者在法定期限内未重新提交质疑函的，为无效质疑，采购人将不予受理。</w:t>
      </w:r>
    </w:p>
    <w:p>
      <w:pPr>
        <w:snapToGrid w:val="0"/>
        <w:spacing w:line="480" w:lineRule="exact"/>
        <w:ind w:firstLine="468" w:firstLineChars="195"/>
        <w:rPr>
          <w:color w:val="000000"/>
          <w:sz w:val="24"/>
          <w:szCs w:val="24"/>
        </w:rPr>
      </w:pPr>
      <w:r>
        <w:rPr>
          <w:rFonts w:hint="eastAsia"/>
          <w:color w:val="000000"/>
          <w:sz w:val="24"/>
          <w:szCs w:val="24"/>
        </w:rPr>
        <w:t>31.7对于内容、格式符合规定的质疑函，采购人应当在收到投标供应商的书面质疑后七个工作日内作出答复，并以书面形式通知质疑供应商和其他有关供应商，但答复的内容不得涉及商业秘密。</w:t>
      </w:r>
    </w:p>
    <w:p>
      <w:pPr>
        <w:snapToGrid w:val="0"/>
        <w:spacing w:line="480" w:lineRule="exact"/>
        <w:ind w:firstLine="468" w:firstLineChars="195"/>
        <w:rPr>
          <w:color w:val="000000"/>
          <w:sz w:val="24"/>
          <w:szCs w:val="24"/>
        </w:rPr>
      </w:pPr>
      <w:r>
        <w:rPr>
          <w:rFonts w:hint="eastAsia"/>
          <w:color w:val="000000"/>
          <w:sz w:val="24"/>
          <w:szCs w:val="24"/>
        </w:rPr>
        <w:t>31.8投标人提出书面质疑必须有理、有据，不得恶意质疑或提交虚假质疑。否则，一经查实，采购人有权依据政府采购的有关规定，报请政府采购监管部门对该投标人进行相应的行政处罚，并扣减其诚信记录分。</w:t>
      </w:r>
    </w:p>
    <w:p>
      <w:pPr>
        <w:pStyle w:val="7"/>
        <w:spacing w:before="0" w:after="0" w:line="480" w:lineRule="exact"/>
        <w:ind w:firstLine="450" w:firstLineChars="150"/>
        <w:rPr>
          <w:rFonts w:ascii="黑体" w:hAnsi="宋体"/>
          <w:b w:val="0"/>
          <w:color w:val="000000"/>
          <w:sz w:val="30"/>
          <w:szCs w:val="30"/>
        </w:rPr>
      </w:pPr>
      <w:r>
        <w:rPr>
          <w:rFonts w:hint="eastAsia" w:ascii="黑体" w:hAnsi="宋体"/>
          <w:b w:val="0"/>
          <w:color w:val="000000"/>
          <w:sz w:val="30"/>
          <w:szCs w:val="30"/>
        </w:rPr>
        <w:t>32、中标通知书</w:t>
      </w:r>
    </w:p>
    <w:p>
      <w:pPr>
        <w:snapToGrid w:val="0"/>
        <w:spacing w:line="480" w:lineRule="exact"/>
        <w:ind w:firstLine="480" w:firstLineChars="200"/>
        <w:rPr>
          <w:color w:val="000000"/>
          <w:sz w:val="24"/>
          <w:szCs w:val="24"/>
        </w:rPr>
      </w:pPr>
      <w:r>
        <w:rPr>
          <w:rFonts w:hint="eastAsia"/>
          <w:color w:val="000000"/>
          <w:sz w:val="24"/>
          <w:szCs w:val="24"/>
        </w:rPr>
        <w:t>32.l中标结果确定后，采购人将向中标供应商发出中标通知书。</w:t>
      </w:r>
    </w:p>
    <w:p>
      <w:pPr>
        <w:snapToGrid w:val="0"/>
        <w:spacing w:line="480" w:lineRule="exact"/>
        <w:ind w:firstLine="480" w:firstLineChars="200"/>
        <w:rPr>
          <w:color w:val="000000"/>
          <w:sz w:val="24"/>
          <w:szCs w:val="24"/>
        </w:rPr>
      </w:pPr>
      <w:r>
        <w:rPr>
          <w:rFonts w:hint="eastAsia"/>
          <w:color w:val="000000"/>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6"/>
        <w:spacing w:before="0" w:after="0" w:line="480" w:lineRule="exact"/>
        <w:ind w:firstLine="320" w:firstLineChars="100"/>
        <w:rPr>
          <w:color w:val="000000"/>
        </w:rPr>
      </w:pPr>
      <w:r>
        <w:rPr>
          <w:rFonts w:hint="eastAsia"/>
          <w:color w:val="000000"/>
        </w:rPr>
        <w:t>七、合同签订相关事项</w:t>
      </w:r>
    </w:p>
    <w:p>
      <w:pPr>
        <w:pStyle w:val="7"/>
        <w:spacing w:before="0" w:after="0" w:line="480" w:lineRule="exact"/>
        <w:ind w:firstLine="450" w:firstLineChars="150"/>
        <w:rPr>
          <w:rFonts w:ascii="黑体" w:hAnsi="宋体"/>
          <w:b w:val="0"/>
          <w:color w:val="000000"/>
          <w:sz w:val="30"/>
          <w:szCs w:val="30"/>
        </w:rPr>
      </w:pPr>
      <w:r>
        <w:rPr>
          <w:rFonts w:hint="eastAsia" w:ascii="黑体" w:hAnsi="宋体"/>
          <w:b w:val="0"/>
          <w:color w:val="000000"/>
          <w:sz w:val="30"/>
          <w:szCs w:val="30"/>
        </w:rPr>
        <w:t>33. 签订合同</w:t>
      </w:r>
    </w:p>
    <w:p>
      <w:pPr>
        <w:snapToGrid w:val="0"/>
        <w:spacing w:line="480" w:lineRule="exact"/>
        <w:ind w:firstLine="480" w:firstLineChars="200"/>
        <w:rPr>
          <w:color w:val="000000"/>
          <w:sz w:val="24"/>
          <w:szCs w:val="24"/>
        </w:rPr>
      </w:pPr>
      <w:r>
        <w:rPr>
          <w:rFonts w:hint="eastAsia"/>
          <w:bCs/>
          <w:color w:val="000000"/>
          <w:sz w:val="24"/>
          <w:szCs w:val="24"/>
        </w:rPr>
        <w:t>33</w:t>
      </w:r>
      <w:r>
        <w:rPr>
          <w:rFonts w:hint="eastAsia"/>
          <w:color w:val="000000"/>
          <w:sz w:val="24"/>
          <w:szCs w:val="24"/>
        </w:rPr>
        <w:t>.l中标供应商应按中标通知书规定的时间、地点,按照招标文件确定的事项与采购人签订政府采购合同，且不得迟于中标通知书发出之日起十五日内，由此给采购人造成损失的，中标供应商还应承担赔偿责任。</w:t>
      </w:r>
    </w:p>
    <w:p>
      <w:pPr>
        <w:snapToGrid w:val="0"/>
        <w:spacing w:line="480" w:lineRule="exact"/>
        <w:ind w:firstLine="480" w:firstLineChars="200"/>
        <w:rPr>
          <w:color w:val="000000"/>
          <w:sz w:val="24"/>
          <w:szCs w:val="24"/>
        </w:rPr>
      </w:pPr>
      <w:r>
        <w:rPr>
          <w:rFonts w:hint="eastAsia"/>
          <w:color w:val="000000"/>
          <w:sz w:val="24"/>
          <w:szCs w:val="24"/>
        </w:rPr>
        <w:t>33.2招标文件、中标供应商的投标文件及招标过程中有关澄清、承诺文件均应作为合同附件。</w:t>
      </w:r>
    </w:p>
    <w:p>
      <w:pPr>
        <w:snapToGrid w:val="0"/>
        <w:spacing w:line="480" w:lineRule="exact"/>
        <w:ind w:firstLine="480" w:firstLineChars="200"/>
        <w:rPr>
          <w:color w:val="000000"/>
          <w:sz w:val="24"/>
          <w:szCs w:val="24"/>
        </w:rPr>
      </w:pPr>
      <w:r>
        <w:rPr>
          <w:rFonts w:hint="eastAsia"/>
          <w:color w:val="000000"/>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tabs>
          <w:tab w:val="left" w:pos="900"/>
        </w:tabs>
        <w:spacing w:line="480" w:lineRule="exact"/>
        <w:ind w:firstLine="450" w:firstLineChars="150"/>
        <w:rPr>
          <w:rFonts w:ascii="黑体" w:eastAsia="黑体"/>
          <w:bCs/>
          <w:color w:val="000000"/>
          <w:sz w:val="30"/>
          <w:szCs w:val="30"/>
        </w:rPr>
      </w:pPr>
      <w:r>
        <w:rPr>
          <w:rFonts w:hint="eastAsia" w:ascii="黑体" w:hAnsi="宋体"/>
          <w:color w:val="000000"/>
          <w:sz w:val="30"/>
          <w:szCs w:val="30"/>
        </w:rPr>
        <w:t>34、</w:t>
      </w:r>
      <w:r>
        <w:rPr>
          <w:rFonts w:hint="eastAsia" w:ascii="黑体" w:eastAsia="黑体"/>
          <w:bCs/>
          <w:color w:val="000000"/>
          <w:sz w:val="30"/>
          <w:szCs w:val="30"/>
        </w:rPr>
        <w:t>履约保证金</w:t>
      </w:r>
    </w:p>
    <w:p>
      <w:pPr>
        <w:tabs>
          <w:tab w:val="left" w:pos="900"/>
        </w:tabs>
        <w:spacing w:line="480" w:lineRule="exact"/>
        <w:ind w:firstLine="480" w:firstLineChars="200"/>
        <w:rPr>
          <w:color w:val="000000"/>
          <w:sz w:val="24"/>
          <w:szCs w:val="24"/>
        </w:rPr>
      </w:pPr>
      <w:r>
        <w:rPr>
          <w:rFonts w:hint="eastAsia"/>
          <w:color w:val="000000"/>
          <w:sz w:val="24"/>
        </w:rPr>
        <w:t>在签订合同时，须向</w:t>
      </w:r>
      <w:r>
        <w:rPr>
          <w:rFonts w:hint="eastAsia"/>
          <w:color w:val="000000"/>
          <w:sz w:val="24"/>
          <w:szCs w:val="24"/>
        </w:rPr>
        <w:t>采购人交纳履约保证金</w:t>
      </w:r>
      <w:r>
        <w:rPr>
          <w:rFonts w:hint="eastAsia"/>
          <w:color w:val="000000"/>
          <w:sz w:val="24"/>
          <w:szCs w:val="24"/>
          <w:lang w:eastAsia="zh-CN"/>
        </w:rPr>
        <w:t>（</w:t>
      </w:r>
      <w:r>
        <w:rPr>
          <w:rFonts w:hint="eastAsia"/>
          <w:color w:val="000000"/>
          <w:sz w:val="24"/>
          <w:szCs w:val="24"/>
        </w:rPr>
        <w:t>标段一、二为10万元，标段三、四为6万元</w:t>
      </w:r>
      <w:r>
        <w:rPr>
          <w:rFonts w:hint="eastAsia"/>
          <w:color w:val="000000"/>
          <w:sz w:val="24"/>
          <w:szCs w:val="24"/>
          <w:lang w:eastAsia="zh-CN"/>
        </w:rPr>
        <w:t>），</w:t>
      </w:r>
      <w:r>
        <w:rPr>
          <w:rFonts w:hint="eastAsia"/>
          <w:color w:val="000000"/>
          <w:sz w:val="24"/>
          <w:szCs w:val="24"/>
        </w:rPr>
        <w:t>于合同履行后无息退还。履约保证金用以约束成交供应商在合同履行中的行为，弥补合同执行中由于自身行为可能给采购人带来的各种损失。</w:t>
      </w:r>
    </w:p>
    <w:p>
      <w:pPr>
        <w:pStyle w:val="5"/>
        <w:spacing w:line="480" w:lineRule="exact"/>
        <w:rPr>
          <w:bCs/>
          <w:sz w:val="24"/>
        </w:rPr>
      </w:pPr>
    </w:p>
    <w:p>
      <w:pPr>
        <w:pStyle w:val="18"/>
      </w:pPr>
    </w:p>
    <w:p>
      <w:pPr>
        <w:pStyle w:val="19"/>
      </w:pPr>
    </w:p>
    <w:p>
      <w:pPr>
        <w:pStyle w:val="20"/>
      </w:pPr>
    </w:p>
    <w:p/>
    <w:p>
      <w:pPr>
        <w:pStyle w:val="18"/>
      </w:pPr>
    </w:p>
    <w:p>
      <w:pPr>
        <w:pStyle w:val="19"/>
      </w:pPr>
    </w:p>
    <w:p>
      <w:pPr>
        <w:pStyle w:val="20"/>
      </w:pPr>
    </w:p>
    <w:p/>
    <w:p>
      <w:pPr>
        <w:pStyle w:val="18"/>
      </w:pPr>
    </w:p>
    <w:p>
      <w:pPr>
        <w:pStyle w:val="19"/>
      </w:pPr>
    </w:p>
    <w:p>
      <w:pPr>
        <w:pStyle w:val="20"/>
      </w:pPr>
    </w:p>
    <w:p/>
    <w:p>
      <w:pPr>
        <w:pStyle w:val="18"/>
      </w:pPr>
    </w:p>
    <w:p/>
    <w:p>
      <w:pPr>
        <w:pStyle w:val="47"/>
        <w:numPr>
          <w:ilvl w:val="0"/>
          <w:numId w:val="4"/>
        </w:numPr>
        <w:rPr>
          <w:rFonts w:asciiTheme="majorHAnsi"/>
        </w:rPr>
      </w:pPr>
      <w:r>
        <w:rPr>
          <w:rFonts w:hint="eastAsia" w:asciiTheme="majorHAnsi"/>
        </w:rPr>
        <w:t xml:space="preserve"> 合同</w:t>
      </w:r>
    </w:p>
    <w:p>
      <w:pPr>
        <w:spacing w:line="360" w:lineRule="auto"/>
        <w:rPr>
          <w:rFonts w:ascii="宋体" w:hAnsi="宋体"/>
          <w:sz w:val="24"/>
        </w:rPr>
      </w:pPr>
    </w:p>
    <w:p>
      <w:pPr>
        <w:pStyle w:val="2"/>
        <w:rPr>
          <w:rFonts w:ascii="宋体" w:hAnsi="宋体"/>
          <w:color w:val="auto"/>
        </w:rPr>
      </w:pPr>
    </w:p>
    <w:p>
      <w:pPr>
        <w:pStyle w:val="2"/>
        <w:rPr>
          <w:rFonts w:ascii="宋体" w:hAnsi="宋体"/>
          <w:color w:val="auto"/>
        </w:rPr>
      </w:pPr>
    </w:p>
    <w:p>
      <w:pPr>
        <w:wordWrap w:val="0"/>
        <w:spacing w:before="200" w:after="200" w:line="520" w:lineRule="exact"/>
        <w:jc w:val="center"/>
        <w:outlineLvl w:val="1"/>
        <w:rPr>
          <w:rFonts w:asciiTheme="minorEastAsia" w:hAnsiTheme="minorEastAsia" w:eastAsiaTheme="minorEastAsia"/>
          <w:b/>
          <w:sz w:val="44"/>
          <w:szCs w:val="44"/>
        </w:rPr>
      </w:pPr>
      <w:r>
        <w:rPr>
          <w:rFonts w:hint="eastAsia" w:asciiTheme="minorEastAsia" w:hAnsiTheme="minorEastAsia" w:eastAsiaTheme="minorEastAsia"/>
          <w:b/>
          <w:sz w:val="44"/>
          <w:szCs w:val="44"/>
        </w:rPr>
        <w:t>盐城幼儿师范高等专科学校</w:t>
      </w:r>
    </w:p>
    <w:p>
      <w:pPr>
        <w:wordWrap w:val="0"/>
        <w:spacing w:before="200" w:after="200" w:line="520" w:lineRule="exact"/>
        <w:jc w:val="center"/>
        <w:outlineLvl w:val="1"/>
        <w:rPr>
          <w:rFonts w:asciiTheme="minorEastAsia" w:hAnsiTheme="minorEastAsia" w:eastAsiaTheme="minorEastAsia"/>
          <w:b/>
          <w:sz w:val="44"/>
          <w:szCs w:val="44"/>
        </w:rPr>
      </w:pPr>
      <w:r>
        <w:rPr>
          <w:rFonts w:hint="eastAsia" w:asciiTheme="minorEastAsia" w:hAnsiTheme="minorEastAsia" w:eastAsiaTheme="minorEastAsia"/>
          <w:b/>
          <w:sz w:val="44"/>
          <w:szCs w:val="44"/>
        </w:rPr>
        <w:t>项目合同</w:t>
      </w:r>
    </w:p>
    <w:p>
      <w:pPr>
        <w:pStyle w:val="2"/>
        <w:rPr>
          <w:rFonts w:asciiTheme="minorEastAsia" w:hAnsiTheme="minorEastAsia" w:eastAsiaTheme="minorEastAsia"/>
          <w:color w:val="auto"/>
        </w:rPr>
      </w:pPr>
    </w:p>
    <w:p>
      <w:pPr>
        <w:pStyle w:val="2"/>
        <w:rPr>
          <w:rFonts w:asciiTheme="minorEastAsia" w:hAnsiTheme="minorEastAsia" w:eastAsiaTheme="minorEastAsia"/>
          <w:color w:val="auto"/>
          <w:sz w:val="32"/>
          <w:szCs w:val="32"/>
        </w:rPr>
      </w:pPr>
    </w:p>
    <w:p>
      <w:pPr>
        <w:pStyle w:val="2"/>
        <w:rPr>
          <w:rFonts w:asciiTheme="minorEastAsia" w:hAnsiTheme="minorEastAsia" w:eastAsiaTheme="minorEastAsia"/>
          <w:color w:val="auto"/>
          <w:sz w:val="32"/>
          <w:szCs w:val="32"/>
        </w:rPr>
      </w:pPr>
    </w:p>
    <w:p>
      <w:pPr>
        <w:pStyle w:val="2"/>
        <w:spacing w:line="360" w:lineRule="auto"/>
        <w:ind w:firstLine="960" w:firstLineChars="3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甲方名称(全称)：盐城幼儿师范高等专科学校</w:t>
      </w:r>
    </w:p>
    <w:p>
      <w:pPr>
        <w:pStyle w:val="2"/>
        <w:spacing w:line="360" w:lineRule="auto"/>
        <w:ind w:firstLine="960" w:firstLineChars="3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地    址：盐城市学海路28号</w:t>
      </w:r>
    </w:p>
    <w:p>
      <w:pPr>
        <w:pStyle w:val="2"/>
        <w:spacing w:line="360" w:lineRule="auto"/>
        <w:ind w:firstLine="960" w:firstLineChars="3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联 系 人：</w:t>
      </w:r>
    </w:p>
    <w:p>
      <w:pPr>
        <w:pStyle w:val="2"/>
        <w:spacing w:line="360" w:lineRule="auto"/>
        <w:ind w:firstLine="960" w:firstLineChars="3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电    话：</w:t>
      </w:r>
    </w:p>
    <w:p>
      <w:pPr>
        <w:pStyle w:val="2"/>
        <w:spacing w:line="360" w:lineRule="auto"/>
        <w:ind w:firstLine="960" w:firstLineChars="300"/>
        <w:rPr>
          <w:rFonts w:asciiTheme="minorEastAsia" w:hAnsiTheme="minorEastAsia" w:eastAsiaTheme="minorEastAsia"/>
          <w:color w:val="auto"/>
          <w:sz w:val="32"/>
          <w:szCs w:val="32"/>
        </w:rPr>
      </w:pPr>
    </w:p>
    <w:p>
      <w:pPr>
        <w:pStyle w:val="2"/>
        <w:spacing w:line="360" w:lineRule="auto"/>
        <w:ind w:firstLine="960" w:firstLineChars="300"/>
        <w:rPr>
          <w:rFonts w:asciiTheme="minorEastAsia" w:hAnsiTheme="minorEastAsia" w:eastAsiaTheme="minorEastAsia"/>
          <w:color w:val="auto"/>
          <w:sz w:val="32"/>
          <w:szCs w:val="32"/>
        </w:rPr>
      </w:pPr>
    </w:p>
    <w:p>
      <w:pPr>
        <w:pStyle w:val="2"/>
        <w:spacing w:line="360" w:lineRule="auto"/>
        <w:ind w:firstLine="960" w:firstLineChars="300"/>
        <w:rPr>
          <w:rFonts w:asciiTheme="minorEastAsia" w:hAnsiTheme="minorEastAsia" w:eastAsiaTheme="minorEastAsia"/>
          <w:color w:val="auto"/>
          <w:sz w:val="32"/>
          <w:szCs w:val="32"/>
        </w:rPr>
      </w:pPr>
    </w:p>
    <w:p>
      <w:pPr>
        <w:pStyle w:val="2"/>
        <w:spacing w:line="360" w:lineRule="auto"/>
        <w:ind w:firstLine="960" w:firstLineChars="300"/>
        <w:rPr>
          <w:rFonts w:asciiTheme="minorEastAsia" w:hAnsiTheme="minorEastAsia" w:eastAsiaTheme="minorEastAsia"/>
          <w:color w:val="auto"/>
          <w:sz w:val="32"/>
          <w:szCs w:val="32"/>
        </w:rPr>
      </w:pPr>
    </w:p>
    <w:p>
      <w:pPr>
        <w:pStyle w:val="2"/>
        <w:spacing w:line="360" w:lineRule="auto"/>
        <w:ind w:firstLine="960" w:firstLineChars="3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乙方名称(全称)：</w:t>
      </w:r>
    </w:p>
    <w:p>
      <w:pPr>
        <w:pStyle w:val="2"/>
        <w:spacing w:line="360" w:lineRule="auto"/>
        <w:ind w:firstLine="960" w:firstLineChars="3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地    址：</w:t>
      </w:r>
    </w:p>
    <w:p>
      <w:pPr>
        <w:pStyle w:val="2"/>
        <w:spacing w:line="360" w:lineRule="auto"/>
        <w:ind w:firstLine="960" w:firstLineChars="3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联 系 人：</w:t>
      </w:r>
    </w:p>
    <w:p>
      <w:pPr>
        <w:pStyle w:val="2"/>
        <w:spacing w:line="360" w:lineRule="auto"/>
        <w:ind w:firstLine="960" w:firstLineChars="3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电    话：</w:t>
      </w:r>
    </w:p>
    <w:p>
      <w:pPr>
        <w:pStyle w:val="2"/>
        <w:rPr>
          <w:color w:val="auto"/>
        </w:rPr>
      </w:pPr>
    </w:p>
    <w:p>
      <w:pPr>
        <w:spacing w:line="440" w:lineRule="exact"/>
        <w:ind w:firstLine="480" w:firstLineChars="200"/>
        <w:rPr>
          <w:rFonts w:hint="eastAsia" w:ascii="宋体" w:hAnsi="宋体"/>
          <w:sz w:val="24"/>
          <w:szCs w:val="24"/>
        </w:rPr>
      </w:pPr>
    </w:p>
    <w:p>
      <w:pPr>
        <w:spacing w:line="440" w:lineRule="exact"/>
        <w:ind w:firstLine="480" w:firstLineChars="200"/>
        <w:rPr>
          <w:rFonts w:hint="eastAsia" w:ascii="宋体" w:hAnsi="宋体"/>
          <w:sz w:val="24"/>
          <w:szCs w:val="24"/>
        </w:rPr>
      </w:pPr>
    </w:p>
    <w:p>
      <w:pPr>
        <w:spacing w:line="440" w:lineRule="exact"/>
        <w:ind w:firstLine="480" w:firstLineChars="200"/>
        <w:rPr>
          <w:rFonts w:ascii="宋体" w:hAnsi="宋体"/>
          <w:sz w:val="24"/>
          <w:szCs w:val="24"/>
        </w:rPr>
      </w:pPr>
      <w:r>
        <w:rPr>
          <w:rFonts w:hint="eastAsia" w:ascii="宋体" w:hAnsi="宋体"/>
          <w:sz w:val="24"/>
          <w:szCs w:val="24"/>
        </w:rPr>
        <w:t>依照《中华人民共和国合同法》及有关法律法规，遵循平等互利、自愿有偿、诚实信用原则，甲乙双方就</w:t>
      </w:r>
      <w:r>
        <w:rPr>
          <w:rFonts w:hint="eastAsia" w:asciiTheme="minorEastAsia" w:hAnsiTheme="minorEastAsia" w:eastAsiaTheme="minorEastAsia"/>
          <w:sz w:val="24"/>
          <w:szCs w:val="24"/>
        </w:rPr>
        <w:t>盐城幼儿师范高等专科学校_____</w:t>
      </w:r>
      <w:r>
        <w:rPr>
          <w:rFonts w:hint="eastAsia" w:ascii="宋体" w:hAnsi="宋体"/>
          <w:sz w:val="24"/>
          <w:szCs w:val="24"/>
        </w:rPr>
        <w:t>校区</w:t>
      </w:r>
      <w:r>
        <w:rPr>
          <w:rFonts w:hint="eastAsia" w:asciiTheme="minorEastAsia" w:hAnsiTheme="minorEastAsia" w:eastAsiaTheme="minorEastAsia"/>
          <w:sz w:val="24"/>
          <w:szCs w:val="24"/>
        </w:rPr>
        <w:t>_____</w:t>
      </w:r>
      <w:r>
        <w:rPr>
          <w:rFonts w:hint="eastAsia" w:ascii="宋体" w:hAnsi="宋体"/>
          <w:sz w:val="24"/>
          <w:szCs w:val="24"/>
        </w:rPr>
        <w:t>楼食堂餐饮合作经营服务项目协商一致，订立本合同。</w:t>
      </w:r>
    </w:p>
    <w:p>
      <w:pPr>
        <w:spacing w:line="440" w:lineRule="exact"/>
        <w:ind w:firstLine="425" w:firstLineChars="177"/>
        <w:rPr>
          <w:rFonts w:ascii="宋体" w:hAnsi="宋体"/>
          <w:b/>
          <w:bCs/>
          <w:sz w:val="24"/>
          <w:szCs w:val="24"/>
        </w:rPr>
      </w:pPr>
      <w:r>
        <w:rPr>
          <w:rFonts w:hint="eastAsia" w:ascii="宋体" w:hAnsi="宋体"/>
          <w:b/>
          <w:bCs/>
          <w:sz w:val="24"/>
          <w:szCs w:val="24"/>
        </w:rPr>
        <w:t>一、经营地点、经营范围和经营期限</w:t>
      </w:r>
    </w:p>
    <w:p>
      <w:pPr>
        <w:spacing w:line="440" w:lineRule="exact"/>
        <w:ind w:firstLine="360" w:firstLineChars="150"/>
        <w:rPr>
          <w:rFonts w:ascii="宋体" w:hAnsi="宋体"/>
          <w:sz w:val="24"/>
          <w:szCs w:val="24"/>
        </w:rPr>
      </w:pPr>
      <w:r>
        <w:rPr>
          <w:rFonts w:hint="eastAsia" w:ascii="宋体" w:hAnsi="宋体"/>
          <w:sz w:val="24"/>
          <w:szCs w:val="24"/>
        </w:rPr>
        <w:t>1.经营地点：盐城市</w:t>
      </w:r>
      <w:r>
        <w:rPr>
          <w:rFonts w:hint="eastAsia" w:asciiTheme="minorEastAsia" w:hAnsiTheme="minorEastAsia" w:eastAsiaTheme="minorEastAsia"/>
          <w:sz w:val="24"/>
          <w:szCs w:val="24"/>
        </w:rPr>
        <w:t>海洋路28</w:t>
      </w:r>
      <w:r>
        <w:rPr>
          <w:rFonts w:hint="eastAsia" w:ascii="宋体" w:hAnsi="宋体"/>
          <w:sz w:val="24"/>
          <w:szCs w:val="24"/>
        </w:rPr>
        <w:t>号</w:t>
      </w:r>
      <w:r>
        <w:rPr>
          <w:rFonts w:hint="eastAsia" w:asciiTheme="minorEastAsia" w:hAnsiTheme="minorEastAsia" w:eastAsiaTheme="minorEastAsia"/>
          <w:sz w:val="24"/>
          <w:szCs w:val="24"/>
        </w:rPr>
        <w:t>、盐城市学海路28号</w:t>
      </w:r>
      <w:r>
        <w:rPr>
          <w:rFonts w:hint="eastAsia" w:ascii="宋体" w:hAnsi="宋体"/>
          <w:sz w:val="24"/>
          <w:szCs w:val="24"/>
        </w:rPr>
        <w:t>。</w:t>
      </w:r>
    </w:p>
    <w:p>
      <w:pPr>
        <w:spacing w:line="440" w:lineRule="exact"/>
        <w:ind w:firstLine="360" w:firstLineChars="150"/>
        <w:rPr>
          <w:rFonts w:ascii="宋体" w:hAnsi="宋体"/>
          <w:sz w:val="24"/>
          <w:szCs w:val="24"/>
        </w:rPr>
      </w:pPr>
      <w:r>
        <w:rPr>
          <w:rFonts w:hint="eastAsia" w:ascii="宋体" w:hAnsi="宋体"/>
          <w:sz w:val="24"/>
          <w:szCs w:val="24"/>
        </w:rPr>
        <w:t>2.经营范围：</w:t>
      </w:r>
      <w:r>
        <w:rPr>
          <w:rFonts w:hint="eastAsia" w:asciiTheme="minorEastAsia" w:hAnsiTheme="minorEastAsia" w:eastAsiaTheme="minorEastAsia"/>
          <w:sz w:val="24"/>
          <w:szCs w:val="24"/>
        </w:rPr>
        <w:t>盐城幼儿师范高等专科学校_____</w:t>
      </w:r>
      <w:r>
        <w:rPr>
          <w:rFonts w:hint="eastAsia" w:ascii="宋体" w:hAnsi="宋体"/>
          <w:sz w:val="24"/>
          <w:szCs w:val="24"/>
        </w:rPr>
        <w:t>校区</w:t>
      </w:r>
      <w:r>
        <w:rPr>
          <w:rFonts w:hint="eastAsia" w:asciiTheme="minorEastAsia" w:hAnsiTheme="minorEastAsia" w:eastAsiaTheme="minorEastAsia"/>
          <w:sz w:val="24"/>
          <w:szCs w:val="24"/>
        </w:rPr>
        <w:t>_____</w:t>
      </w:r>
      <w:r>
        <w:rPr>
          <w:rFonts w:hint="eastAsia" w:ascii="宋体" w:hAnsi="宋体"/>
          <w:sz w:val="24"/>
          <w:szCs w:val="24"/>
        </w:rPr>
        <w:t>楼食堂餐饮合作经营服务</w:t>
      </w:r>
      <w:r>
        <w:rPr>
          <w:rFonts w:hint="eastAsia" w:asciiTheme="minorEastAsia" w:hAnsiTheme="minorEastAsia" w:eastAsiaTheme="minorEastAsia"/>
          <w:sz w:val="24"/>
          <w:szCs w:val="24"/>
        </w:rPr>
        <w:t>，</w:t>
      </w:r>
      <w:r>
        <w:rPr>
          <w:rFonts w:hint="eastAsia" w:ascii="宋体" w:hAnsi="宋体"/>
          <w:sz w:val="24"/>
          <w:szCs w:val="24"/>
        </w:rPr>
        <w:t>按</w:t>
      </w:r>
      <w:r>
        <w:rPr>
          <w:rFonts w:hint="eastAsia" w:asciiTheme="minorEastAsia" w:hAnsiTheme="minorEastAsia" w:eastAsiaTheme="minorEastAsia"/>
          <w:sz w:val="24"/>
          <w:szCs w:val="24"/>
        </w:rPr>
        <w:t>乙方</w:t>
      </w:r>
      <w:r>
        <w:rPr>
          <w:rFonts w:hint="eastAsia" w:ascii="宋体" w:hAnsi="宋体"/>
          <w:sz w:val="24"/>
          <w:szCs w:val="24"/>
        </w:rPr>
        <w:t>办理的“食堂食品经营许可证”规定的范围组织食堂生产经营，严禁超范围经营。</w:t>
      </w:r>
    </w:p>
    <w:p>
      <w:pPr>
        <w:spacing w:line="440" w:lineRule="exact"/>
        <w:ind w:firstLine="360" w:firstLineChars="150"/>
        <w:rPr>
          <w:rFonts w:ascii="宋体" w:hAnsi="宋体"/>
          <w:sz w:val="24"/>
          <w:szCs w:val="24"/>
        </w:rPr>
      </w:pPr>
      <w:r>
        <w:rPr>
          <w:rFonts w:hint="eastAsia" w:ascii="宋体" w:hAnsi="宋体"/>
          <w:sz w:val="24"/>
          <w:szCs w:val="24"/>
        </w:rPr>
        <w:t>3.经营期限：</w:t>
      </w:r>
      <w:r>
        <w:rPr>
          <w:rFonts w:hint="eastAsia" w:cs="仿宋" w:asciiTheme="minorEastAsia" w:hAnsiTheme="minorEastAsia" w:eastAsiaTheme="minorEastAsia"/>
          <w:bCs/>
          <w:sz w:val="24"/>
          <w:szCs w:val="24"/>
        </w:rPr>
        <w:t>最长为3年,自</w:t>
      </w:r>
      <w:r>
        <w:rPr>
          <w:rFonts w:cs="仿宋" w:asciiTheme="minorEastAsia" w:hAnsiTheme="minorEastAsia" w:eastAsiaTheme="minorEastAsia"/>
          <w:bCs/>
          <w:sz w:val="24"/>
          <w:szCs w:val="24"/>
        </w:rPr>
        <w:t>202</w:t>
      </w:r>
      <w:r>
        <w:rPr>
          <w:rFonts w:hint="eastAsia" w:cs="仿宋" w:asciiTheme="minorEastAsia" w:hAnsiTheme="minorEastAsia" w:eastAsiaTheme="minorEastAsia"/>
          <w:bCs/>
          <w:sz w:val="24"/>
          <w:szCs w:val="24"/>
        </w:rPr>
        <w:t>1年8月25日至</w:t>
      </w:r>
      <w:r>
        <w:rPr>
          <w:rFonts w:cs="仿宋" w:asciiTheme="minorEastAsia" w:hAnsiTheme="minorEastAsia" w:eastAsiaTheme="minorEastAsia"/>
          <w:bCs/>
          <w:sz w:val="24"/>
          <w:szCs w:val="24"/>
        </w:rPr>
        <w:t>202</w:t>
      </w:r>
      <w:r>
        <w:rPr>
          <w:rFonts w:hint="eastAsia" w:cs="仿宋" w:asciiTheme="minorEastAsia" w:hAnsiTheme="minorEastAsia" w:eastAsiaTheme="minorEastAsia"/>
          <w:bCs/>
          <w:sz w:val="24"/>
          <w:szCs w:val="24"/>
        </w:rPr>
        <w:t>4年6月30日止。</w:t>
      </w:r>
      <w:r>
        <w:rPr>
          <w:rFonts w:hint="eastAsia" w:asciiTheme="minorEastAsia" w:hAnsiTheme="minorEastAsia" w:eastAsiaTheme="minorEastAsia"/>
          <w:sz w:val="24"/>
          <w:szCs w:val="24"/>
        </w:rPr>
        <w:t>采取“2+1”模式，分二个阶段。即首签合同期限从2021年8月25日至2023年6月30日；首签期满后进行考核，</w:t>
      </w:r>
      <w:r>
        <w:rPr>
          <w:rFonts w:hint="eastAsia" w:ascii="宋体" w:hAnsi="宋体"/>
          <w:sz w:val="24"/>
          <w:szCs w:val="24"/>
        </w:rPr>
        <w:t>乙方无违法、违规和安全责任事故，且师生满意度率达80%及以上的，可续签合同，续签合同期限从202</w:t>
      </w:r>
      <w:r>
        <w:rPr>
          <w:rFonts w:hint="eastAsia" w:asciiTheme="minorEastAsia" w:hAnsiTheme="minorEastAsia" w:eastAsiaTheme="minorEastAsia"/>
          <w:sz w:val="24"/>
          <w:szCs w:val="24"/>
        </w:rPr>
        <w:t>3</w:t>
      </w:r>
      <w:r>
        <w:rPr>
          <w:rFonts w:hint="eastAsia" w:ascii="宋体" w:hAnsi="宋体"/>
          <w:sz w:val="24"/>
          <w:szCs w:val="24"/>
        </w:rPr>
        <w:t>年7月1日至202</w:t>
      </w:r>
      <w:r>
        <w:rPr>
          <w:rFonts w:hint="eastAsia" w:asciiTheme="minorEastAsia" w:hAnsiTheme="minorEastAsia" w:eastAsiaTheme="minorEastAsia"/>
          <w:sz w:val="24"/>
          <w:szCs w:val="24"/>
        </w:rPr>
        <w:t>4</w:t>
      </w:r>
      <w:r>
        <w:rPr>
          <w:rFonts w:hint="eastAsia" w:ascii="宋体" w:hAnsi="宋体"/>
          <w:sz w:val="24"/>
          <w:szCs w:val="24"/>
        </w:rPr>
        <w:t>年6月</w:t>
      </w:r>
      <w:r>
        <w:rPr>
          <w:rFonts w:hint="eastAsia" w:asciiTheme="minorEastAsia" w:hAnsiTheme="minorEastAsia" w:eastAsiaTheme="minorEastAsia"/>
          <w:sz w:val="24"/>
          <w:szCs w:val="24"/>
        </w:rPr>
        <w:t>30</w:t>
      </w:r>
      <w:r>
        <w:rPr>
          <w:rFonts w:hint="eastAsia" w:ascii="宋体" w:hAnsi="宋体"/>
          <w:sz w:val="24"/>
          <w:szCs w:val="24"/>
        </w:rPr>
        <w:t>日。乙方在经营期间内自主经营，自负盈亏，自担风险。</w:t>
      </w:r>
    </w:p>
    <w:p>
      <w:pPr>
        <w:spacing w:line="440" w:lineRule="exact"/>
        <w:ind w:firstLine="360" w:firstLineChars="150"/>
        <w:rPr>
          <w:rFonts w:ascii="宋体" w:hAnsi="宋体"/>
          <w:sz w:val="24"/>
          <w:szCs w:val="24"/>
        </w:rPr>
      </w:pPr>
      <w:r>
        <w:rPr>
          <w:rFonts w:hint="eastAsia" w:ascii="宋体" w:hAnsi="宋体"/>
          <w:sz w:val="24"/>
          <w:szCs w:val="24"/>
        </w:rPr>
        <w:t>4.乙方按甲方招标文件中关于招标项目食堂的投入要求，以及投标文件及其相关承诺，自行组织完成招标项目食堂提升工作，并确保</w:t>
      </w:r>
      <w:r>
        <w:rPr>
          <w:rFonts w:hint="eastAsia" w:ascii="宋体" w:hAnsi="宋体"/>
          <w:b/>
          <w:sz w:val="24"/>
          <w:szCs w:val="24"/>
        </w:rPr>
        <w:t>在20</w:t>
      </w:r>
      <w:r>
        <w:rPr>
          <w:rFonts w:hint="eastAsia" w:asciiTheme="minorEastAsia" w:hAnsiTheme="minorEastAsia" w:eastAsiaTheme="minorEastAsia"/>
          <w:b/>
          <w:sz w:val="24"/>
          <w:szCs w:val="24"/>
        </w:rPr>
        <w:t>21</w:t>
      </w:r>
      <w:r>
        <w:rPr>
          <w:rFonts w:hint="eastAsia" w:ascii="宋体" w:hAnsi="宋体"/>
          <w:b/>
          <w:sz w:val="24"/>
          <w:szCs w:val="24"/>
        </w:rPr>
        <w:t>年8月25日之前，</w:t>
      </w:r>
      <w:r>
        <w:rPr>
          <w:rFonts w:hint="eastAsia" w:ascii="宋体" w:hAnsi="宋体"/>
          <w:b/>
          <w:bCs/>
          <w:sz w:val="24"/>
          <w:szCs w:val="24"/>
        </w:rPr>
        <w:t>达到正常营业状态要求。在</w:t>
      </w:r>
      <w:r>
        <w:rPr>
          <w:rFonts w:hint="eastAsia" w:ascii="宋体" w:hAnsi="宋体"/>
          <w:b/>
          <w:sz w:val="24"/>
          <w:szCs w:val="24"/>
        </w:rPr>
        <w:t>甲方验收合格后，乙方方可自主经营项目食堂。</w:t>
      </w:r>
    </w:p>
    <w:p>
      <w:pPr>
        <w:spacing w:line="440" w:lineRule="exact"/>
        <w:ind w:firstLine="480" w:firstLineChars="200"/>
        <w:rPr>
          <w:rFonts w:ascii="宋体" w:hAnsi="宋体"/>
          <w:b/>
          <w:sz w:val="24"/>
          <w:szCs w:val="24"/>
        </w:rPr>
      </w:pPr>
      <w:r>
        <w:rPr>
          <w:rFonts w:hint="eastAsia" w:ascii="宋体" w:hAnsi="宋体"/>
          <w:b/>
          <w:sz w:val="24"/>
          <w:szCs w:val="24"/>
        </w:rPr>
        <w:t>二、经营管理要求</w:t>
      </w:r>
    </w:p>
    <w:p>
      <w:pPr>
        <w:widowControl/>
        <w:spacing w:line="440" w:lineRule="exact"/>
        <w:ind w:firstLine="560"/>
        <w:rPr>
          <w:rFonts w:asciiTheme="minorEastAsia" w:hAnsiTheme="minorEastAsia" w:eastAsiaTheme="minorEastAsia"/>
          <w:sz w:val="24"/>
          <w:szCs w:val="24"/>
        </w:rPr>
      </w:pPr>
      <w:r>
        <w:rPr>
          <w:rFonts w:hint="eastAsia" w:asciiTheme="minorEastAsia" w:hAnsiTheme="minorEastAsia" w:eastAsiaTheme="minorEastAsia"/>
          <w:b/>
          <w:sz w:val="24"/>
          <w:szCs w:val="24"/>
        </w:rPr>
        <w:t>1．主要食材统一采购配送管理。</w:t>
      </w:r>
      <w:r>
        <w:rPr>
          <w:rFonts w:hint="eastAsia" w:asciiTheme="minorEastAsia" w:hAnsiTheme="minorEastAsia" w:eastAsiaTheme="minorEastAsia"/>
          <w:sz w:val="24"/>
          <w:szCs w:val="24"/>
        </w:rPr>
        <w:t>乙方根据甲方要求，</w:t>
      </w:r>
      <w:r>
        <w:rPr>
          <w:rFonts w:hint="eastAsia" w:asciiTheme="minorEastAsia" w:hAnsiTheme="minorEastAsia" w:eastAsiaTheme="minorEastAsia"/>
          <w:b/>
          <w:bCs/>
          <w:sz w:val="24"/>
          <w:szCs w:val="24"/>
        </w:rPr>
        <w:t>相关主要食材（含主辅料）采购需要在甲方监督下确定供应商，统一采购，不得另外自行通过其他供应商进行采购。</w:t>
      </w:r>
      <w:r>
        <w:rPr>
          <w:rFonts w:hint="eastAsia" w:asciiTheme="minorEastAsia" w:hAnsiTheme="minorEastAsia" w:eastAsiaTheme="minorEastAsia"/>
          <w:sz w:val="24"/>
          <w:szCs w:val="24"/>
        </w:rPr>
        <w:t>乙方按照需要通过 “原料采购供应链系统”下单采购（该系统由甲方组织采购、管理）；“原料采购供应链系统”的维护和租赁费用，从平抑资金中列支。</w:t>
      </w:r>
    </w:p>
    <w:p>
      <w:pPr>
        <w:autoSpaceDE w:val="0"/>
        <w:autoSpaceDN w:val="0"/>
        <w:adjustRightInd w:val="0"/>
        <w:spacing w:line="440" w:lineRule="exact"/>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   2．其他自采食材严格管理。</w:t>
      </w:r>
      <w:r>
        <w:rPr>
          <w:rFonts w:hint="eastAsia" w:asciiTheme="minorEastAsia" w:hAnsiTheme="minorEastAsia" w:eastAsiaTheme="minorEastAsia"/>
          <w:sz w:val="24"/>
          <w:szCs w:val="24"/>
        </w:rPr>
        <w:t>供货商、原料品牌需符合市食品药品监督局等相</w:t>
      </w:r>
      <w:bookmarkStart w:id="7" w:name="_GoBack"/>
      <w:bookmarkEnd w:id="7"/>
      <w:r>
        <w:rPr>
          <w:rFonts w:hint="eastAsia" w:asciiTheme="minorEastAsia" w:hAnsiTheme="minorEastAsia" w:eastAsiaTheme="minorEastAsia"/>
          <w:sz w:val="24"/>
          <w:szCs w:val="24"/>
        </w:rPr>
        <w:t>关部门的要求，不得采购路边摊或不具备资质的单位或个人销售的食品原料，确保所有食品原料的溯源性。扶贫类副食品采购需按甲方统一要求安排执行。乙方按月支付货款。</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3.费用承担与结算管理。</w:t>
      </w:r>
      <w:r>
        <w:rPr>
          <w:rFonts w:hint="eastAsia" w:asciiTheme="minorEastAsia" w:hAnsiTheme="minorEastAsia" w:eastAsiaTheme="minorEastAsia"/>
          <w:sz w:val="24"/>
          <w:szCs w:val="24"/>
        </w:rPr>
        <w:t>统一使用学校“一卡通”系统刷卡消费，乙方不得以任何其他形式进行结算（包括现金、微信、支付宝等）。经营期间发生的水、电、燃气、原料、员工工资（奖金、福利费）等人员经费、劳务费、设施设备购置费、维修费、垃圾收集与清运费、物业保洁费、内部管理费等所有费用，均由乙方全额自行承担。甲方有偿提供水、电，乙方自行免费按照规范和甲方要求进行节水节电，同时免费做好下水排放改造。水、电费按政府规定价格收取，按月结算。水、电按实际使用量计算费用，由乙方自行按照规定向甲方财务部门缴纳。凡因供水、供电等原因造成乙方不能正常服务的，甲方负责协调，但不承担由此造成的损失。乙方在管理体制上实行自主提供服务、自负盈亏，有用人自主权和工资分配权，服务期间食堂所发生的税收由乙方负责支付。乙方在服务期内对所发生的一切债权、债务、人身伤害和安全事故等均自行承担全部责任及费用，与甲方无涉。经营期间，乙方根据甲方划分的独立经营服务范围内的所有设施设备的维修费用、保养费用均由乙方自行承担。经营服务范围内的环境卫生、保洁、消毒等所有环节所产生的所有费用由乙方承担。</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甲方按月从营业额中收点设立平抑奖励基金。平抑奖励基金收点为：标段一为3%；标段二为2%；标段三、四为1%。</w:t>
      </w:r>
    </w:p>
    <w:p>
      <w:pPr>
        <w:spacing w:line="440" w:lineRule="exact"/>
        <w:ind w:firstLine="480" w:firstLineChars="200"/>
        <w:rPr>
          <w:rFonts w:ascii="宋体" w:hAnsi="宋体"/>
          <w:sz w:val="24"/>
          <w:szCs w:val="24"/>
        </w:rPr>
      </w:pPr>
      <w:r>
        <w:rPr>
          <w:rFonts w:hint="eastAsia" w:ascii="宋体" w:hAnsi="宋体"/>
          <w:sz w:val="24"/>
          <w:szCs w:val="24"/>
        </w:rPr>
        <w:t>签约前，乙方必须按照约定向甲方财务部门缴纳履约保证金（标段一、二为10万元，标段三、四为6万元），合同期满无违规违纪现象由招标人无息退还乙方。</w:t>
      </w:r>
    </w:p>
    <w:p>
      <w:pPr>
        <w:pStyle w:val="17"/>
        <w:spacing w:line="440" w:lineRule="exact"/>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甲方与乙方结算账户必须是乙方公司注册的银行账户，甲方不接受乙方提供的其他账户结算。</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4.</w:t>
      </w:r>
      <w:r>
        <w:rPr>
          <w:rFonts w:hint="eastAsia" w:asciiTheme="minorEastAsia" w:hAnsiTheme="minorEastAsia" w:eastAsiaTheme="minorEastAsia"/>
          <w:sz w:val="24"/>
          <w:szCs w:val="24"/>
        </w:rPr>
        <w:t>中标后及服务过程中，不得将中标项目转包、分包，未经学校许可不得更换现场负责人，否则均视为严重违约，甲方有权终止合同，并处以没收全部履约保证金，且以后不得参与甲方任何项目的投标。</w:t>
      </w:r>
    </w:p>
    <w:p>
      <w:pPr>
        <w:spacing w:line="440" w:lineRule="exact"/>
        <w:ind w:firstLine="480" w:firstLineChars="200"/>
        <w:rPr>
          <w:rFonts w:asciiTheme="minorEastAsia" w:hAnsiTheme="minorEastAsia" w:eastAsiaTheme="minorEastAsia"/>
          <w:b/>
          <w:sz w:val="24"/>
          <w:szCs w:val="24"/>
        </w:rPr>
      </w:pPr>
      <w:r>
        <w:rPr>
          <w:rFonts w:hint="eastAsia" w:asciiTheme="minorEastAsia" w:hAnsiTheme="minorEastAsia" w:eastAsiaTheme="minorEastAsia"/>
          <w:sz w:val="24"/>
          <w:szCs w:val="24"/>
        </w:rPr>
        <w:t>5.甲方不保证在校师生数（如学生离校实习、见习、退学等情况），也不承诺实施封闭式管理，不对学生在校消费的师生数作任何承诺。</w:t>
      </w:r>
    </w:p>
    <w:p>
      <w:pPr>
        <w:spacing w:line="440" w:lineRule="exact"/>
        <w:ind w:firstLine="480" w:firstLineChars="20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三、安全生产管理要求</w:t>
      </w:r>
    </w:p>
    <w:p>
      <w:pPr>
        <w:spacing w:line="440" w:lineRule="exact"/>
        <w:ind w:firstLine="480" w:firstLineChars="200"/>
        <w:rPr>
          <w:rFonts w:ascii="宋体" w:hAnsi="宋体"/>
          <w:sz w:val="24"/>
          <w:szCs w:val="24"/>
        </w:rPr>
      </w:pPr>
      <w:r>
        <w:rPr>
          <w:rFonts w:hint="eastAsia" w:asciiTheme="minorEastAsia" w:hAnsiTheme="minorEastAsia" w:eastAsiaTheme="minorEastAsia"/>
          <w:sz w:val="24"/>
          <w:szCs w:val="24"/>
        </w:rPr>
        <w:t>1．</w:t>
      </w:r>
      <w:r>
        <w:rPr>
          <w:rFonts w:hint="eastAsia" w:ascii="宋体" w:hAnsi="宋体"/>
          <w:sz w:val="24"/>
          <w:szCs w:val="24"/>
        </w:rPr>
        <w:t>乙方必须持照经营，相关的证照要齐全。</w:t>
      </w:r>
    </w:p>
    <w:p>
      <w:pPr>
        <w:spacing w:line="440" w:lineRule="exact"/>
        <w:ind w:firstLine="480" w:firstLineChars="200"/>
        <w:rPr>
          <w:rFonts w:asciiTheme="minorEastAsia" w:hAnsiTheme="minorEastAsia" w:eastAsiaTheme="minorEastAsia"/>
          <w:sz w:val="24"/>
          <w:szCs w:val="24"/>
        </w:rPr>
      </w:pPr>
      <w:r>
        <w:rPr>
          <w:rFonts w:hint="eastAsia" w:ascii="宋体" w:hAnsi="宋体" w:eastAsiaTheme="minorEastAsia"/>
          <w:sz w:val="24"/>
          <w:szCs w:val="24"/>
        </w:rPr>
        <w:t>2.</w:t>
      </w:r>
      <w:r>
        <w:rPr>
          <w:rFonts w:hint="eastAsia" w:asciiTheme="minorEastAsia" w:hAnsiTheme="minorEastAsia" w:eastAsiaTheme="minorEastAsia"/>
          <w:sz w:val="24"/>
          <w:szCs w:val="24"/>
        </w:rPr>
        <w:t>乙方必须严格执行国家食品卫生和安全生产的法律法规，遵守甲方各项管理制度，服从和配合省、市、甲方等各级的监督和检查，发现问题，及时整改，并无条件接受处罚。强化食堂消防安全管理工作，保证消防设施设备完好并能正常使用。建立预防食物中毒、消防安全事故、生产安全事故等意外情况的紧急处理预案。如发生此类责任事故，所涉及的民事、刑事责任及赔偿费用均由乙方自行全面承担，与甲方无涉。</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宋体" w:hAnsi="宋体"/>
          <w:sz w:val="24"/>
          <w:szCs w:val="24"/>
        </w:rPr>
        <w:t>乙方必须严格遵守《食品安全法》、《食品安全法实施条例》、《餐饮服务许可管理办法》、《餐饮服务食品安全监督管理办法》、《餐饮服务食品安全操作规范》、《餐饮服务食品采购索证索票管理办法》等法律法规以及甲方制定的相关管理考核制度。无条件接受市、区卫生监督部门和甲方对食品卫生、经营服务等各方面的检查、监督、综合考核及管理，以确保食品卫生安全。</w:t>
      </w:r>
      <w:r>
        <w:rPr>
          <w:rFonts w:hint="eastAsia" w:asciiTheme="minorEastAsia" w:hAnsiTheme="minorEastAsia" w:eastAsiaTheme="minorEastAsia"/>
          <w:sz w:val="24"/>
          <w:szCs w:val="24"/>
        </w:rPr>
        <w:t>乙方</w:t>
      </w:r>
      <w:r>
        <w:rPr>
          <w:rFonts w:hint="eastAsia" w:ascii="宋体" w:hAnsi="宋体"/>
          <w:sz w:val="24"/>
          <w:szCs w:val="24"/>
        </w:rPr>
        <w:t>需购买</w:t>
      </w:r>
      <w:r>
        <w:rPr>
          <w:rFonts w:hint="eastAsia" w:asciiTheme="minorEastAsia" w:hAnsiTheme="minorEastAsia" w:eastAsiaTheme="minorEastAsia"/>
          <w:sz w:val="24"/>
          <w:szCs w:val="24"/>
        </w:rPr>
        <w:t>不低于</w:t>
      </w:r>
      <w:r>
        <w:rPr>
          <w:rFonts w:hint="eastAsia" w:ascii="宋体" w:hAnsi="宋体"/>
          <w:sz w:val="24"/>
          <w:szCs w:val="24"/>
        </w:rPr>
        <w:t>400万元的食品安全责任险。如有违反，发生食品安全卫生事故，乙方承担一切法律和经济责任，并接受甲方的处罚。</w:t>
      </w:r>
    </w:p>
    <w:p>
      <w:pPr>
        <w:spacing w:line="440" w:lineRule="exact"/>
        <w:ind w:firstLine="560"/>
        <w:rPr>
          <w:rFonts w:asciiTheme="minorEastAsia" w:hAnsiTheme="minorEastAsia" w:eastAsiaTheme="minorEastAsia"/>
          <w:sz w:val="24"/>
          <w:szCs w:val="24"/>
        </w:rPr>
      </w:pPr>
      <w:r>
        <w:rPr>
          <w:rFonts w:hint="eastAsia" w:asciiTheme="minorEastAsia" w:hAnsiTheme="minorEastAsia" w:eastAsiaTheme="minorEastAsia"/>
          <w:sz w:val="24"/>
          <w:szCs w:val="24"/>
        </w:rPr>
        <w:t>4.在服务过程中，由于乙方原因发生重大影响事件，如发生食物中毒等事件、消防事件、火灾事件、电力事故或其它人员伤害事件的，甲方有权立刻终止合同，乙方应无条件退场，承担全部责任，并处以没收全部履约保证金，且以后不得参与甲方任何项目的投标。</w:t>
      </w:r>
    </w:p>
    <w:p>
      <w:pPr>
        <w:spacing w:line="440" w:lineRule="exact"/>
        <w:ind w:firstLine="480" w:firstLineChars="200"/>
        <w:rPr>
          <w:rFonts w:asciiTheme="minorEastAsia" w:hAnsiTheme="minorEastAsia" w:eastAsiaTheme="minorEastAsia"/>
          <w:b/>
          <w:sz w:val="24"/>
          <w:szCs w:val="24"/>
        </w:rPr>
      </w:pPr>
      <w:r>
        <w:rPr>
          <w:rFonts w:hint="eastAsia" w:asciiTheme="minorEastAsia" w:hAnsiTheme="minorEastAsia" w:eastAsiaTheme="minorEastAsia"/>
          <w:sz w:val="24"/>
          <w:szCs w:val="24"/>
        </w:rPr>
        <w:t>5.食堂区域内不得安排员工住宿。</w:t>
      </w:r>
      <w:r>
        <w:rPr>
          <w:rFonts w:hint="eastAsia" w:asciiTheme="minorEastAsia" w:hAnsiTheme="minorEastAsia" w:eastAsiaTheme="minorEastAsia"/>
          <w:b/>
          <w:sz w:val="24"/>
          <w:szCs w:val="24"/>
        </w:rPr>
        <w:t>无论什么理由，甲方不为乙方及其员工提供宿舍，乙方不得以任何理由在食堂内安置床铺或住宿；乙方必须根据从业人员实际情况和工作需要，就近租赁房屋，确保供餐服务正常，不影响甲方教育教学生活等秩序。</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索证、索票和添加剂：乙方应严格执行国家强制实行的商品市场准入制度和商品供应索证索票规定，所有原材料必须由具有合法资质的供应商提供，并保留票据，每天安排专人负责出入库工作，做好书面记录；食品添加剂必须按照国家相关管理规定，专柜专人保管，严格控制使用。</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乙方的提升方案必须经甲方审批确认后才能进行实施，未经审甲方批，乙方不得进行任何环境或设备或场所调整；乙方必须以单位的法定名称作为窗口的标识，经营场所招牌、窗口标识、厅内布置等方案应经甲方认可后再由乙方制作实施。</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食堂提升使用的各种材料必须符合国家防火要求；水电气安装规范（使用合格材料、产品，确保一机一插，用电负荷符合安全要求，规范安装漏报和接地设备等），正确操作使用；乙方必须加强从业人员安全培训（包括交通安全、生产安全、人身安全、财物安全等）；乙方必须安排专人负责日常安全巡查，巡查范围为合作经营服务区域，巡查内容包括但不限于水电气、建筑、食品等。</w:t>
      </w:r>
    </w:p>
    <w:p>
      <w:pPr>
        <w:spacing w:line="440" w:lineRule="exact"/>
        <w:ind w:firstLine="480" w:firstLineChars="20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四、服务管理要求</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项目负责人：乙方投标文件中确定的项目负责人必须专职在本项目食堂工作，项目负责人原则上必须正常在岗,接受甲方考勤，工作日期间如有事外出需请假；无特殊情况不更得换,如需更换，必须书面申请，报甲方审批同意。</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2.服务团队</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（1）仓管：专职配备1人，负责物资日常出入库管理，做好书面记录。</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（2）食品安全管理员：通过食品安全管理员培训考核并获得相应证书，掌握食品安全管理相关知识，配备1人；负责为食堂从业人员进行食品安全培训。</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（3）厨师：具备相应红、白案证书，至少配备2人。民族风味窗口需配备专业民族风味厨师，教工食堂厨师必须经甲方考核后方可上岗。</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（4）服务团队所有人员拥有有效健康证明。</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乙方必须按合国家法律法规要求聘用员工，必须遵守《劳动合同法》，签署合同，按国家规定为所聘人员办理各类社会保险；如发生用工纠纷，由乙方自行解决，与甲方无涉；乙方不得聘用有违法、违纪等行为的人员，违反规定所造成的后果由乙方负责。</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乙方要对所聘用的从业人员加强教育和管理，执行甲方的各项规章制度，包括防疫制度。凡从业人员与师生员工发生任何纠纷，乙方无条件服从甲方处理结果。从业人员必须统一着装，仪容仪表服从甲方管理，不得穿戴怪异服饰、梳理奇异发型。</w:t>
      </w:r>
    </w:p>
    <w:p>
      <w:pPr>
        <w:spacing w:line="440" w:lineRule="exact"/>
        <w:ind w:firstLine="480" w:firstLineChars="200"/>
        <w:rPr>
          <w:rFonts w:ascii="宋体" w:hAnsi="宋体"/>
          <w:sz w:val="24"/>
          <w:szCs w:val="24"/>
        </w:rPr>
      </w:pPr>
      <w:r>
        <w:rPr>
          <w:rFonts w:hint="eastAsia" w:asciiTheme="minorEastAsia" w:hAnsiTheme="minorEastAsia" w:eastAsiaTheme="minorEastAsia"/>
          <w:sz w:val="24"/>
          <w:szCs w:val="24"/>
        </w:rPr>
        <w:t>3．乙方必须坚持高校食堂公益性、微利原则，每学期开学前需提前申报经营方案，包含但不限于经营项目、价格、份量、</w:t>
      </w:r>
      <w:r>
        <w:rPr>
          <w:rFonts w:hint="eastAsia" w:ascii="宋体" w:hAnsi="宋体"/>
          <w:sz w:val="24"/>
          <w:szCs w:val="24"/>
        </w:rPr>
        <w:t>成本核算</w:t>
      </w:r>
      <w:r>
        <w:rPr>
          <w:rFonts w:hint="eastAsia" w:asciiTheme="minorEastAsia" w:hAnsiTheme="minorEastAsia" w:eastAsiaTheme="minorEastAsia"/>
          <w:sz w:val="24"/>
          <w:szCs w:val="24"/>
        </w:rPr>
        <w:t>，确保综合测评师生满意率达80%以上。确保餐饮</w:t>
      </w:r>
      <w:r>
        <w:rPr>
          <w:rFonts w:hint="eastAsia" w:ascii="宋体" w:hAnsi="宋体"/>
          <w:sz w:val="24"/>
          <w:szCs w:val="24"/>
        </w:rPr>
        <w:t>品种多样，质价相符；严格控制饭菜价格，保持饭菜价格稳定，如需调整食品项目或价格，必须事先书面报甲方审批。</w:t>
      </w:r>
    </w:p>
    <w:p>
      <w:pPr>
        <w:spacing w:line="440" w:lineRule="exact"/>
        <w:ind w:firstLine="480" w:firstLineChars="200"/>
        <w:rPr>
          <w:rFonts w:asciiTheme="minorEastAsia" w:hAnsiTheme="minorEastAsia" w:eastAsiaTheme="minorEastAsia"/>
          <w:sz w:val="24"/>
          <w:szCs w:val="24"/>
        </w:rPr>
      </w:pPr>
      <w:r>
        <w:rPr>
          <w:rFonts w:hint="eastAsia" w:ascii="宋体" w:hAnsi="宋体"/>
          <w:sz w:val="24"/>
          <w:szCs w:val="24"/>
        </w:rPr>
        <w:t>基本大伙部分的价格要严格控制，毛利率不得超过40%。饭菜做到品种多样、价格合理，确保低、中、高档菜3:5:2的比例，确保每天中餐和晚餐，单价1元-2元的素菜不少于5个品种，单价3元-5元的荤菜不少于8个品种；其经营平均投料比（原料值/营业额*100%）不得低于55%；风味窗口销售的单品投料比不得低于50%。</w:t>
      </w:r>
      <w:r>
        <w:rPr>
          <w:rFonts w:hint="eastAsia" w:asciiTheme="minorEastAsia" w:hAnsiTheme="minorEastAsia" w:eastAsiaTheme="minorEastAsia"/>
          <w:sz w:val="24"/>
          <w:szCs w:val="24"/>
        </w:rPr>
        <w:t>饭菜明码标价，未经审批不得涨价，能适应不同经济状况和口味的师生就餐需求。所有食堂中午和晚上均必须提供免费汤，免费汤制作要经过甲方审批。</w:t>
      </w:r>
    </w:p>
    <w:p>
      <w:pPr>
        <w:spacing w:line="440" w:lineRule="exact"/>
        <w:ind w:firstLine="480" w:firstLineChars="200"/>
        <w:rPr>
          <w:rFonts w:asciiTheme="minorEastAsia" w:hAnsiTheme="minorEastAsia" w:eastAsiaTheme="minorEastAsia"/>
          <w:sz w:val="24"/>
          <w:szCs w:val="24"/>
        </w:rPr>
      </w:pPr>
      <w:r>
        <w:rPr>
          <w:rFonts w:hint="eastAsia" w:ascii="宋体" w:hAnsi="宋体"/>
          <w:sz w:val="24"/>
          <w:szCs w:val="24"/>
        </w:rPr>
        <w:t>教工食堂坚持零利润</w:t>
      </w:r>
      <w:r>
        <w:rPr>
          <w:rFonts w:hint="eastAsia" w:asciiTheme="minorEastAsia" w:hAnsiTheme="minorEastAsia" w:eastAsiaTheme="minorEastAsia"/>
          <w:sz w:val="24"/>
          <w:szCs w:val="24"/>
        </w:rPr>
        <w:t>原则</w:t>
      </w:r>
      <w:r>
        <w:rPr>
          <w:rFonts w:hint="eastAsia" w:ascii="宋体" w:hAnsi="宋体"/>
          <w:sz w:val="24"/>
          <w:szCs w:val="24"/>
        </w:rPr>
        <w:t>，必须每周提前提供食谱，用于甲</w:t>
      </w:r>
      <w:r>
        <w:rPr>
          <w:rFonts w:hint="eastAsia" w:asciiTheme="minorEastAsia" w:hAnsiTheme="minorEastAsia" w:eastAsiaTheme="minorEastAsia"/>
          <w:sz w:val="24"/>
          <w:szCs w:val="24"/>
        </w:rPr>
        <w:t>方审核。乙方按照学校规定的标准进行制作，按照主辅食材、人工、水电气等独立编册核算成本，每月接收并配合甲方的审核。</w:t>
      </w:r>
    </w:p>
    <w:tbl>
      <w:tblPr>
        <w:tblStyle w:val="54"/>
        <w:tblW w:w="92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2156"/>
        <w:gridCol w:w="2160"/>
        <w:gridCol w:w="1248"/>
        <w:gridCol w:w="2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995" w:type="dxa"/>
            <w:vAlign w:val="center"/>
          </w:tcPr>
          <w:p>
            <w:pPr>
              <w:pStyle w:val="130"/>
              <w:spacing w:line="440" w:lineRule="exact"/>
              <w:jc w:val="center"/>
            </w:pPr>
            <w:r>
              <w:rPr>
                <w:rFonts w:hint="eastAsia"/>
              </w:rPr>
              <w:t>序号</w:t>
            </w:r>
          </w:p>
        </w:tc>
        <w:tc>
          <w:tcPr>
            <w:tcW w:w="2156" w:type="dxa"/>
            <w:vAlign w:val="center"/>
          </w:tcPr>
          <w:p>
            <w:pPr>
              <w:pStyle w:val="130"/>
              <w:spacing w:line="440" w:lineRule="exact"/>
              <w:jc w:val="center"/>
            </w:pPr>
            <w:r>
              <w:rPr>
                <w:rFonts w:hint="eastAsia"/>
              </w:rPr>
              <w:t>品种</w:t>
            </w:r>
          </w:p>
        </w:tc>
        <w:tc>
          <w:tcPr>
            <w:tcW w:w="2160" w:type="dxa"/>
            <w:vAlign w:val="center"/>
          </w:tcPr>
          <w:p>
            <w:pPr>
              <w:pStyle w:val="130"/>
              <w:spacing w:line="440" w:lineRule="exact"/>
              <w:jc w:val="center"/>
            </w:pPr>
            <w:r>
              <w:rPr>
                <w:rFonts w:hint="eastAsia"/>
              </w:rPr>
              <w:t>规格</w:t>
            </w:r>
          </w:p>
        </w:tc>
        <w:tc>
          <w:tcPr>
            <w:tcW w:w="1248" w:type="dxa"/>
            <w:vAlign w:val="center"/>
          </w:tcPr>
          <w:p>
            <w:pPr>
              <w:pStyle w:val="130"/>
              <w:spacing w:line="440" w:lineRule="exact"/>
              <w:jc w:val="center"/>
            </w:pPr>
            <w:r>
              <w:rPr>
                <w:rFonts w:hint="eastAsia"/>
              </w:rPr>
              <w:t>价格</w:t>
            </w:r>
          </w:p>
        </w:tc>
        <w:tc>
          <w:tcPr>
            <w:tcW w:w="2668" w:type="dxa"/>
            <w:vAlign w:val="center"/>
          </w:tcPr>
          <w:p>
            <w:pPr>
              <w:pStyle w:val="130"/>
              <w:spacing w:line="44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995" w:type="dxa"/>
            <w:vAlign w:val="center"/>
          </w:tcPr>
          <w:p>
            <w:pPr>
              <w:pStyle w:val="130"/>
              <w:spacing w:line="440" w:lineRule="exact"/>
              <w:jc w:val="center"/>
            </w:pPr>
            <w:r>
              <w:rPr>
                <w:rFonts w:hint="eastAsia"/>
              </w:rPr>
              <w:t>1</w:t>
            </w:r>
          </w:p>
        </w:tc>
        <w:tc>
          <w:tcPr>
            <w:tcW w:w="2156" w:type="dxa"/>
            <w:vAlign w:val="center"/>
          </w:tcPr>
          <w:p>
            <w:pPr>
              <w:pStyle w:val="130"/>
              <w:spacing w:line="440" w:lineRule="exact"/>
              <w:jc w:val="center"/>
            </w:pPr>
            <w:r>
              <w:rPr>
                <w:rFonts w:hint="eastAsia"/>
              </w:rPr>
              <w:t>每份净肉（不带骨）</w:t>
            </w:r>
          </w:p>
        </w:tc>
        <w:tc>
          <w:tcPr>
            <w:tcW w:w="2160" w:type="dxa"/>
            <w:vAlign w:val="center"/>
          </w:tcPr>
          <w:p>
            <w:pPr>
              <w:pStyle w:val="130"/>
              <w:spacing w:line="440" w:lineRule="exact"/>
              <w:jc w:val="center"/>
            </w:pPr>
            <w:r>
              <w:rPr>
                <w:rFonts w:hint="eastAsia"/>
              </w:rPr>
              <w:t>≥100克</w:t>
            </w:r>
          </w:p>
        </w:tc>
        <w:tc>
          <w:tcPr>
            <w:tcW w:w="1248" w:type="dxa"/>
            <w:vAlign w:val="center"/>
          </w:tcPr>
          <w:p>
            <w:pPr>
              <w:pStyle w:val="130"/>
              <w:spacing w:line="440" w:lineRule="exact"/>
              <w:jc w:val="center"/>
            </w:pPr>
          </w:p>
        </w:tc>
        <w:tc>
          <w:tcPr>
            <w:tcW w:w="2668" w:type="dxa"/>
            <w:vAlign w:val="center"/>
          </w:tcPr>
          <w:p>
            <w:pPr>
              <w:pStyle w:val="130"/>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995" w:type="dxa"/>
            <w:vAlign w:val="center"/>
          </w:tcPr>
          <w:p>
            <w:pPr>
              <w:pStyle w:val="130"/>
              <w:spacing w:line="440" w:lineRule="exact"/>
              <w:jc w:val="center"/>
            </w:pPr>
            <w:r>
              <w:rPr>
                <w:rFonts w:hint="eastAsia"/>
              </w:rPr>
              <w:t>2</w:t>
            </w:r>
          </w:p>
        </w:tc>
        <w:tc>
          <w:tcPr>
            <w:tcW w:w="2156" w:type="dxa"/>
            <w:vAlign w:val="center"/>
          </w:tcPr>
          <w:p>
            <w:pPr>
              <w:pStyle w:val="130"/>
              <w:spacing w:line="440" w:lineRule="exact"/>
              <w:jc w:val="center"/>
            </w:pPr>
            <w:r>
              <w:rPr>
                <w:rFonts w:hint="eastAsia"/>
              </w:rPr>
              <w:t>带骨肉类</w:t>
            </w:r>
          </w:p>
        </w:tc>
        <w:tc>
          <w:tcPr>
            <w:tcW w:w="2160" w:type="dxa"/>
            <w:vAlign w:val="center"/>
          </w:tcPr>
          <w:p>
            <w:pPr>
              <w:pStyle w:val="130"/>
              <w:spacing w:line="440" w:lineRule="exact"/>
              <w:jc w:val="center"/>
            </w:pPr>
            <w:r>
              <w:rPr>
                <w:rFonts w:hint="eastAsia"/>
              </w:rPr>
              <w:t>≥125克</w:t>
            </w:r>
          </w:p>
        </w:tc>
        <w:tc>
          <w:tcPr>
            <w:tcW w:w="1248" w:type="dxa"/>
            <w:vAlign w:val="center"/>
          </w:tcPr>
          <w:p>
            <w:pPr>
              <w:pStyle w:val="130"/>
              <w:spacing w:line="440" w:lineRule="exact"/>
              <w:jc w:val="center"/>
            </w:pPr>
          </w:p>
        </w:tc>
        <w:tc>
          <w:tcPr>
            <w:tcW w:w="2668" w:type="dxa"/>
            <w:vAlign w:val="center"/>
          </w:tcPr>
          <w:p>
            <w:pPr>
              <w:pStyle w:val="130"/>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995" w:type="dxa"/>
            <w:vAlign w:val="center"/>
          </w:tcPr>
          <w:p>
            <w:pPr>
              <w:pStyle w:val="130"/>
              <w:spacing w:line="440" w:lineRule="exact"/>
              <w:jc w:val="center"/>
            </w:pPr>
            <w:r>
              <w:rPr>
                <w:rFonts w:hint="eastAsia"/>
              </w:rPr>
              <w:t>3</w:t>
            </w:r>
          </w:p>
        </w:tc>
        <w:tc>
          <w:tcPr>
            <w:tcW w:w="2156" w:type="dxa"/>
            <w:vAlign w:val="center"/>
          </w:tcPr>
          <w:p>
            <w:pPr>
              <w:pStyle w:val="130"/>
              <w:spacing w:line="440" w:lineRule="exact"/>
              <w:jc w:val="center"/>
            </w:pPr>
            <w:r>
              <w:rPr>
                <w:rFonts w:hint="eastAsia"/>
              </w:rPr>
              <w:t>每份肉</w:t>
            </w:r>
          </w:p>
        </w:tc>
        <w:tc>
          <w:tcPr>
            <w:tcW w:w="2160" w:type="dxa"/>
            <w:vAlign w:val="center"/>
          </w:tcPr>
          <w:p>
            <w:pPr>
              <w:pStyle w:val="130"/>
              <w:spacing w:line="440" w:lineRule="exact"/>
              <w:jc w:val="center"/>
            </w:pPr>
            <w:r>
              <w:rPr>
                <w:rFonts w:hint="eastAsia"/>
              </w:rPr>
              <w:t>≥75克</w:t>
            </w:r>
          </w:p>
        </w:tc>
        <w:tc>
          <w:tcPr>
            <w:tcW w:w="1248" w:type="dxa"/>
            <w:vAlign w:val="center"/>
          </w:tcPr>
          <w:p>
            <w:pPr>
              <w:pStyle w:val="130"/>
              <w:spacing w:line="440" w:lineRule="exact"/>
              <w:jc w:val="center"/>
            </w:pPr>
          </w:p>
        </w:tc>
        <w:tc>
          <w:tcPr>
            <w:tcW w:w="2668" w:type="dxa"/>
            <w:vAlign w:val="center"/>
          </w:tcPr>
          <w:p>
            <w:pPr>
              <w:pStyle w:val="130"/>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995" w:type="dxa"/>
            <w:vAlign w:val="center"/>
          </w:tcPr>
          <w:p>
            <w:pPr>
              <w:pStyle w:val="130"/>
              <w:spacing w:line="440" w:lineRule="exact"/>
              <w:jc w:val="center"/>
            </w:pPr>
            <w:r>
              <w:rPr>
                <w:rFonts w:hint="eastAsia"/>
              </w:rPr>
              <w:t>4</w:t>
            </w:r>
          </w:p>
        </w:tc>
        <w:tc>
          <w:tcPr>
            <w:tcW w:w="2156" w:type="dxa"/>
            <w:vAlign w:val="center"/>
          </w:tcPr>
          <w:p>
            <w:pPr>
              <w:pStyle w:val="130"/>
              <w:spacing w:line="440" w:lineRule="exact"/>
              <w:jc w:val="center"/>
            </w:pPr>
            <w:r>
              <w:rPr>
                <w:rFonts w:hint="eastAsia"/>
              </w:rPr>
              <w:t>加配菜</w:t>
            </w:r>
          </w:p>
        </w:tc>
        <w:tc>
          <w:tcPr>
            <w:tcW w:w="2160" w:type="dxa"/>
            <w:vAlign w:val="center"/>
          </w:tcPr>
          <w:p>
            <w:pPr>
              <w:pStyle w:val="130"/>
              <w:spacing w:line="440" w:lineRule="exact"/>
              <w:jc w:val="center"/>
            </w:pPr>
            <w:r>
              <w:rPr>
                <w:rFonts w:hint="eastAsia"/>
              </w:rPr>
              <w:t>≥175克</w:t>
            </w:r>
          </w:p>
        </w:tc>
        <w:tc>
          <w:tcPr>
            <w:tcW w:w="1248" w:type="dxa"/>
            <w:vAlign w:val="center"/>
          </w:tcPr>
          <w:p>
            <w:pPr>
              <w:pStyle w:val="130"/>
              <w:spacing w:line="440" w:lineRule="exact"/>
              <w:jc w:val="center"/>
            </w:pPr>
          </w:p>
        </w:tc>
        <w:tc>
          <w:tcPr>
            <w:tcW w:w="2668" w:type="dxa"/>
            <w:vAlign w:val="center"/>
          </w:tcPr>
          <w:p>
            <w:pPr>
              <w:pStyle w:val="130"/>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995" w:type="dxa"/>
            <w:vAlign w:val="center"/>
          </w:tcPr>
          <w:p>
            <w:pPr>
              <w:pStyle w:val="130"/>
              <w:spacing w:line="440" w:lineRule="exact"/>
              <w:jc w:val="center"/>
            </w:pPr>
            <w:r>
              <w:rPr>
                <w:rFonts w:hint="eastAsia"/>
              </w:rPr>
              <w:t>5</w:t>
            </w:r>
          </w:p>
        </w:tc>
        <w:tc>
          <w:tcPr>
            <w:tcW w:w="2156" w:type="dxa"/>
            <w:vAlign w:val="center"/>
          </w:tcPr>
          <w:p>
            <w:pPr>
              <w:pStyle w:val="130"/>
              <w:spacing w:line="440" w:lineRule="exact"/>
              <w:jc w:val="center"/>
            </w:pPr>
            <w:r>
              <w:rPr>
                <w:rFonts w:hint="eastAsia"/>
              </w:rPr>
              <w:t>每份蔬菜</w:t>
            </w:r>
          </w:p>
        </w:tc>
        <w:tc>
          <w:tcPr>
            <w:tcW w:w="2160" w:type="dxa"/>
            <w:vAlign w:val="center"/>
          </w:tcPr>
          <w:p>
            <w:pPr>
              <w:pStyle w:val="130"/>
              <w:spacing w:line="440" w:lineRule="exact"/>
              <w:jc w:val="center"/>
            </w:pPr>
            <w:r>
              <w:rPr>
                <w:rFonts w:hint="eastAsia"/>
              </w:rPr>
              <w:t>≥150克</w:t>
            </w:r>
          </w:p>
        </w:tc>
        <w:tc>
          <w:tcPr>
            <w:tcW w:w="1248" w:type="dxa"/>
            <w:vAlign w:val="center"/>
          </w:tcPr>
          <w:p>
            <w:pPr>
              <w:pStyle w:val="130"/>
              <w:spacing w:line="440" w:lineRule="exact"/>
              <w:jc w:val="center"/>
            </w:pPr>
          </w:p>
        </w:tc>
        <w:tc>
          <w:tcPr>
            <w:tcW w:w="2668" w:type="dxa"/>
            <w:vAlign w:val="center"/>
          </w:tcPr>
          <w:p>
            <w:pPr>
              <w:pStyle w:val="130"/>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995" w:type="dxa"/>
            <w:vAlign w:val="center"/>
          </w:tcPr>
          <w:p>
            <w:pPr>
              <w:pStyle w:val="130"/>
              <w:spacing w:line="440" w:lineRule="exact"/>
              <w:jc w:val="center"/>
            </w:pPr>
            <w:r>
              <w:rPr>
                <w:rFonts w:hint="eastAsia"/>
              </w:rPr>
              <w:t>6</w:t>
            </w:r>
          </w:p>
        </w:tc>
        <w:tc>
          <w:tcPr>
            <w:tcW w:w="2156" w:type="dxa"/>
            <w:vAlign w:val="center"/>
          </w:tcPr>
          <w:p>
            <w:pPr>
              <w:pStyle w:val="130"/>
              <w:spacing w:line="440" w:lineRule="exact"/>
              <w:jc w:val="center"/>
            </w:pPr>
            <w:r>
              <w:rPr>
                <w:rFonts w:hint="eastAsia"/>
              </w:rPr>
              <w:t>每份素菜</w:t>
            </w:r>
          </w:p>
        </w:tc>
        <w:tc>
          <w:tcPr>
            <w:tcW w:w="2160" w:type="dxa"/>
            <w:vAlign w:val="center"/>
          </w:tcPr>
          <w:p>
            <w:pPr>
              <w:pStyle w:val="130"/>
              <w:spacing w:line="440" w:lineRule="exact"/>
              <w:jc w:val="center"/>
            </w:pPr>
            <w:r>
              <w:rPr>
                <w:rFonts w:hint="eastAsia"/>
              </w:rPr>
              <w:t>≥125克</w:t>
            </w:r>
          </w:p>
        </w:tc>
        <w:tc>
          <w:tcPr>
            <w:tcW w:w="1248" w:type="dxa"/>
            <w:vAlign w:val="center"/>
          </w:tcPr>
          <w:p>
            <w:pPr>
              <w:pStyle w:val="130"/>
              <w:spacing w:line="440" w:lineRule="exact"/>
              <w:jc w:val="center"/>
            </w:pPr>
          </w:p>
        </w:tc>
        <w:tc>
          <w:tcPr>
            <w:tcW w:w="2668" w:type="dxa"/>
            <w:vAlign w:val="center"/>
          </w:tcPr>
          <w:p>
            <w:pPr>
              <w:pStyle w:val="130"/>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995" w:type="dxa"/>
            <w:vAlign w:val="center"/>
          </w:tcPr>
          <w:p>
            <w:pPr>
              <w:pStyle w:val="130"/>
              <w:spacing w:line="440" w:lineRule="exact"/>
              <w:jc w:val="center"/>
            </w:pPr>
            <w:r>
              <w:rPr>
                <w:rFonts w:hint="eastAsia"/>
              </w:rPr>
              <w:t>7</w:t>
            </w:r>
          </w:p>
        </w:tc>
        <w:tc>
          <w:tcPr>
            <w:tcW w:w="2156" w:type="dxa"/>
            <w:vAlign w:val="center"/>
          </w:tcPr>
          <w:p>
            <w:pPr>
              <w:pStyle w:val="130"/>
              <w:spacing w:line="440" w:lineRule="exact"/>
              <w:jc w:val="center"/>
            </w:pPr>
            <w:r>
              <w:rPr>
                <w:rFonts w:hint="eastAsia"/>
              </w:rPr>
              <w:t>每份菇、菌、笋</w:t>
            </w:r>
          </w:p>
        </w:tc>
        <w:tc>
          <w:tcPr>
            <w:tcW w:w="2160" w:type="dxa"/>
            <w:vAlign w:val="center"/>
          </w:tcPr>
          <w:p>
            <w:pPr>
              <w:pStyle w:val="130"/>
              <w:spacing w:line="440" w:lineRule="exact"/>
              <w:jc w:val="center"/>
            </w:pPr>
            <w:r>
              <w:rPr>
                <w:rFonts w:hint="eastAsia"/>
              </w:rPr>
              <w:t>≥100克</w:t>
            </w:r>
          </w:p>
        </w:tc>
        <w:tc>
          <w:tcPr>
            <w:tcW w:w="1248" w:type="dxa"/>
            <w:vAlign w:val="center"/>
          </w:tcPr>
          <w:p>
            <w:pPr>
              <w:pStyle w:val="130"/>
              <w:spacing w:line="440" w:lineRule="exact"/>
              <w:jc w:val="center"/>
            </w:pPr>
          </w:p>
        </w:tc>
        <w:tc>
          <w:tcPr>
            <w:tcW w:w="2668" w:type="dxa"/>
            <w:vAlign w:val="center"/>
          </w:tcPr>
          <w:p>
            <w:pPr>
              <w:pStyle w:val="130"/>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995" w:type="dxa"/>
            <w:vAlign w:val="center"/>
          </w:tcPr>
          <w:p>
            <w:pPr>
              <w:pStyle w:val="130"/>
              <w:spacing w:line="440" w:lineRule="exact"/>
              <w:jc w:val="center"/>
            </w:pPr>
            <w:r>
              <w:rPr>
                <w:rFonts w:hint="eastAsia"/>
              </w:rPr>
              <w:t>8</w:t>
            </w:r>
          </w:p>
        </w:tc>
        <w:tc>
          <w:tcPr>
            <w:tcW w:w="2156" w:type="dxa"/>
            <w:vAlign w:val="center"/>
          </w:tcPr>
          <w:p>
            <w:pPr>
              <w:pStyle w:val="130"/>
              <w:spacing w:line="440" w:lineRule="exact"/>
              <w:jc w:val="center"/>
            </w:pPr>
            <w:r>
              <w:rPr>
                <w:rFonts w:hint="eastAsia"/>
              </w:rPr>
              <w:t>五香蛋</w:t>
            </w:r>
          </w:p>
        </w:tc>
        <w:tc>
          <w:tcPr>
            <w:tcW w:w="2160" w:type="dxa"/>
            <w:vAlign w:val="center"/>
          </w:tcPr>
          <w:p>
            <w:pPr>
              <w:pStyle w:val="130"/>
              <w:spacing w:line="440" w:lineRule="exact"/>
              <w:jc w:val="center"/>
            </w:pPr>
            <w:r>
              <w:rPr>
                <w:rFonts w:hint="eastAsia"/>
              </w:rPr>
              <w:t>62克-71克</w:t>
            </w:r>
          </w:p>
        </w:tc>
        <w:tc>
          <w:tcPr>
            <w:tcW w:w="1248" w:type="dxa"/>
            <w:vAlign w:val="center"/>
          </w:tcPr>
          <w:p>
            <w:pPr>
              <w:pStyle w:val="130"/>
              <w:spacing w:line="440" w:lineRule="exact"/>
              <w:jc w:val="center"/>
            </w:pPr>
            <w:r>
              <w:rPr>
                <w:rFonts w:hint="eastAsia"/>
              </w:rPr>
              <w:t>1.2</w:t>
            </w:r>
          </w:p>
        </w:tc>
        <w:tc>
          <w:tcPr>
            <w:tcW w:w="2668" w:type="dxa"/>
            <w:vAlign w:val="center"/>
          </w:tcPr>
          <w:p>
            <w:pPr>
              <w:pStyle w:val="130"/>
              <w:spacing w:line="440" w:lineRule="exact"/>
              <w:jc w:val="center"/>
            </w:pPr>
            <w:r>
              <w:rPr>
                <w:rFonts w:hint="eastAsia"/>
              </w:rPr>
              <w:t>一斤鸡蛋（7只或8只）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jc w:val="center"/>
        </w:trPr>
        <w:tc>
          <w:tcPr>
            <w:tcW w:w="995" w:type="dxa"/>
            <w:vAlign w:val="center"/>
          </w:tcPr>
          <w:p>
            <w:pPr>
              <w:pStyle w:val="130"/>
              <w:spacing w:line="440" w:lineRule="exact"/>
              <w:jc w:val="center"/>
            </w:pPr>
            <w:r>
              <w:rPr>
                <w:rFonts w:hint="eastAsia"/>
              </w:rPr>
              <w:t>9</w:t>
            </w:r>
          </w:p>
        </w:tc>
        <w:tc>
          <w:tcPr>
            <w:tcW w:w="2156" w:type="dxa"/>
            <w:vAlign w:val="center"/>
          </w:tcPr>
          <w:p>
            <w:pPr>
              <w:pStyle w:val="130"/>
              <w:spacing w:line="440" w:lineRule="exact"/>
              <w:jc w:val="center"/>
            </w:pPr>
            <w:r>
              <w:rPr>
                <w:rFonts w:hint="eastAsia"/>
              </w:rPr>
              <w:t>白水蛋</w:t>
            </w:r>
          </w:p>
        </w:tc>
        <w:tc>
          <w:tcPr>
            <w:tcW w:w="2160" w:type="dxa"/>
            <w:vAlign w:val="center"/>
          </w:tcPr>
          <w:p>
            <w:pPr>
              <w:pStyle w:val="130"/>
              <w:spacing w:line="440" w:lineRule="exact"/>
              <w:jc w:val="center"/>
            </w:pPr>
            <w:r>
              <w:rPr>
                <w:rFonts w:hint="eastAsia"/>
              </w:rPr>
              <w:t>62克-71克</w:t>
            </w:r>
          </w:p>
        </w:tc>
        <w:tc>
          <w:tcPr>
            <w:tcW w:w="1248" w:type="dxa"/>
            <w:vAlign w:val="center"/>
          </w:tcPr>
          <w:p>
            <w:pPr>
              <w:pStyle w:val="130"/>
              <w:spacing w:line="440" w:lineRule="exact"/>
              <w:jc w:val="center"/>
            </w:pPr>
            <w:r>
              <w:rPr>
                <w:rFonts w:hint="eastAsia"/>
              </w:rPr>
              <w:t>1</w:t>
            </w:r>
          </w:p>
        </w:tc>
        <w:tc>
          <w:tcPr>
            <w:tcW w:w="2668" w:type="dxa"/>
            <w:vAlign w:val="center"/>
          </w:tcPr>
          <w:p>
            <w:pPr>
              <w:pStyle w:val="130"/>
              <w:spacing w:line="440" w:lineRule="exact"/>
              <w:jc w:val="center"/>
            </w:pPr>
            <w:r>
              <w:rPr>
                <w:rFonts w:hint="eastAsia"/>
              </w:rPr>
              <w:t>一斤鸡蛋（7只或8只）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995" w:type="dxa"/>
            <w:vAlign w:val="center"/>
          </w:tcPr>
          <w:p>
            <w:pPr>
              <w:pStyle w:val="130"/>
              <w:spacing w:line="440" w:lineRule="exact"/>
              <w:jc w:val="center"/>
            </w:pPr>
            <w:r>
              <w:rPr>
                <w:rFonts w:hint="eastAsia"/>
              </w:rPr>
              <w:t>10</w:t>
            </w:r>
          </w:p>
        </w:tc>
        <w:tc>
          <w:tcPr>
            <w:tcW w:w="2156" w:type="dxa"/>
            <w:vAlign w:val="center"/>
          </w:tcPr>
          <w:p>
            <w:pPr>
              <w:pStyle w:val="130"/>
              <w:spacing w:line="440" w:lineRule="exact"/>
              <w:jc w:val="center"/>
            </w:pPr>
            <w:r>
              <w:rPr>
                <w:rFonts w:hint="eastAsia"/>
              </w:rPr>
              <w:t>油煎蛋</w:t>
            </w:r>
          </w:p>
        </w:tc>
        <w:tc>
          <w:tcPr>
            <w:tcW w:w="2160" w:type="dxa"/>
            <w:vAlign w:val="center"/>
          </w:tcPr>
          <w:p>
            <w:pPr>
              <w:pStyle w:val="130"/>
              <w:spacing w:line="440" w:lineRule="exact"/>
              <w:jc w:val="center"/>
            </w:pPr>
            <w:r>
              <w:rPr>
                <w:rFonts w:hint="eastAsia"/>
              </w:rPr>
              <w:t>62克-71克</w:t>
            </w:r>
          </w:p>
        </w:tc>
        <w:tc>
          <w:tcPr>
            <w:tcW w:w="1248" w:type="dxa"/>
            <w:vAlign w:val="center"/>
          </w:tcPr>
          <w:p>
            <w:pPr>
              <w:pStyle w:val="130"/>
              <w:spacing w:line="440" w:lineRule="exact"/>
              <w:jc w:val="center"/>
            </w:pPr>
            <w:r>
              <w:rPr>
                <w:rFonts w:hint="eastAsia"/>
              </w:rPr>
              <w:t>1.3</w:t>
            </w:r>
          </w:p>
        </w:tc>
        <w:tc>
          <w:tcPr>
            <w:tcW w:w="2668" w:type="dxa"/>
            <w:vAlign w:val="center"/>
          </w:tcPr>
          <w:p>
            <w:pPr>
              <w:pStyle w:val="130"/>
              <w:spacing w:line="440" w:lineRule="exact"/>
              <w:jc w:val="center"/>
            </w:pPr>
            <w:r>
              <w:rPr>
                <w:rFonts w:hint="eastAsia"/>
              </w:rPr>
              <w:t>一斤鸡蛋（7只或8只）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995" w:type="dxa"/>
            <w:vAlign w:val="center"/>
          </w:tcPr>
          <w:p>
            <w:pPr>
              <w:pStyle w:val="130"/>
              <w:spacing w:line="440" w:lineRule="exact"/>
              <w:jc w:val="center"/>
            </w:pPr>
            <w:r>
              <w:rPr>
                <w:rFonts w:hint="eastAsia"/>
              </w:rPr>
              <w:t>11</w:t>
            </w:r>
          </w:p>
        </w:tc>
        <w:tc>
          <w:tcPr>
            <w:tcW w:w="2156" w:type="dxa"/>
            <w:vAlign w:val="center"/>
          </w:tcPr>
          <w:p>
            <w:pPr>
              <w:pStyle w:val="130"/>
              <w:spacing w:line="440" w:lineRule="exact"/>
              <w:jc w:val="center"/>
            </w:pPr>
            <w:r>
              <w:rPr>
                <w:rFonts w:hint="eastAsia"/>
              </w:rPr>
              <w:t>油条</w:t>
            </w:r>
          </w:p>
        </w:tc>
        <w:tc>
          <w:tcPr>
            <w:tcW w:w="2160" w:type="dxa"/>
            <w:vAlign w:val="center"/>
          </w:tcPr>
          <w:p>
            <w:pPr>
              <w:pStyle w:val="130"/>
              <w:spacing w:line="440" w:lineRule="exact"/>
              <w:jc w:val="center"/>
            </w:pPr>
            <w:r>
              <w:rPr>
                <w:rFonts w:hint="eastAsia"/>
              </w:rPr>
              <w:t>75克-100克</w:t>
            </w:r>
          </w:p>
        </w:tc>
        <w:tc>
          <w:tcPr>
            <w:tcW w:w="1248" w:type="dxa"/>
            <w:vAlign w:val="center"/>
          </w:tcPr>
          <w:p>
            <w:pPr>
              <w:pStyle w:val="130"/>
              <w:spacing w:line="440" w:lineRule="exact"/>
              <w:jc w:val="center"/>
            </w:pPr>
            <w:r>
              <w:rPr>
                <w:rFonts w:hint="eastAsia"/>
              </w:rPr>
              <w:t>1</w:t>
            </w:r>
          </w:p>
        </w:tc>
        <w:tc>
          <w:tcPr>
            <w:tcW w:w="2668" w:type="dxa"/>
            <w:vAlign w:val="center"/>
          </w:tcPr>
          <w:p>
            <w:pPr>
              <w:pStyle w:val="130"/>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jc w:val="center"/>
        </w:trPr>
        <w:tc>
          <w:tcPr>
            <w:tcW w:w="995" w:type="dxa"/>
            <w:vAlign w:val="center"/>
          </w:tcPr>
          <w:p>
            <w:pPr>
              <w:pStyle w:val="130"/>
              <w:spacing w:line="440" w:lineRule="exact"/>
              <w:jc w:val="center"/>
            </w:pPr>
            <w:r>
              <w:rPr>
                <w:rFonts w:hint="eastAsia"/>
              </w:rPr>
              <w:t>12</w:t>
            </w:r>
          </w:p>
        </w:tc>
        <w:tc>
          <w:tcPr>
            <w:tcW w:w="2156" w:type="dxa"/>
            <w:vAlign w:val="center"/>
          </w:tcPr>
          <w:p>
            <w:pPr>
              <w:pStyle w:val="130"/>
              <w:spacing w:line="440" w:lineRule="exact"/>
              <w:jc w:val="center"/>
            </w:pPr>
            <w:r>
              <w:rPr>
                <w:rFonts w:hint="eastAsia"/>
              </w:rPr>
              <w:t>白粥</w:t>
            </w:r>
          </w:p>
        </w:tc>
        <w:tc>
          <w:tcPr>
            <w:tcW w:w="2160" w:type="dxa"/>
            <w:vAlign w:val="center"/>
          </w:tcPr>
          <w:p>
            <w:pPr>
              <w:pStyle w:val="130"/>
              <w:spacing w:line="440" w:lineRule="exact"/>
              <w:jc w:val="center"/>
            </w:pPr>
            <w:r>
              <w:rPr>
                <w:rFonts w:hint="eastAsia"/>
              </w:rPr>
              <w:t>每碗不少于4两</w:t>
            </w:r>
          </w:p>
        </w:tc>
        <w:tc>
          <w:tcPr>
            <w:tcW w:w="1248" w:type="dxa"/>
            <w:vAlign w:val="center"/>
          </w:tcPr>
          <w:p>
            <w:pPr>
              <w:pStyle w:val="130"/>
              <w:spacing w:line="440" w:lineRule="exact"/>
              <w:jc w:val="center"/>
            </w:pPr>
            <w:r>
              <w:rPr>
                <w:rFonts w:hint="eastAsia"/>
              </w:rPr>
              <w:t>0.6</w:t>
            </w:r>
          </w:p>
        </w:tc>
        <w:tc>
          <w:tcPr>
            <w:tcW w:w="2668" w:type="dxa"/>
            <w:vAlign w:val="center"/>
          </w:tcPr>
          <w:p>
            <w:pPr>
              <w:pStyle w:val="130"/>
              <w:spacing w:line="440" w:lineRule="exact"/>
              <w:jc w:val="center"/>
            </w:pPr>
            <w:r>
              <w:rPr>
                <w:rFonts w:hint="eastAsia"/>
              </w:rPr>
              <w:t>不得断供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jc w:val="center"/>
        </w:trPr>
        <w:tc>
          <w:tcPr>
            <w:tcW w:w="995" w:type="dxa"/>
            <w:vAlign w:val="center"/>
          </w:tcPr>
          <w:p>
            <w:pPr>
              <w:pStyle w:val="130"/>
              <w:spacing w:line="440" w:lineRule="exact"/>
              <w:jc w:val="center"/>
            </w:pPr>
            <w:r>
              <w:rPr>
                <w:rFonts w:hint="eastAsia"/>
              </w:rPr>
              <w:t>13</w:t>
            </w:r>
          </w:p>
        </w:tc>
        <w:tc>
          <w:tcPr>
            <w:tcW w:w="2156" w:type="dxa"/>
            <w:vAlign w:val="center"/>
          </w:tcPr>
          <w:p>
            <w:pPr>
              <w:pStyle w:val="130"/>
              <w:spacing w:line="440" w:lineRule="exact"/>
              <w:jc w:val="center"/>
            </w:pPr>
            <w:r>
              <w:rPr>
                <w:rFonts w:hint="eastAsia"/>
              </w:rPr>
              <w:t>面条</w:t>
            </w:r>
          </w:p>
        </w:tc>
        <w:tc>
          <w:tcPr>
            <w:tcW w:w="2160" w:type="dxa"/>
            <w:vAlign w:val="center"/>
          </w:tcPr>
          <w:p>
            <w:pPr>
              <w:pStyle w:val="130"/>
              <w:spacing w:line="440" w:lineRule="exact"/>
              <w:jc w:val="center"/>
            </w:pPr>
            <w:r>
              <w:rPr>
                <w:rFonts w:hint="eastAsia"/>
              </w:rPr>
              <w:t>光面不少于3两</w:t>
            </w:r>
          </w:p>
        </w:tc>
        <w:tc>
          <w:tcPr>
            <w:tcW w:w="1248" w:type="dxa"/>
            <w:vAlign w:val="center"/>
          </w:tcPr>
          <w:p>
            <w:pPr>
              <w:pStyle w:val="130"/>
              <w:spacing w:line="440" w:lineRule="exact"/>
              <w:jc w:val="center"/>
            </w:pPr>
            <w:r>
              <w:rPr>
                <w:rFonts w:hint="eastAsia"/>
              </w:rPr>
              <w:t>4</w:t>
            </w:r>
          </w:p>
        </w:tc>
        <w:tc>
          <w:tcPr>
            <w:tcW w:w="2668" w:type="dxa"/>
            <w:vAlign w:val="center"/>
          </w:tcPr>
          <w:p>
            <w:pPr>
              <w:pStyle w:val="130"/>
              <w:spacing w:line="440" w:lineRule="exact"/>
              <w:jc w:val="center"/>
            </w:pPr>
            <w:r>
              <w:rPr>
                <w:rFonts w:hint="eastAsia"/>
              </w:rPr>
              <w:t>不得断供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995" w:type="dxa"/>
            <w:vAlign w:val="center"/>
          </w:tcPr>
          <w:p>
            <w:pPr>
              <w:pStyle w:val="130"/>
              <w:spacing w:line="440" w:lineRule="exact"/>
              <w:jc w:val="center"/>
            </w:pPr>
            <w:r>
              <w:rPr>
                <w:rFonts w:hint="eastAsia"/>
              </w:rPr>
              <w:t>14</w:t>
            </w:r>
          </w:p>
        </w:tc>
        <w:tc>
          <w:tcPr>
            <w:tcW w:w="2156" w:type="dxa"/>
            <w:vAlign w:val="center"/>
          </w:tcPr>
          <w:p>
            <w:pPr>
              <w:pStyle w:val="130"/>
              <w:spacing w:line="440" w:lineRule="exact"/>
              <w:jc w:val="center"/>
            </w:pPr>
            <w:r>
              <w:rPr>
                <w:rFonts w:hint="eastAsia"/>
              </w:rPr>
              <w:t>肉包等</w:t>
            </w:r>
          </w:p>
        </w:tc>
        <w:tc>
          <w:tcPr>
            <w:tcW w:w="2160" w:type="dxa"/>
            <w:vAlign w:val="center"/>
          </w:tcPr>
          <w:p>
            <w:pPr>
              <w:pStyle w:val="130"/>
              <w:spacing w:line="440" w:lineRule="exact"/>
              <w:jc w:val="center"/>
            </w:pPr>
            <w:r>
              <w:rPr>
                <w:rFonts w:hint="eastAsia"/>
              </w:rPr>
              <w:t>馅心不少于30克</w:t>
            </w:r>
          </w:p>
        </w:tc>
        <w:tc>
          <w:tcPr>
            <w:tcW w:w="1248" w:type="dxa"/>
            <w:vAlign w:val="center"/>
          </w:tcPr>
          <w:p>
            <w:pPr>
              <w:pStyle w:val="130"/>
              <w:spacing w:line="440" w:lineRule="exact"/>
              <w:jc w:val="center"/>
            </w:pPr>
            <w:r>
              <w:rPr>
                <w:rFonts w:hint="eastAsia"/>
              </w:rPr>
              <w:t>1.5</w:t>
            </w:r>
          </w:p>
        </w:tc>
        <w:tc>
          <w:tcPr>
            <w:tcW w:w="2668" w:type="dxa"/>
            <w:vAlign w:val="center"/>
          </w:tcPr>
          <w:p>
            <w:pPr>
              <w:pStyle w:val="130"/>
              <w:spacing w:line="440" w:lineRule="exact"/>
              <w:jc w:val="center"/>
            </w:pPr>
            <w:r>
              <w:rPr>
                <w:rFonts w:hint="eastAsia"/>
              </w:rPr>
              <w:t>不得断供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995" w:type="dxa"/>
            <w:vAlign w:val="center"/>
          </w:tcPr>
          <w:p>
            <w:pPr>
              <w:pStyle w:val="130"/>
              <w:spacing w:line="440" w:lineRule="exact"/>
              <w:jc w:val="center"/>
            </w:pPr>
            <w:r>
              <w:rPr>
                <w:rFonts w:hint="eastAsia"/>
              </w:rPr>
              <w:t>15</w:t>
            </w:r>
          </w:p>
        </w:tc>
        <w:tc>
          <w:tcPr>
            <w:tcW w:w="2156" w:type="dxa"/>
            <w:vAlign w:val="center"/>
          </w:tcPr>
          <w:p>
            <w:pPr>
              <w:pStyle w:val="130"/>
              <w:spacing w:line="440" w:lineRule="exact"/>
              <w:jc w:val="center"/>
            </w:pPr>
            <w:r>
              <w:rPr>
                <w:rFonts w:hint="eastAsia"/>
              </w:rPr>
              <w:t>低价菜</w:t>
            </w:r>
          </w:p>
        </w:tc>
        <w:tc>
          <w:tcPr>
            <w:tcW w:w="2160" w:type="dxa"/>
            <w:vAlign w:val="center"/>
          </w:tcPr>
          <w:p>
            <w:pPr>
              <w:pStyle w:val="130"/>
              <w:spacing w:line="440" w:lineRule="exact"/>
              <w:jc w:val="center"/>
            </w:pPr>
            <w:r>
              <w:rPr>
                <w:rFonts w:hint="eastAsia"/>
              </w:rPr>
              <w:t>时令蔬菜</w:t>
            </w:r>
          </w:p>
        </w:tc>
        <w:tc>
          <w:tcPr>
            <w:tcW w:w="1248" w:type="dxa"/>
            <w:vAlign w:val="center"/>
          </w:tcPr>
          <w:p>
            <w:pPr>
              <w:pStyle w:val="130"/>
              <w:spacing w:line="440" w:lineRule="exact"/>
              <w:jc w:val="center"/>
            </w:pPr>
            <w:r>
              <w:rPr>
                <w:rFonts w:hint="eastAsia"/>
              </w:rPr>
              <w:t>2</w:t>
            </w:r>
          </w:p>
        </w:tc>
        <w:tc>
          <w:tcPr>
            <w:tcW w:w="2668" w:type="dxa"/>
            <w:vAlign w:val="center"/>
          </w:tcPr>
          <w:p>
            <w:pPr>
              <w:pStyle w:val="130"/>
              <w:spacing w:line="440" w:lineRule="exact"/>
              <w:jc w:val="center"/>
            </w:pPr>
            <w:r>
              <w:rPr>
                <w:rFonts w:hint="eastAsia"/>
              </w:rPr>
              <w:t>供应品种不得少于5个，不得断供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995" w:type="dxa"/>
            <w:vAlign w:val="center"/>
          </w:tcPr>
          <w:p>
            <w:pPr>
              <w:pStyle w:val="130"/>
              <w:spacing w:line="440" w:lineRule="exact"/>
              <w:jc w:val="center"/>
            </w:pPr>
            <w:r>
              <w:rPr>
                <w:rFonts w:hint="eastAsia"/>
              </w:rPr>
              <w:t>16</w:t>
            </w:r>
          </w:p>
        </w:tc>
        <w:tc>
          <w:tcPr>
            <w:tcW w:w="2156" w:type="dxa"/>
            <w:vAlign w:val="center"/>
          </w:tcPr>
          <w:p>
            <w:pPr>
              <w:pStyle w:val="130"/>
              <w:spacing w:line="440" w:lineRule="exact"/>
              <w:jc w:val="center"/>
            </w:pPr>
            <w:r>
              <w:rPr>
                <w:rFonts w:hint="eastAsia"/>
              </w:rPr>
              <w:t>馒头</w:t>
            </w:r>
          </w:p>
        </w:tc>
        <w:tc>
          <w:tcPr>
            <w:tcW w:w="2160" w:type="dxa"/>
            <w:vAlign w:val="center"/>
          </w:tcPr>
          <w:p>
            <w:pPr>
              <w:pStyle w:val="130"/>
              <w:spacing w:line="440" w:lineRule="exact"/>
              <w:jc w:val="center"/>
            </w:pPr>
            <w:r>
              <w:rPr>
                <w:rFonts w:hint="eastAsia"/>
              </w:rPr>
              <w:t>不低于160克</w:t>
            </w:r>
          </w:p>
        </w:tc>
        <w:tc>
          <w:tcPr>
            <w:tcW w:w="1248" w:type="dxa"/>
            <w:vAlign w:val="center"/>
          </w:tcPr>
          <w:p>
            <w:pPr>
              <w:pStyle w:val="130"/>
              <w:spacing w:line="440" w:lineRule="exact"/>
              <w:jc w:val="center"/>
            </w:pPr>
            <w:r>
              <w:rPr>
                <w:rFonts w:hint="eastAsia"/>
              </w:rPr>
              <w:t>1</w:t>
            </w:r>
          </w:p>
        </w:tc>
        <w:tc>
          <w:tcPr>
            <w:tcW w:w="2668" w:type="dxa"/>
            <w:vAlign w:val="center"/>
          </w:tcPr>
          <w:p>
            <w:pPr>
              <w:pStyle w:val="130"/>
              <w:spacing w:line="440" w:lineRule="exact"/>
              <w:jc w:val="center"/>
            </w:pPr>
            <w:r>
              <w:rPr>
                <w:rFonts w:hint="eastAsia"/>
              </w:rPr>
              <w:t>不得断供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995" w:type="dxa"/>
            <w:vAlign w:val="center"/>
          </w:tcPr>
          <w:p>
            <w:pPr>
              <w:pStyle w:val="130"/>
              <w:spacing w:line="440" w:lineRule="exact"/>
              <w:jc w:val="center"/>
            </w:pPr>
            <w:r>
              <w:rPr>
                <w:rFonts w:hint="eastAsia"/>
              </w:rPr>
              <w:t>17</w:t>
            </w:r>
          </w:p>
        </w:tc>
        <w:tc>
          <w:tcPr>
            <w:tcW w:w="2156" w:type="dxa"/>
            <w:vAlign w:val="center"/>
          </w:tcPr>
          <w:p>
            <w:pPr>
              <w:pStyle w:val="130"/>
              <w:spacing w:line="440" w:lineRule="exact"/>
              <w:jc w:val="center"/>
            </w:pPr>
            <w:r>
              <w:rPr>
                <w:rFonts w:hint="eastAsia"/>
              </w:rPr>
              <w:t>套餐</w:t>
            </w:r>
          </w:p>
        </w:tc>
        <w:tc>
          <w:tcPr>
            <w:tcW w:w="2160" w:type="dxa"/>
            <w:vAlign w:val="center"/>
          </w:tcPr>
          <w:p>
            <w:pPr>
              <w:pStyle w:val="130"/>
              <w:spacing w:line="440" w:lineRule="exact"/>
              <w:jc w:val="center"/>
            </w:pPr>
            <w:r>
              <w:rPr>
                <w:rFonts w:hint="eastAsia"/>
              </w:rPr>
              <w:t>一大荤，一小荤，一素菜，米饭，可适量添加</w:t>
            </w:r>
          </w:p>
        </w:tc>
        <w:tc>
          <w:tcPr>
            <w:tcW w:w="1248" w:type="dxa"/>
            <w:vAlign w:val="center"/>
          </w:tcPr>
          <w:p>
            <w:pPr>
              <w:pStyle w:val="130"/>
              <w:spacing w:line="440" w:lineRule="exact"/>
              <w:jc w:val="center"/>
            </w:pPr>
            <w:r>
              <w:rPr>
                <w:rFonts w:hint="eastAsia"/>
              </w:rPr>
              <w:t>7</w:t>
            </w:r>
          </w:p>
        </w:tc>
        <w:tc>
          <w:tcPr>
            <w:tcW w:w="2668" w:type="dxa"/>
            <w:vAlign w:val="center"/>
          </w:tcPr>
          <w:p>
            <w:pPr>
              <w:pStyle w:val="130"/>
              <w:spacing w:line="440" w:lineRule="exact"/>
              <w:jc w:val="center"/>
            </w:pPr>
            <w:r>
              <w:rPr>
                <w:rFonts w:hint="eastAsia"/>
              </w:rPr>
              <w:t>大荤：鸡腿、鸭块、鸭腿、大排等，不得用半成品替代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995" w:type="dxa"/>
            <w:vAlign w:val="center"/>
          </w:tcPr>
          <w:p>
            <w:pPr>
              <w:pStyle w:val="130"/>
              <w:spacing w:line="440" w:lineRule="exact"/>
              <w:jc w:val="center"/>
            </w:pPr>
            <w:r>
              <w:rPr>
                <w:rFonts w:hint="eastAsia"/>
              </w:rPr>
              <w:t>18</w:t>
            </w:r>
          </w:p>
        </w:tc>
        <w:tc>
          <w:tcPr>
            <w:tcW w:w="2156" w:type="dxa"/>
            <w:vAlign w:val="center"/>
          </w:tcPr>
          <w:p>
            <w:pPr>
              <w:pStyle w:val="130"/>
              <w:spacing w:line="440" w:lineRule="exact"/>
              <w:jc w:val="center"/>
            </w:pPr>
            <w:r>
              <w:rPr>
                <w:rFonts w:hint="eastAsia"/>
              </w:rPr>
              <w:t>米饭</w:t>
            </w:r>
          </w:p>
        </w:tc>
        <w:tc>
          <w:tcPr>
            <w:tcW w:w="2160" w:type="dxa"/>
            <w:vAlign w:val="center"/>
          </w:tcPr>
          <w:p>
            <w:pPr>
              <w:pStyle w:val="130"/>
              <w:spacing w:line="440" w:lineRule="exact"/>
              <w:jc w:val="center"/>
            </w:pPr>
            <w:r>
              <w:rPr>
                <w:rFonts w:hint="eastAsia"/>
              </w:rPr>
              <w:t>不少于三两</w:t>
            </w:r>
          </w:p>
        </w:tc>
        <w:tc>
          <w:tcPr>
            <w:tcW w:w="1248" w:type="dxa"/>
            <w:vAlign w:val="center"/>
          </w:tcPr>
          <w:p>
            <w:pPr>
              <w:pStyle w:val="130"/>
              <w:spacing w:line="440" w:lineRule="exact"/>
              <w:jc w:val="center"/>
            </w:pPr>
            <w:r>
              <w:rPr>
                <w:rFonts w:hint="eastAsia"/>
              </w:rPr>
              <w:t>0.5元</w:t>
            </w:r>
          </w:p>
        </w:tc>
        <w:tc>
          <w:tcPr>
            <w:tcW w:w="2668" w:type="dxa"/>
            <w:vAlign w:val="center"/>
          </w:tcPr>
          <w:p>
            <w:pPr>
              <w:pStyle w:val="130"/>
              <w:spacing w:line="440" w:lineRule="exact"/>
              <w:jc w:val="center"/>
            </w:pPr>
            <w:r>
              <w:rPr>
                <w:rFonts w:hint="eastAsia"/>
              </w:rPr>
              <w:t>0.5元/人/次</w:t>
            </w:r>
          </w:p>
        </w:tc>
      </w:tr>
    </w:tbl>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w:t>
      </w:r>
      <w:r>
        <w:rPr>
          <w:rFonts w:asciiTheme="minorEastAsia" w:hAnsiTheme="minorEastAsia" w:eastAsiaTheme="minorEastAsia"/>
          <w:sz w:val="24"/>
          <w:szCs w:val="24"/>
        </w:rPr>
        <w:t>.</w:t>
      </w:r>
      <w:r>
        <w:rPr>
          <w:rFonts w:hint="eastAsia" w:ascii="宋体" w:hAnsi="宋体"/>
          <w:sz w:val="24"/>
          <w:szCs w:val="24"/>
        </w:rPr>
        <w:t>乙方必须持照经营，相关的证照要齐全。</w:t>
      </w:r>
      <w:r>
        <w:rPr>
          <w:rFonts w:hint="eastAsia" w:asciiTheme="minorEastAsia" w:hAnsiTheme="minorEastAsia" w:eastAsiaTheme="minorEastAsia"/>
          <w:sz w:val="24"/>
          <w:szCs w:val="24"/>
        </w:rPr>
        <w:t>乙方违反工商、卫生防疫、消防、治安、环保、劳务、税务等部门法规，甲方有权视其情节轻重给予警告、处罚，直至终止合同，由此引起的经济和法律责任由乙方承担。</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w:t>
      </w:r>
      <w:r>
        <w:rPr>
          <w:rFonts w:hint="eastAsia" w:asciiTheme="minorEastAsia" w:hAnsiTheme="minorEastAsia" w:eastAsiaTheme="minorEastAsia"/>
          <w:sz w:val="24"/>
          <w:szCs w:val="24"/>
        </w:rPr>
        <w:t>乙方不得以甲方的名义对外从事经营活动，不得将甲方资产对外租赁、抵押；未经甲方许可不得在食堂内外设置商业广告、举办大型活动。</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w:t>
      </w:r>
      <w:r>
        <w:rPr>
          <w:rFonts w:asciiTheme="minorEastAsia" w:hAnsiTheme="minorEastAsia" w:eastAsiaTheme="minorEastAsia"/>
          <w:sz w:val="24"/>
          <w:szCs w:val="24"/>
        </w:rPr>
        <w:t>.</w:t>
      </w:r>
      <w:r>
        <w:rPr>
          <w:rFonts w:hint="eastAsia" w:asciiTheme="minorEastAsia" w:hAnsiTheme="minorEastAsia" w:eastAsiaTheme="minorEastAsia"/>
          <w:sz w:val="24"/>
          <w:szCs w:val="24"/>
        </w:rPr>
        <w:t>乙方必须严格按照甲方规定和要求的服务时间提供服务；超市等其他服务外包项目服务时间与食堂服务时间无关。未经甲方同意，不得以任何理由延长或提前终止服务。甲方的教育教学活动、节假日及其他活动的安排不受乙方制约，甲方承担重大活动时有权临时调整乙方的服务时间。乙方根据甲方教学安排和市场规则自行安排服务方略，甲方对乙方服务的盈亏不作任何承诺、不承担任何责任。</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w:t>
      </w:r>
      <w:r>
        <w:rPr>
          <w:rFonts w:asciiTheme="minorEastAsia" w:hAnsiTheme="minorEastAsia" w:eastAsiaTheme="minorEastAsia"/>
          <w:sz w:val="24"/>
          <w:szCs w:val="24"/>
        </w:rPr>
        <w:t>.</w:t>
      </w:r>
      <w:r>
        <w:rPr>
          <w:rFonts w:hint="eastAsia" w:asciiTheme="minorEastAsia" w:hAnsiTheme="minorEastAsia" w:eastAsiaTheme="minorEastAsia"/>
          <w:sz w:val="24"/>
          <w:szCs w:val="24"/>
        </w:rPr>
        <w:t>乙方不得对甲方提供的服务房屋、设施等进行随意改造。确需改造必须书面报甲方同意后方可实施，费用由乙方承担，合同期满后根据甲方意见进行拆除，不得私自拆除，否则乙方免费恢复。乙方要保证甲方配置的公物、设施完好无损，造成人为损坏和丢失的，按甲方资产管理的有关规定进行赔偿。乙方自行购置的移动设备一律自行处理。服务到期乙方无条件向甲方交还服务使用的一切场所、房屋、设备等。</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w:t>
      </w:r>
      <w:r>
        <w:rPr>
          <w:rFonts w:hint="eastAsia" w:asciiTheme="minorEastAsia" w:hAnsiTheme="minorEastAsia" w:eastAsiaTheme="minorEastAsia"/>
          <w:sz w:val="24"/>
          <w:szCs w:val="24"/>
        </w:rPr>
        <w:t>乙方必须保证服务场所内外的环境卫生，实行“门前三包”，食堂保洁、垃圾清运（运送到固定垃圾箱处）、安全保卫等工作由乙方自行承担。</w:t>
      </w:r>
    </w:p>
    <w:p>
      <w:pPr>
        <w:spacing w:line="440" w:lineRule="exact"/>
        <w:ind w:firstLine="480" w:firstLineChars="200"/>
        <w:rPr>
          <w:rFonts w:ascii="宋体" w:hAnsi="宋体"/>
          <w:b/>
          <w:sz w:val="24"/>
          <w:szCs w:val="24"/>
        </w:rPr>
      </w:pPr>
      <w:r>
        <w:rPr>
          <w:rFonts w:hint="eastAsia" w:asciiTheme="minorEastAsia" w:hAnsiTheme="minorEastAsia" w:eastAsiaTheme="minorEastAsia"/>
          <w:b/>
          <w:sz w:val="24"/>
          <w:szCs w:val="24"/>
        </w:rPr>
        <w:t>五</w:t>
      </w:r>
      <w:r>
        <w:rPr>
          <w:rFonts w:hint="eastAsia" w:ascii="宋体" w:hAnsi="宋体"/>
          <w:b/>
          <w:sz w:val="24"/>
          <w:szCs w:val="24"/>
        </w:rPr>
        <w:t>、甲方的权利和义务</w:t>
      </w:r>
    </w:p>
    <w:p>
      <w:pPr>
        <w:spacing w:line="440" w:lineRule="exact"/>
        <w:ind w:firstLine="480" w:firstLineChars="200"/>
        <w:rPr>
          <w:rFonts w:ascii="宋体" w:hAnsi="宋体"/>
          <w:sz w:val="24"/>
          <w:szCs w:val="24"/>
        </w:rPr>
      </w:pPr>
      <w:r>
        <w:rPr>
          <w:rFonts w:hint="eastAsia" w:ascii="宋体" w:hAnsi="宋体"/>
          <w:sz w:val="24"/>
          <w:szCs w:val="24"/>
        </w:rPr>
        <w:t>1.按照有关规章和行业规范，对乙方的经营服务状况进行必要的管理、监督、控制和检查。</w:t>
      </w:r>
    </w:p>
    <w:p>
      <w:pPr>
        <w:spacing w:line="440" w:lineRule="exact"/>
        <w:ind w:firstLine="480" w:firstLineChars="200"/>
        <w:rPr>
          <w:rFonts w:ascii="宋体" w:hAnsi="宋体"/>
          <w:sz w:val="24"/>
          <w:szCs w:val="24"/>
        </w:rPr>
      </w:pPr>
      <w:r>
        <w:rPr>
          <w:rFonts w:hint="eastAsia" w:ascii="宋体" w:hAnsi="宋体"/>
          <w:sz w:val="24"/>
          <w:szCs w:val="24"/>
        </w:rPr>
        <w:t>2.负责收集、反馈顾客对乙方服务质量的意见和建议，督促乙方不断提高管理服务水平。</w:t>
      </w:r>
    </w:p>
    <w:p>
      <w:pPr>
        <w:spacing w:line="440" w:lineRule="exact"/>
        <w:ind w:firstLine="480" w:firstLineChars="200"/>
        <w:rPr>
          <w:rFonts w:ascii="宋体" w:hAnsi="宋体"/>
          <w:sz w:val="24"/>
          <w:szCs w:val="24"/>
        </w:rPr>
      </w:pPr>
      <w:r>
        <w:rPr>
          <w:rFonts w:hint="eastAsia" w:ascii="宋体" w:hAnsi="宋体"/>
          <w:sz w:val="24"/>
          <w:szCs w:val="24"/>
        </w:rPr>
        <w:t>3.监控乙方的原材料采购渠道，对其食品的卫生和价格进行监督。</w:t>
      </w:r>
    </w:p>
    <w:p>
      <w:pPr>
        <w:spacing w:line="440" w:lineRule="exact"/>
        <w:ind w:firstLine="480" w:firstLineChars="200"/>
        <w:rPr>
          <w:rFonts w:ascii="宋体" w:hAnsi="宋体"/>
          <w:sz w:val="24"/>
          <w:szCs w:val="24"/>
        </w:rPr>
      </w:pPr>
      <w:r>
        <w:rPr>
          <w:rFonts w:hint="eastAsia" w:ascii="宋体" w:hAnsi="宋体"/>
          <w:sz w:val="24"/>
          <w:szCs w:val="24"/>
        </w:rPr>
        <w:t>4.对乙方营业场所的安全卫生进行检查和监督。</w:t>
      </w:r>
    </w:p>
    <w:p>
      <w:pPr>
        <w:spacing w:line="440" w:lineRule="exact"/>
        <w:ind w:firstLine="480" w:firstLineChars="200"/>
        <w:rPr>
          <w:rFonts w:ascii="宋体" w:hAnsi="宋体"/>
          <w:sz w:val="24"/>
          <w:szCs w:val="24"/>
        </w:rPr>
      </w:pPr>
      <w:r>
        <w:rPr>
          <w:rFonts w:hint="eastAsia" w:ascii="宋体" w:hAnsi="宋体"/>
          <w:sz w:val="24"/>
          <w:szCs w:val="24"/>
        </w:rPr>
        <w:t>5.规定乙方的经营品种，未经甲方同意，乙方不得变更或增加经营品种。</w:t>
      </w:r>
    </w:p>
    <w:p>
      <w:pPr>
        <w:spacing w:line="440" w:lineRule="exact"/>
        <w:ind w:firstLine="480" w:firstLineChars="200"/>
        <w:rPr>
          <w:rFonts w:ascii="宋体" w:hAnsi="宋体"/>
          <w:sz w:val="24"/>
          <w:szCs w:val="24"/>
        </w:rPr>
      </w:pPr>
      <w:r>
        <w:rPr>
          <w:rFonts w:hint="eastAsia" w:ascii="宋体" w:hAnsi="宋体"/>
          <w:sz w:val="24"/>
          <w:szCs w:val="24"/>
        </w:rPr>
        <w:t>6.甲方对乙方在校经营期间的任何不当行为，有权优先按本合同中规定的《违约责任条款》进行处罚，不适用本合同中规定的违约责任条款的经营不当行为，按甲方《食堂生产规范及安全管理考核实施细则》进行处罚，直至解除合同。</w:t>
      </w:r>
    </w:p>
    <w:p>
      <w:pPr>
        <w:spacing w:line="440" w:lineRule="exact"/>
        <w:ind w:firstLine="480" w:firstLineChars="200"/>
        <w:rPr>
          <w:rFonts w:ascii="宋体" w:hAnsi="宋体"/>
          <w:sz w:val="24"/>
          <w:szCs w:val="24"/>
        </w:rPr>
      </w:pPr>
      <w:r>
        <w:rPr>
          <w:rFonts w:hint="eastAsia" w:ascii="宋体" w:hAnsi="宋体"/>
          <w:sz w:val="24"/>
          <w:szCs w:val="24"/>
        </w:rPr>
        <w:t>7.甲方依据招标文件规定和部门管理要求，负责开展合同期内考核，对乙方的日常服务、满意度调查及经营业绩进行综合评分，考核结果作为合同续签或下一轮招标参考依据。</w:t>
      </w:r>
    </w:p>
    <w:p>
      <w:pPr>
        <w:spacing w:line="440" w:lineRule="exact"/>
        <w:ind w:firstLine="480" w:firstLineChars="200"/>
        <w:rPr>
          <w:rFonts w:ascii="宋体" w:hAnsi="宋体"/>
          <w:sz w:val="24"/>
          <w:szCs w:val="24"/>
        </w:rPr>
      </w:pPr>
      <w:r>
        <w:rPr>
          <w:rFonts w:hint="eastAsia" w:ascii="宋体" w:hAnsi="宋体"/>
          <w:sz w:val="24"/>
          <w:szCs w:val="24"/>
        </w:rPr>
        <w:t>8.甲方不承诺乙方对餐饮经营市场保护的任何要求，以及不承担校园餐饮经营环境变化对乙方造成的任何责任，不提供乙方员工住宿安排等。</w:t>
      </w:r>
    </w:p>
    <w:p>
      <w:pPr>
        <w:spacing w:line="440" w:lineRule="exact"/>
        <w:ind w:firstLine="480" w:firstLineChars="200"/>
        <w:rPr>
          <w:rFonts w:ascii="宋体" w:hAnsi="宋体"/>
          <w:b/>
          <w:sz w:val="24"/>
          <w:szCs w:val="24"/>
        </w:rPr>
      </w:pPr>
      <w:r>
        <w:rPr>
          <w:rFonts w:hint="eastAsia" w:asciiTheme="minorEastAsia" w:hAnsiTheme="minorEastAsia" w:eastAsiaTheme="minorEastAsia"/>
          <w:b/>
          <w:sz w:val="24"/>
          <w:szCs w:val="24"/>
        </w:rPr>
        <w:t>六</w:t>
      </w:r>
      <w:r>
        <w:rPr>
          <w:rFonts w:hint="eastAsia" w:ascii="宋体" w:hAnsi="宋体"/>
          <w:b/>
          <w:sz w:val="24"/>
          <w:szCs w:val="24"/>
        </w:rPr>
        <w:t>、乙方的权利和义务</w:t>
      </w:r>
    </w:p>
    <w:p>
      <w:pPr>
        <w:spacing w:line="440" w:lineRule="exact"/>
        <w:ind w:firstLine="480" w:firstLineChars="200"/>
        <w:rPr>
          <w:rFonts w:ascii="宋体" w:hAnsi="宋体"/>
          <w:sz w:val="24"/>
          <w:szCs w:val="24"/>
        </w:rPr>
      </w:pPr>
      <w:r>
        <w:rPr>
          <w:rFonts w:hint="eastAsia" w:ascii="宋体" w:hAnsi="宋体"/>
          <w:sz w:val="24"/>
          <w:szCs w:val="24"/>
        </w:rPr>
        <w:t>1.遵守国家法律法规及行业规范，遵守甲方有关规章制度，服从甲方的管理。</w:t>
      </w:r>
    </w:p>
    <w:p>
      <w:pPr>
        <w:spacing w:line="440" w:lineRule="exact"/>
        <w:ind w:firstLine="480" w:firstLineChars="200"/>
        <w:rPr>
          <w:rFonts w:ascii="宋体" w:hAnsi="宋体"/>
          <w:sz w:val="24"/>
          <w:szCs w:val="24"/>
        </w:rPr>
      </w:pPr>
      <w:r>
        <w:rPr>
          <w:rFonts w:hint="eastAsia" w:ascii="宋体" w:hAnsi="宋体"/>
          <w:sz w:val="24"/>
          <w:szCs w:val="24"/>
        </w:rPr>
        <w:t>2.乙方负责人（姓名：身份证号码：）在本校经营管理期限为年，中途不得自行更换。配合甲方实施“7S”现场管理，实行规范化经营操作。</w:t>
      </w:r>
    </w:p>
    <w:p>
      <w:pPr>
        <w:spacing w:line="440" w:lineRule="exact"/>
        <w:ind w:firstLine="480" w:firstLineChars="200"/>
        <w:rPr>
          <w:rFonts w:ascii="宋体" w:hAnsi="宋体"/>
          <w:sz w:val="24"/>
          <w:szCs w:val="24"/>
        </w:rPr>
      </w:pPr>
      <w:r>
        <w:rPr>
          <w:rFonts w:hint="eastAsia" w:ascii="宋体" w:hAnsi="宋体"/>
          <w:sz w:val="24"/>
          <w:szCs w:val="24"/>
        </w:rPr>
        <w:t>3.提供营业执照、产品质量检测报告等相关证明。</w:t>
      </w:r>
    </w:p>
    <w:p>
      <w:pPr>
        <w:spacing w:line="440" w:lineRule="exact"/>
        <w:ind w:firstLine="480" w:firstLineChars="200"/>
        <w:rPr>
          <w:rFonts w:ascii="宋体" w:hAnsi="宋体"/>
          <w:sz w:val="24"/>
          <w:szCs w:val="24"/>
        </w:rPr>
      </w:pPr>
      <w:r>
        <w:rPr>
          <w:rFonts w:hint="eastAsia" w:ascii="宋体" w:hAnsi="宋体"/>
          <w:sz w:val="24"/>
          <w:szCs w:val="24"/>
        </w:rPr>
        <w:t>4.合法用工，提供工作人员的名单、身份证、户口本复印件、健康证等有效证明资料。</w:t>
      </w:r>
    </w:p>
    <w:p>
      <w:pPr>
        <w:spacing w:line="440" w:lineRule="exact"/>
        <w:ind w:firstLine="480" w:firstLineChars="200"/>
        <w:rPr>
          <w:rFonts w:ascii="宋体" w:hAnsi="宋体"/>
          <w:sz w:val="24"/>
          <w:szCs w:val="24"/>
        </w:rPr>
      </w:pPr>
      <w:r>
        <w:rPr>
          <w:rFonts w:hint="eastAsia" w:ascii="宋体" w:hAnsi="宋体"/>
          <w:sz w:val="24"/>
          <w:szCs w:val="24"/>
        </w:rPr>
        <w:t>5.主动接受甲方等相关部门的监督、指导、检查，确保顾客的合理要求能够得到满足，并提供合格服务，产品标准达到国家规定的相关标准。</w:t>
      </w:r>
    </w:p>
    <w:p>
      <w:pPr>
        <w:spacing w:line="440" w:lineRule="exact"/>
        <w:ind w:firstLine="480" w:firstLineChars="200"/>
        <w:rPr>
          <w:rFonts w:ascii="宋体" w:hAnsi="宋体"/>
          <w:sz w:val="24"/>
          <w:szCs w:val="24"/>
        </w:rPr>
      </w:pPr>
      <w:r>
        <w:rPr>
          <w:rFonts w:hint="eastAsia" w:ascii="宋体" w:hAnsi="宋体"/>
          <w:sz w:val="24"/>
          <w:szCs w:val="24"/>
        </w:rPr>
        <w:t>6.饭菜价格的确定和调整须经甲方同意，明码标价并公示，不得擅自涨价。</w:t>
      </w:r>
    </w:p>
    <w:p>
      <w:pPr>
        <w:spacing w:line="440" w:lineRule="exact"/>
        <w:ind w:firstLine="480" w:firstLineChars="200"/>
        <w:rPr>
          <w:rFonts w:ascii="宋体" w:hAnsi="宋体"/>
          <w:sz w:val="24"/>
          <w:szCs w:val="24"/>
        </w:rPr>
      </w:pPr>
      <w:r>
        <w:rPr>
          <w:rFonts w:hint="eastAsia" w:ascii="宋体" w:hAnsi="宋体"/>
          <w:sz w:val="24"/>
          <w:szCs w:val="24"/>
        </w:rPr>
        <w:t>7.所有出售的饭菜必须按投标文件中承诺的份量、主辅料配比、价格执行，单一原料食品必须在出售窗口一一对应标出计量标准及价格。</w:t>
      </w:r>
    </w:p>
    <w:p>
      <w:pPr>
        <w:spacing w:line="440" w:lineRule="exact"/>
        <w:ind w:firstLine="480" w:firstLineChars="200"/>
        <w:rPr>
          <w:rFonts w:ascii="宋体" w:hAnsi="宋体"/>
          <w:sz w:val="24"/>
          <w:szCs w:val="24"/>
        </w:rPr>
      </w:pPr>
      <w:r>
        <w:rPr>
          <w:rFonts w:hint="eastAsia" w:ascii="宋体" w:hAnsi="宋体"/>
          <w:sz w:val="24"/>
          <w:szCs w:val="24"/>
        </w:rPr>
        <w:t>8.严格按照甲方的有关规章制度、卫生安全标准及工作流程进行操作，并自觉接受甲方的检查和督促。</w:t>
      </w:r>
    </w:p>
    <w:p>
      <w:pPr>
        <w:spacing w:line="440" w:lineRule="exact"/>
        <w:ind w:firstLine="480" w:firstLineChars="200"/>
        <w:rPr>
          <w:rFonts w:ascii="宋体" w:hAnsi="宋体"/>
          <w:sz w:val="24"/>
          <w:szCs w:val="24"/>
        </w:rPr>
      </w:pPr>
      <w:r>
        <w:rPr>
          <w:rFonts w:hint="eastAsia" w:ascii="宋体" w:hAnsi="宋体"/>
          <w:sz w:val="24"/>
          <w:szCs w:val="24"/>
        </w:rPr>
        <w:t>9.独立承担合同期内所有应缴税、费，并独立承担合同期内的所有债权、债务，遵纪守法，照章运行，规范竞争。</w:t>
      </w:r>
    </w:p>
    <w:p>
      <w:pPr>
        <w:spacing w:line="440" w:lineRule="exact"/>
        <w:ind w:firstLine="480" w:firstLineChars="200"/>
        <w:rPr>
          <w:rFonts w:ascii="宋体" w:hAnsi="宋体"/>
          <w:sz w:val="24"/>
          <w:szCs w:val="24"/>
        </w:rPr>
      </w:pPr>
      <w:r>
        <w:rPr>
          <w:rFonts w:hint="eastAsia" w:ascii="宋体" w:hAnsi="宋体"/>
          <w:sz w:val="24"/>
          <w:szCs w:val="24"/>
        </w:rPr>
        <w:t>10.对经营场所及相关设施设备的安全、防盗、防火等负全责。</w:t>
      </w:r>
    </w:p>
    <w:p>
      <w:pPr>
        <w:spacing w:line="440" w:lineRule="exact"/>
        <w:ind w:firstLine="480" w:firstLineChars="200"/>
        <w:rPr>
          <w:rFonts w:ascii="宋体" w:hAnsi="宋体"/>
          <w:sz w:val="24"/>
          <w:szCs w:val="24"/>
        </w:rPr>
      </w:pPr>
      <w:r>
        <w:rPr>
          <w:rFonts w:hint="eastAsia" w:ascii="宋体" w:hAnsi="宋体"/>
          <w:sz w:val="24"/>
          <w:szCs w:val="24"/>
        </w:rPr>
        <w:t>11.承担在合同期内所造成的民事责任、行政责任和刑事责任。</w:t>
      </w:r>
    </w:p>
    <w:p>
      <w:pPr>
        <w:spacing w:line="440" w:lineRule="exact"/>
        <w:ind w:firstLine="480" w:firstLineChars="200"/>
        <w:rPr>
          <w:rFonts w:ascii="宋体" w:hAnsi="宋体"/>
          <w:sz w:val="24"/>
          <w:szCs w:val="24"/>
        </w:rPr>
      </w:pPr>
      <w:r>
        <w:rPr>
          <w:rFonts w:hint="eastAsia" w:ascii="宋体" w:hAnsi="宋体"/>
          <w:sz w:val="24"/>
          <w:szCs w:val="24"/>
        </w:rPr>
        <w:t>12.保护好甲方提供的设备设施，如有损坏，照价赔偿；乙方在合同期内的维修费用自理。</w:t>
      </w:r>
    </w:p>
    <w:p>
      <w:pPr>
        <w:spacing w:line="440" w:lineRule="exact"/>
        <w:ind w:firstLine="480" w:firstLineChars="200"/>
        <w:rPr>
          <w:rFonts w:ascii="宋体" w:hAnsi="宋体"/>
          <w:sz w:val="24"/>
          <w:szCs w:val="24"/>
        </w:rPr>
      </w:pPr>
      <w:r>
        <w:rPr>
          <w:rFonts w:hint="eastAsia" w:ascii="宋体" w:hAnsi="宋体"/>
          <w:sz w:val="24"/>
          <w:szCs w:val="24"/>
        </w:rPr>
        <w:t>13.严格执行甲方各项规定，积极参与甲方组织的各项活动，并给予支持赞助。</w:t>
      </w:r>
    </w:p>
    <w:p>
      <w:pPr>
        <w:spacing w:line="440" w:lineRule="exact"/>
        <w:ind w:firstLine="480" w:firstLineChars="200"/>
        <w:rPr>
          <w:rFonts w:ascii="宋体" w:hAnsi="宋体"/>
          <w:b/>
          <w:bCs/>
          <w:sz w:val="24"/>
          <w:szCs w:val="24"/>
        </w:rPr>
      </w:pPr>
      <w:r>
        <w:rPr>
          <w:rFonts w:hint="eastAsia" w:ascii="宋体" w:hAnsi="宋体"/>
          <w:b/>
          <w:bCs/>
          <w:sz w:val="24"/>
          <w:szCs w:val="24"/>
        </w:rPr>
        <w:t>14.自觉维护经营场所内部下水管道的畅通，并采取防护措施，如出现堵塞，自行承担疏通费用。</w:t>
      </w:r>
    </w:p>
    <w:p>
      <w:pPr>
        <w:spacing w:line="440" w:lineRule="exact"/>
        <w:ind w:firstLine="480" w:firstLineChars="200"/>
        <w:rPr>
          <w:rFonts w:ascii="宋体" w:hAnsi="宋体"/>
          <w:sz w:val="24"/>
          <w:szCs w:val="24"/>
        </w:rPr>
      </w:pPr>
      <w:r>
        <w:rPr>
          <w:rFonts w:hint="eastAsia" w:ascii="宋体" w:hAnsi="宋体"/>
          <w:sz w:val="24"/>
          <w:szCs w:val="24"/>
        </w:rPr>
        <w:t>15.未经甲方同意，不得擅自以任何形式利用甲方名义进行宣传。</w:t>
      </w:r>
    </w:p>
    <w:p>
      <w:pPr>
        <w:spacing w:line="440" w:lineRule="exact"/>
        <w:ind w:firstLine="480" w:firstLineChars="200"/>
        <w:rPr>
          <w:rFonts w:ascii="宋体" w:hAnsi="宋体"/>
          <w:sz w:val="24"/>
          <w:szCs w:val="24"/>
        </w:rPr>
      </w:pPr>
      <w:r>
        <w:rPr>
          <w:rFonts w:hint="eastAsia" w:ascii="宋体" w:hAnsi="宋体"/>
          <w:sz w:val="24"/>
          <w:szCs w:val="24"/>
        </w:rPr>
        <w:t>16.未经甲方同意，不得开展各类促销活动。</w:t>
      </w:r>
    </w:p>
    <w:p>
      <w:pPr>
        <w:spacing w:line="440" w:lineRule="exact"/>
        <w:ind w:firstLine="480" w:firstLineChars="200"/>
        <w:rPr>
          <w:rFonts w:ascii="宋体" w:hAnsi="宋体"/>
          <w:sz w:val="24"/>
          <w:szCs w:val="24"/>
        </w:rPr>
      </w:pPr>
      <w:r>
        <w:rPr>
          <w:rFonts w:hint="eastAsia" w:ascii="宋体" w:hAnsi="宋体"/>
          <w:sz w:val="24"/>
          <w:szCs w:val="24"/>
        </w:rPr>
        <w:t>17.在经营过程中不得以任何形式强制消费，办理充值卡。</w:t>
      </w:r>
    </w:p>
    <w:p>
      <w:pPr>
        <w:spacing w:line="440" w:lineRule="exact"/>
        <w:ind w:firstLine="480" w:firstLineChars="200"/>
        <w:rPr>
          <w:rFonts w:ascii="宋体" w:hAnsi="宋体"/>
          <w:sz w:val="24"/>
          <w:szCs w:val="24"/>
        </w:rPr>
      </w:pPr>
      <w:r>
        <w:rPr>
          <w:rFonts w:hint="eastAsia" w:ascii="宋体" w:hAnsi="宋体"/>
          <w:sz w:val="24"/>
          <w:szCs w:val="24"/>
        </w:rPr>
        <w:t>18.在合同期限内不得自行停业，如遇特殊情况需停业的，应提前30日向甲方提出书面申请，经甲方批准后方可停业。</w:t>
      </w:r>
    </w:p>
    <w:p>
      <w:pPr>
        <w:spacing w:line="440" w:lineRule="exact"/>
        <w:ind w:firstLine="480" w:firstLineChars="200"/>
        <w:jc w:val="left"/>
        <w:rPr>
          <w:rFonts w:asciiTheme="minorEastAsia" w:hAnsiTheme="minorEastAsia" w:eastAsiaTheme="minorEastAsia"/>
          <w:sz w:val="24"/>
          <w:szCs w:val="24"/>
        </w:rPr>
      </w:pPr>
      <w:r>
        <w:rPr>
          <w:rFonts w:hint="eastAsia" w:ascii="宋体" w:hAnsi="宋体"/>
          <w:sz w:val="24"/>
          <w:szCs w:val="24"/>
        </w:rPr>
        <w:t>19.合同终止或解除后，在甲方要求的期限内无条件搬离经营场所，甲方不承担乙方经营期限内所有的提升及设备添置等费用。</w:t>
      </w:r>
      <w:r>
        <w:rPr>
          <w:rFonts w:hint="eastAsia" w:asciiTheme="minorEastAsia" w:hAnsiTheme="minorEastAsia" w:eastAsiaTheme="minorEastAsia"/>
          <w:sz w:val="24"/>
          <w:szCs w:val="24"/>
        </w:rPr>
        <w:t>按照招标文件，乙方承诺，用于改善餐厅就餐环境及相关设备投入合同到期后无偿捐赠给甲方。</w:t>
      </w:r>
    </w:p>
    <w:p>
      <w:pPr>
        <w:spacing w:line="440" w:lineRule="exact"/>
        <w:ind w:firstLine="480" w:firstLineChars="200"/>
        <w:rPr>
          <w:rFonts w:ascii="宋体" w:hAnsi="宋体"/>
          <w:b/>
          <w:sz w:val="24"/>
          <w:szCs w:val="24"/>
        </w:rPr>
      </w:pPr>
      <w:r>
        <w:rPr>
          <w:rFonts w:hint="eastAsia" w:asciiTheme="minorEastAsia" w:hAnsiTheme="minorEastAsia" w:eastAsiaTheme="minorEastAsia"/>
          <w:b/>
          <w:sz w:val="24"/>
          <w:szCs w:val="24"/>
        </w:rPr>
        <w:t>七</w:t>
      </w:r>
      <w:r>
        <w:rPr>
          <w:rFonts w:hint="eastAsia" w:ascii="宋体" w:hAnsi="宋体"/>
          <w:b/>
          <w:sz w:val="24"/>
          <w:szCs w:val="24"/>
        </w:rPr>
        <w:t>、违约责任</w:t>
      </w:r>
    </w:p>
    <w:p>
      <w:pPr>
        <w:spacing w:line="440" w:lineRule="exact"/>
        <w:ind w:firstLine="480" w:firstLineChars="200"/>
        <w:rPr>
          <w:rFonts w:ascii="宋体" w:hAnsi="宋体"/>
          <w:sz w:val="24"/>
          <w:szCs w:val="24"/>
        </w:rPr>
      </w:pPr>
      <w:r>
        <w:rPr>
          <w:rFonts w:hint="eastAsia" w:ascii="宋体" w:hAnsi="宋体"/>
          <w:sz w:val="24"/>
          <w:szCs w:val="24"/>
        </w:rPr>
        <w:t>在合同期内，如发生下列情况之一的，甲方有权终止合同，没收乙方交纳的履约保证金，并由乙方承担由此造成的一切后果：</w:t>
      </w:r>
    </w:p>
    <w:p>
      <w:pPr>
        <w:spacing w:line="440" w:lineRule="exact"/>
        <w:ind w:firstLine="480" w:firstLineChars="200"/>
        <w:rPr>
          <w:rFonts w:ascii="宋体" w:hAnsi="宋体"/>
          <w:sz w:val="24"/>
          <w:szCs w:val="24"/>
        </w:rPr>
      </w:pPr>
      <w:r>
        <w:rPr>
          <w:rFonts w:hint="eastAsia" w:ascii="宋体" w:hAnsi="宋体"/>
          <w:sz w:val="24"/>
          <w:szCs w:val="24"/>
        </w:rPr>
        <w:t>（1）乙方发生重大安全事故的；</w:t>
      </w:r>
    </w:p>
    <w:p>
      <w:pPr>
        <w:spacing w:line="440" w:lineRule="exact"/>
        <w:ind w:firstLine="480" w:firstLineChars="200"/>
        <w:rPr>
          <w:rFonts w:ascii="宋体" w:hAnsi="宋体"/>
          <w:sz w:val="24"/>
          <w:szCs w:val="24"/>
        </w:rPr>
      </w:pPr>
      <w:r>
        <w:rPr>
          <w:rFonts w:hint="eastAsia" w:ascii="宋体" w:hAnsi="宋体"/>
          <w:sz w:val="24"/>
          <w:szCs w:val="24"/>
        </w:rPr>
        <w:t>（2）因乙方原因，引发影响较大并给正常教学秩序带来影响事件的；</w:t>
      </w:r>
    </w:p>
    <w:p>
      <w:pPr>
        <w:spacing w:line="440" w:lineRule="exact"/>
        <w:ind w:firstLine="480" w:firstLineChars="200"/>
        <w:rPr>
          <w:rFonts w:ascii="宋体" w:hAnsi="宋体"/>
          <w:sz w:val="24"/>
          <w:szCs w:val="24"/>
        </w:rPr>
      </w:pPr>
      <w:r>
        <w:rPr>
          <w:rFonts w:hint="eastAsia" w:ascii="宋体" w:hAnsi="宋体"/>
          <w:sz w:val="24"/>
          <w:szCs w:val="24"/>
        </w:rPr>
        <w:t>（3）乙方所进行的活动超越本合同约定（如转包等）的；</w:t>
      </w:r>
    </w:p>
    <w:p>
      <w:pPr>
        <w:spacing w:line="440" w:lineRule="exact"/>
        <w:ind w:firstLine="480" w:firstLineChars="200"/>
        <w:rPr>
          <w:rFonts w:ascii="宋体" w:hAnsi="宋体"/>
          <w:sz w:val="24"/>
          <w:szCs w:val="24"/>
        </w:rPr>
      </w:pPr>
      <w:r>
        <w:rPr>
          <w:rFonts w:hint="eastAsia" w:ascii="宋体" w:hAnsi="宋体"/>
          <w:sz w:val="24"/>
          <w:szCs w:val="24"/>
        </w:rPr>
        <w:t>（4）乙方发生违法乱纪事件的；</w:t>
      </w:r>
    </w:p>
    <w:p>
      <w:pPr>
        <w:spacing w:line="440" w:lineRule="exact"/>
        <w:ind w:firstLine="480" w:firstLineChars="200"/>
        <w:rPr>
          <w:rFonts w:ascii="宋体" w:hAnsi="宋体"/>
          <w:sz w:val="24"/>
          <w:szCs w:val="24"/>
        </w:rPr>
      </w:pPr>
      <w:r>
        <w:rPr>
          <w:rFonts w:hint="eastAsia" w:ascii="宋体" w:hAnsi="宋体"/>
          <w:sz w:val="24"/>
          <w:szCs w:val="24"/>
        </w:rPr>
        <w:t>（5）因乙方原因停止经营且经甲方督促仍未按照合同约定恢复正常经营的；</w:t>
      </w:r>
    </w:p>
    <w:p>
      <w:pPr>
        <w:spacing w:line="440" w:lineRule="exact"/>
        <w:ind w:firstLine="480" w:firstLineChars="200"/>
        <w:rPr>
          <w:rFonts w:ascii="宋体" w:hAnsi="宋体"/>
          <w:sz w:val="24"/>
          <w:szCs w:val="24"/>
        </w:rPr>
      </w:pPr>
      <w:r>
        <w:rPr>
          <w:rFonts w:hint="eastAsia" w:ascii="宋体" w:hAnsi="宋体"/>
          <w:sz w:val="24"/>
          <w:szCs w:val="24"/>
        </w:rPr>
        <w:t>（6）乙方未按合同执行期限或约定开业时间正常经营的；</w:t>
      </w:r>
    </w:p>
    <w:p>
      <w:pPr>
        <w:spacing w:line="440" w:lineRule="exact"/>
        <w:ind w:firstLine="480" w:firstLineChars="200"/>
        <w:rPr>
          <w:rFonts w:ascii="宋体" w:hAnsi="宋体"/>
          <w:sz w:val="24"/>
          <w:szCs w:val="24"/>
        </w:rPr>
      </w:pPr>
      <w:r>
        <w:rPr>
          <w:rFonts w:hint="eastAsia" w:ascii="宋体" w:hAnsi="宋体"/>
          <w:sz w:val="24"/>
          <w:szCs w:val="24"/>
        </w:rPr>
        <w:t>（7）甲方监督检查发现乙方存在重大不合格事项的。</w:t>
      </w:r>
    </w:p>
    <w:p>
      <w:pPr>
        <w:spacing w:line="440" w:lineRule="exact"/>
        <w:ind w:firstLine="480"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八、考核制度和处罚</w:t>
      </w:r>
    </w:p>
    <w:p>
      <w:pPr>
        <w:spacing w:line="440" w:lineRule="exact"/>
        <w:ind w:firstLine="480" w:firstLineChars="200"/>
        <w:rPr>
          <w:rFonts w:ascii="宋体" w:hAnsi="宋体"/>
          <w:sz w:val="24"/>
          <w:szCs w:val="24"/>
        </w:rPr>
      </w:pPr>
      <w:r>
        <w:rPr>
          <w:rFonts w:hint="eastAsia" w:ascii="宋体" w:hAnsi="宋体"/>
          <w:sz w:val="24"/>
          <w:szCs w:val="24"/>
        </w:rPr>
        <w:t>（一）《盐城幼儿师范高等专科学校服务外包管理办法》</w:t>
      </w:r>
    </w:p>
    <w:p>
      <w:pPr>
        <w:spacing w:line="440" w:lineRule="exact"/>
        <w:ind w:firstLine="480" w:firstLineChars="200"/>
        <w:rPr>
          <w:rFonts w:ascii="宋体" w:hAnsi="宋体"/>
          <w:sz w:val="24"/>
          <w:szCs w:val="24"/>
        </w:rPr>
      </w:pPr>
      <w:r>
        <w:rPr>
          <w:rFonts w:hint="eastAsia" w:ascii="宋体" w:hAnsi="宋体"/>
          <w:sz w:val="24"/>
          <w:szCs w:val="24"/>
        </w:rPr>
        <w:t>（二）《盐城幼儿师范高等专科学校食堂考核实施细则》</w:t>
      </w:r>
    </w:p>
    <w:p>
      <w:pPr>
        <w:spacing w:line="440" w:lineRule="exact"/>
        <w:ind w:firstLine="480" w:firstLineChars="200"/>
        <w:rPr>
          <w:rFonts w:ascii="宋体" w:hAnsi="宋体"/>
          <w:b/>
          <w:sz w:val="24"/>
          <w:szCs w:val="24"/>
        </w:rPr>
      </w:pPr>
      <w:r>
        <w:rPr>
          <w:rFonts w:hint="eastAsia" w:asciiTheme="minorEastAsia" w:hAnsiTheme="minorEastAsia" w:eastAsiaTheme="minorEastAsia"/>
          <w:b/>
          <w:sz w:val="24"/>
          <w:szCs w:val="24"/>
        </w:rPr>
        <w:t>九</w:t>
      </w:r>
      <w:r>
        <w:rPr>
          <w:rFonts w:hint="eastAsia" w:ascii="宋体" w:hAnsi="宋体"/>
          <w:b/>
          <w:sz w:val="24"/>
          <w:szCs w:val="24"/>
        </w:rPr>
        <w:t>、合同的解除和变更</w:t>
      </w:r>
    </w:p>
    <w:p>
      <w:pPr>
        <w:spacing w:line="440" w:lineRule="exact"/>
        <w:ind w:firstLine="480" w:firstLineChars="200"/>
        <w:rPr>
          <w:rFonts w:ascii="宋体" w:hAnsi="宋体"/>
          <w:sz w:val="24"/>
          <w:szCs w:val="24"/>
        </w:rPr>
      </w:pPr>
      <w:r>
        <w:rPr>
          <w:rFonts w:hint="eastAsia" w:ascii="宋体" w:hAnsi="宋体"/>
          <w:sz w:val="24"/>
          <w:szCs w:val="24"/>
        </w:rPr>
        <w:t>1.合同生效后，除法定和双方约定或同意的事由外，不得解除或变更。</w:t>
      </w:r>
    </w:p>
    <w:p>
      <w:pPr>
        <w:spacing w:line="440" w:lineRule="exact"/>
        <w:ind w:firstLine="480" w:firstLineChars="200"/>
        <w:rPr>
          <w:rFonts w:ascii="宋体" w:hAnsi="宋体"/>
          <w:sz w:val="24"/>
          <w:szCs w:val="24"/>
        </w:rPr>
      </w:pPr>
      <w:r>
        <w:rPr>
          <w:rFonts w:hint="eastAsia" w:ascii="宋体" w:hAnsi="宋体"/>
          <w:sz w:val="24"/>
          <w:szCs w:val="24"/>
        </w:rPr>
        <w:t>2.乙方若出现甲方认定的影响甲方总体经营格局的事项，甲方有权解除合同。</w:t>
      </w:r>
    </w:p>
    <w:p>
      <w:pPr>
        <w:spacing w:line="440" w:lineRule="exact"/>
        <w:ind w:firstLine="480" w:firstLineChars="200"/>
        <w:rPr>
          <w:rFonts w:ascii="宋体" w:hAnsi="宋体"/>
          <w:sz w:val="24"/>
          <w:szCs w:val="24"/>
        </w:rPr>
      </w:pPr>
      <w:r>
        <w:rPr>
          <w:rFonts w:hint="eastAsia" w:ascii="宋体" w:hAnsi="宋体"/>
          <w:sz w:val="24"/>
          <w:szCs w:val="24"/>
        </w:rPr>
        <w:t>3.乙方出现经营困难并无力维持正常运转的，应提前30天向甲方提出解除合同申请，解除合同事宜由双方协商。</w:t>
      </w:r>
    </w:p>
    <w:p>
      <w:pPr>
        <w:spacing w:line="440" w:lineRule="exact"/>
        <w:ind w:firstLine="480" w:firstLineChars="200"/>
        <w:rPr>
          <w:rFonts w:ascii="宋体" w:hAnsi="宋体"/>
          <w:sz w:val="24"/>
          <w:szCs w:val="24"/>
        </w:rPr>
      </w:pPr>
      <w:r>
        <w:rPr>
          <w:rFonts w:hint="eastAsia" w:ascii="宋体" w:hAnsi="宋体"/>
          <w:sz w:val="24"/>
          <w:szCs w:val="24"/>
        </w:rPr>
        <w:t>4.若因其它特殊情况确需变更或解除合同时，要求变更或解除的一方应提前30日以书面的形式通知对方以征得对方同意，对方在接到书面通知15日内予以答复，逾期未答复则视为已同意。</w:t>
      </w:r>
    </w:p>
    <w:p>
      <w:pPr>
        <w:spacing w:line="440" w:lineRule="exact"/>
        <w:ind w:firstLine="480" w:firstLineChars="200"/>
        <w:rPr>
          <w:rFonts w:ascii="宋体" w:hAnsi="宋体"/>
          <w:sz w:val="24"/>
          <w:szCs w:val="24"/>
        </w:rPr>
      </w:pPr>
      <w:r>
        <w:rPr>
          <w:rFonts w:hint="eastAsia" w:ascii="宋体" w:hAnsi="宋体"/>
          <w:sz w:val="24"/>
          <w:szCs w:val="24"/>
        </w:rPr>
        <w:t>5.无法定理由或未约定或未经双方同意，变更或解除合同所造成的损失由提出方负责。</w:t>
      </w:r>
    </w:p>
    <w:p>
      <w:pPr>
        <w:spacing w:line="440" w:lineRule="exact"/>
        <w:ind w:firstLine="480" w:firstLineChars="200"/>
        <w:rPr>
          <w:rFonts w:ascii="宋体" w:hAnsi="宋体"/>
          <w:b/>
          <w:sz w:val="24"/>
          <w:szCs w:val="24"/>
          <w:u w:val="words"/>
        </w:rPr>
      </w:pPr>
      <w:r>
        <w:rPr>
          <w:rFonts w:hint="eastAsia" w:ascii="宋体" w:hAnsi="宋体"/>
          <w:b/>
          <w:sz w:val="24"/>
          <w:szCs w:val="24"/>
          <w:u w:val="words"/>
        </w:rPr>
        <w:t>6.遇政府规划调整，甲方有权解除合同，乙方应服从甲方要求，不得以任何理由拒绝并按照甲方规定时间内撤出经营场所。</w:t>
      </w:r>
    </w:p>
    <w:p>
      <w:pPr>
        <w:spacing w:line="440" w:lineRule="exact"/>
        <w:ind w:firstLine="480" w:firstLineChars="200"/>
        <w:rPr>
          <w:rFonts w:ascii="宋体" w:hAnsi="宋体"/>
          <w:b/>
          <w:sz w:val="24"/>
          <w:szCs w:val="24"/>
        </w:rPr>
      </w:pPr>
      <w:r>
        <w:rPr>
          <w:rFonts w:hint="eastAsia" w:asciiTheme="minorEastAsia" w:hAnsiTheme="minorEastAsia" w:eastAsiaTheme="minorEastAsia"/>
          <w:b/>
          <w:sz w:val="24"/>
          <w:szCs w:val="24"/>
        </w:rPr>
        <w:t>十</w:t>
      </w:r>
      <w:r>
        <w:rPr>
          <w:rFonts w:hint="eastAsia" w:ascii="宋体" w:hAnsi="宋体"/>
          <w:b/>
          <w:sz w:val="24"/>
          <w:szCs w:val="24"/>
        </w:rPr>
        <w:t>、合同生效及其它</w:t>
      </w:r>
    </w:p>
    <w:p>
      <w:pPr>
        <w:spacing w:line="440" w:lineRule="exact"/>
        <w:ind w:firstLine="470" w:firstLineChars="196"/>
        <w:rPr>
          <w:rFonts w:ascii="宋体" w:hAnsi="宋体"/>
          <w:sz w:val="24"/>
          <w:szCs w:val="24"/>
        </w:rPr>
      </w:pPr>
      <w:r>
        <w:rPr>
          <w:rFonts w:hint="eastAsia" w:ascii="宋体" w:hAnsi="宋体"/>
          <w:sz w:val="24"/>
          <w:szCs w:val="24"/>
        </w:rPr>
        <w:t>1.组成本合同的文件包括：本合同书、甲方招标文件、中标通知书、乙方投标书及附件、标准、规范及有关技术文件等。</w:t>
      </w:r>
    </w:p>
    <w:p>
      <w:pPr>
        <w:spacing w:line="440" w:lineRule="exact"/>
        <w:ind w:firstLine="470" w:firstLineChars="196"/>
        <w:rPr>
          <w:rFonts w:ascii="宋体" w:hAnsi="宋体"/>
          <w:sz w:val="24"/>
          <w:szCs w:val="24"/>
        </w:rPr>
      </w:pPr>
      <w:r>
        <w:rPr>
          <w:rFonts w:hint="eastAsia" w:ascii="宋体" w:hAnsi="宋体"/>
          <w:sz w:val="24"/>
          <w:szCs w:val="24"/>
        </w:rPr>
        <w:t>2.本合同经双方签章后生效</w:t>
      </w:r>
    </w:p>
    <w:p>
      <w:pPr>
        <w:spacing w:line="440" w:lineRule="exact"/>
        <w:ind w:firstLine="480" w:firstLineChars="200"/>
        <w:rPr>
          <w:rFonts w:ascii="宋体" w:hAnsi="宋体"/>
          <w:sz w:val="24"/>
          <w:szCs w:val="24"/>
        </w:rPr>
      </w:pPr>
      <w:r>
        <w:rPr>
          <w:rFonts w:hint="eastAsia" w:ascii="宋体" w:hAnsi="宋体"/>
          <w:sz w:val="24"/>
          <w:szCs w:val="24"/>
        </w:rPr>
        <w:t>3.合同生效后，双方都应严格履行合同，如在履行合同过程中产生争议时，双方协商解决。协商不成，向盐城市</w:t>
      </w:r>
      <w:r>
        <w:rPr>
          <w:rFonts w:hint="eastAsia" w:asciiTheme="minorEastAsia" w:hAnsiTheme="minorEastAsia" w:eastAsiaTheme="minorEastAsia"/>
          <w:sz w:val="24"/>
          <w:szCs w:val="24"/>
        </w:rPr>
        <w:t>盐都</w:t>
      </w:r>
      <w:r>
        <w:rPr>
          <w:rFonts w:hint="eastAsia" w:ascii="宋体" w:hAnsi="宋体"/>
          <w:sz w:val="24"/>
          <w:szCs w:val="24"/>
        </w:rPr>
        <w:t>区人民法院提起诉讼。</w:t>
      </w:r>
    </w:p>
    <w:p>
      <w:pPr>
        <w:spacing w:line="440" w:lineRule="exact"/>
        <w:ind w:firstLine="480" w:firstLineChars="200"/>
        <w:rPr>
          <w:rFonts w:ascii="宋体" w:hAnsi="宋体"/>
          <w:sz w:val="24"/>
          <w:szCs w:val="24"/>
        </w:rPr>
      </w:pPr>
      <w:r>
        <w:rPr>
          <w:rFonts w:hint="eastAsia" w:ascii="宋体" w:hAnsi="宋体"/>
          <w:sz w:val="24"/>
          <w:szCs w:val="24"/>
        </w:rPr>
        <w:t>4.合同在执行过程中出现的未尽事宜，双方协商解决。协商结果以补充协议形式作为本合同的附件，与本合同具有同等效力。</w:t>
      </w:r>
    </w:p>
    <w:p>
      <w:pPr>
        <w:spacing w:line="440" w:lineRule="exact"/>
        <w:ind w:firstLine="480" w:firstLineChars="200"/>
        <w:rPr>
          <w:rFonts w:ascii="宋体" w:hAnsi="宋体"/>
          <w:sz w:val="24"/>
          <w:szCs w:val="24"/>
        </w:rPr>
      </w:pPr>
      <w:r>
        <w:rPr>
          <w:rFonts w:hint="eastAsia" w:ascii="宋体" w:hAnsi="宋体"/>
          <w:sz w:val="24"/>
          <w:szCs w:val="24"/>
        </w:rPr>
        <w:t>5.本合同一式捌份，甲方执伍份，乙方执叁份。</w:t>
      </w:r>
    </w:p>
    <w:p>
      <w:pPr>
        <w:pStyle w:val="2"/>
        <w:spacing w:line="440" w:lineRule="exact"/>
        <w:ind w:firstLine="480" w:firstLineChars="200"/>
        <w:rPr>
          <w:color w:val="auto"/>
        </w:rPr>
      </w:pPr>
      <w:r>
        <w:rPr>
          <w:rFonts w:hint="eastAsia" w:ascii="宋体" w:hAnsi="宋体"/>
          <w:color w:val="auto"/>
        </w:rPr>
        <w:t>附件1：《安全责任书》</w:t>
      </w:r>
    </w:p>
    <w:p>
      <w:pPr>
        <w:pStyle w:val="2"/>
        <w:spacing w:line="440" w:lineRule="exact"/>
        <w:ind w:firstLine="480" w:firstLineChars="200"/>
        <w:rPr>
          <w:rFonts w:ascii="宋体" w:hAnsi="宋体"/>
          <w:color w:val="auto"/>
        </w:rPr>
      </w:pPr>
      <w:r>
        <w:rPr>
          <w:rFonts w:hint="eastAsia" w:ascii="宋体" w:hAnsi="宋体"/>
          <w:color w:val="auto"/>
        </w:rPr>
        <w:t>附件2：《食堂考核实施细则》</w:t>
      </w:r>
    </w:p>
    <w:p>
      <w:pPr>
        <w:pStyle w:val="2"/>
        <w:spacing w:line="440" w:lineRule="exact"/>
        <w:ind w:firstLine="480" w:firstLineChars="200"/>
        <w:rPr>
          <w:rFonts w:ascii="宋体" w:hAnsi="宋体"/>
          <w:color w:val="auto"/>
        </w:rPr>
      </w:pPr>
      <w:r>
        <w:rPr>
          <w:rFonts w:hint="eastAsia" w:ascii="宋体" w:hAnsi="宋体"/>
          <w:color w:val="auto"/>
        </w:rPr>
        <w:t>附件3：《饮食安全卫生责任书》</w:t>
      </w:r>
    </w:p>
    <w:p>
      <w:pPr>
        <w:spacing w:line="480" w:lineRule="exact"/>
        <w:ind w:left="6120" w:hanging="6120" w:hangingChars="2550"/>
        <w:jc w:val="left"/>
        <w:rPr>
          <w:rFonts w:asciiTheme="minorEastAsia" w:hAnsiTheme="minorEastAsia" w:eastAsiaTheme="minorEastAsia"/>
          <w:sz w:val="24"/>
          <w:szCs w:val="24"/>
        </w:rPr>
      </w:pPr>
    </w:p>
    <w:p>
      <w:pPr>
        <w:pStyle w:val="2"/>
        <w:rPr>
          <w:rFonts w:asciiTheme="minorEastAsia" w:hAnsiTheme="minorEastAsia" w:eastAsiaTheme="minorEastAsia"/>
          <w:color w:val="auto"/>
        </w:rPr>
      </w:pPr>
    </w:p>
    <w:p>
      <w:pPr>
        <w:pStyle w:val="2"/>
        <w:rPr>
          <w:rFonts w:asciiTheme="minorEastAsia" w:hAnsiTheme="minorEastAsia" w:eastAsiaTheme="minorEastAsia"/>
          <w:color w:val="auto"/>
        </w:rPr>
      </w:pPr>
    </w:p>
    <w:p>
      <w:pPr>
        <w:pStyle w:val="2"/>
        <w:rPr>
          <w:rFonts w:asciiTheme="minorEastAsia" w:hAnsiTheme="minorEastAsia" w:eastAsiaTheme="minorEastAsia"/>
          <w:color w:val="auto"/>
        </w:rPr>
      </w:pPr>
    </w:p>
    <w:p>
      <w:pPr>
        <w:pStyle w:val="2"/>
        <w:rPr>
          <w:rFonts w:asciiTheme="minorEastAsia" w:hAnsiTheme="minorEastAsia" w:eastAsiaTheme="minorEastAsia"/>
          <w:color w:val="auto"/>
        </w:rPr>
      </w:pPr>
    </w:p>
    <w:p>
      <w:pPr>
        <w:spacing w:line="480" w:lineRule="exact"/>
        <w:ind w:left="6120" w:hanging="6120" w:hangingChars="2550"/>
        <w:jc w:val="left"/>
        <w:rPr>
          <w:rFonts w:ascii="宋体" w:hAnsi="宋体"/>
          <w:sz w:val="24"/>
          <w:szCs w:val="24"/>
        </w:rPr>
      </w:pPr>
      <w:r>
        <w:rPr>
          <w:rFonts w:hint="eastAsia" w:ascii="宋体" w:hAnsi="宋体"/>
          <w:sz w:val="24"/>
          <w:szCs w:val="24"/>
        </w:rPr>
        <w:t>甲方（签章）：</w:t>
      </w:r>
      <w:r>
        <w:rPr>
          <w:rFonts w:hint="eastAsia" w:ascii="宋体" w:hAnsi="宋体"/>
          <w:sz w:val="24"/>
          <w:szCs w:val="24"/>
          <w:u w:val="single"/>
        </w:rPr>
        <w:t>盐城幼儿师范高等专科学校</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乙方（签章）：</w:t>
      </w:r>
    </w:p>
    <w:p>
      <w:pPr>
        <w:spacing w:line="480" w:lineRule="exact"/>
        <w:ind w:left="5880" w:hanging="5880" w:hangingChars="2450"/>
        <w:jc w:val="left"/>
        <w:rPr>
          <w:rFonts w:ascii="宋体" w:hAnsi="宋体"/>
          <w:sz w:val="24"/>
          <w:szCs w:val="24"/>
        </w:rPr>
      </w:pPr>
      <w:r>
        <w:rPr>
          <w:rFonts w:ascii="宋体" w:hAnsi="宋体"/>
          <w:sz w:val="24"/>
          <w:szCs w:val="24"/>
        </w:rPr>
        <w:t>组织机构代码：</w:t>
      </w:r>
      <w:r>
        <w:rPr>
          <w:rFonts w:ascii="宋体" w:hAnsi="宋体"/>
          <w:sz w:val="24"/>
          <w:szCs w:val="24"/>
          <w:u w:val="single"/>
        </w:rPr>
        <w:t>12320900MB033473X9</w:t>
      </w:r>
      <w:r>
        <w:rPr>
          <w:rFonts w:hint="eastAsia" w:ascii="宋体" w:hAnsi="宋体"/>
          <w:sz w:val="24"/>
          <w:szCs w:val="24"/>
          <w:u w:val="single"/>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营业执照号码：</w:t>
      </w:r>
    </w:p>
    <w:p>
      <w:pPr>
        <w:spacing w:line="480" w:lineRule="exact"/>
        <w:ind w:left="5880" w:hanging="5880" w:hangingChars="2450"/>
        <w:jc w:val="left"/>
        <w:rPr>
          <w:rFonts w:ascii="宋体" w:hAnsi="宋体"/>
          <w:sz w:val="24"/>
          <w:szCs w:val="24"/>
        </w:rPr>
      </w:pPr>
      <w:r>
        <w:rPr>
          <w:rFonts w:hint="eastAsia" w:ascii="宋体" w:hAnsi="宋体"/>
          <w:sz w:val="24"/>
          <w:szCs w:val="24"/>
        </w:rPr>
        <w:t>住所：</w:t>
      </w:r>
      <w:r>
        <w:rPr>
          <w:rFonts w:hint="eastAsia" w:ascii="宋体" w:hAnsi="宋体"/>
          <w:sz w:val="24"/>
          <w:szCs w:val="24"/>
          <w:u w:val="single"/>
        </w:rPr>
        <w:t>学海路</w:t>
      </w:r>
      <w:r>
        <w:rPr>
          <w:rFonts w:ascii="宋体" w:hAnsi="宋体"/>
          <w:sz w:val="24"/>
          <w:szCs w:val="24"/>
          <w:u w:val="single"/>
        </w:rPr>
        <w:t>28</w:t>
      </w:r>
      <w:r>
        <w:rPr>
          <w:rFonts w:hint="eastAsia" w:ascii="宋体" w:hAnsi="宋体"/>
          <w:sz w:val="24"/>
          <w:szCs w:val="24"/>
          <w:u w:val="single"/>
        </w:rPr>
        <w:t>号</w:t>
      </w:r>
      <w:r>
        <w:rPr>
          <w:rFonts w:hint="eastAsia" w:asciiTheme="minorEastAsia" w:hAnsiTheme="minorEastAsia" w:eastAsiaTheme="minorEastAsia"/>
          <w:sz w:val="24"/>
          <w:szCs w:val="24"/>
          <w:u w:val="single"/>
        </w:rPr>
        <w:t>、海洋路28号</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u w:val="none"/>
          <w:lang w:val="en-US" w:eastAsia="zh-CN"/>
        </w:rPr>
        <w:t xml:space="preserve">       </w:t>
      </w:r>
      <w:r>
        <w:rPr>
          <w:rFonts w:hint="eastAsia" w:ascii="宋体" w:hAnsi="宋体"/>
          <w:sz w:val="24"/>
          <w:szCs w:val="24"/>
        </w:rPr>
        <w:t xml:space="preserve">住所： </w:t>
      </w:r>
    </w:p>
    <w:p>
      <w:pPr>
        <w:spacing w:line="480" w:lineRule="exact"/>
        <w:jc w:val="left"/>
        <w:rPr>
          <w:rFonts w:ascii="宋体" w:hAnsi="宋体"/>
          <w:sz w:val="24"/>
          <w:szCs w:val="24"/>
        </w:rPr>
      </w:pPr>
      <w:r>
        <w:rPr>
          <w:rFonts w:hint="eastAsia" w:ascii="宋体" w:hAnsi="宋体"/>
          <w:sz w:val="24"/>
          <w:szCs w:val="24"/>
        </w:rPr>
        <w:t>邮政编码：</w:t>
      </w:r>
      <w:r>
        <w:rPr>
          <w:rFonts w:hint="eastAsia" w:ascii="宋体" w:hAnsi="宋体"/>
          <w:sz w:val="24"/>
          <w:szCs w:val="24"/>
          <w:u w:val="single"/>
        </w:rPr>
        <w:t>224005</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邮政编码：</w:t>
      </w:r>
    </w:p>
    <w:p>
      <w:pPr>
        <w:spacing w:line="480" w:lineRule="exact"/>
        <w:ind w:left="6840" w:right="-1474" w:rightChars="-702" w:hanging="6840" w:hangingChars="2850"/>
        <w:jc w:val="left"/>
        <w:rPr>
          <w:rFonts w:ascii="宋体" w:hAnsi="宋体"/>
          <w:sz w:val="24"/>
          <w:szCs w:val="24"/>
        </w:rPr>
      </w:pPr>
      <w:r>
        <w:rPr>
          <w:rFonts w:hint="eastAsia" w:ascii="宋体" w:hAnsi="宋体"/>
          <w:sz w:val="24"/>
          <w:szCs w:val="24"/>
        </w:rPr>
        <w:t>法定代表人：</w:t>
      </w:r>
      <w:r>
        <w:rPr>
          <w:rFonts w:hint="eastAsia" w:ascii="宋体" w:hAnsi="宋体"/>
          <w:sz w:val="24"/>
          <w:szCs w:val="24"/>
          <w:lang w:val="en-US" w:eastAsia="zh-CN"/>
        </w:rPr>
        <w:t xml:space="preserve">                                </w:t>
      </w:r>
      <w:r>
        <w:rPr>
          <w:rFonts w:hint="eastAsia" w:ascii="宋体" w:hAnsi="宋体"/>
          <w:sz w:val="24"/>
          <w:szCs w:val="24"/>
        </w:rPr>
        <w:t>法定代表人：</w:t>
      </w:r>
    </w:p>
    <w:p>
      <w:pPr>
        <w:spacing w:line="480" w:lineRule="exact"/>
        <w:jc w:val="left"/>
        <w:rPr>
          <w:rFonts w:ascii="宋体" w:hAnsi="宋体"/>
          <w:sz w:val="24"/>
          <w:szCs w:val="24"/>
        </w:rPr>
      </w:pPr>
      <w:r>
        <w:rPr>
          <w:rFonts w:hint="eastAsia" w:ascii="宋体" w:hAnsi="宋体"/>
          <w:sz w:val="24"/>
          <w:szCs w:val="24"/>
        </w:rPr>
        <w:t>联系电话：</w:t>
      </w:r>
      <w:r>
        <w:rPr>
          <w:rFonts w:hint="eastAsia" w:ascii="宋体" w:hAnsi="宋体"/>
          <w:sz w:val="24"/>
          <w:szCs w:val="24"/>
          <w:lang w:val="en-US" w:eastAsia="zh-CN"/>
        </w:rPr>
        <w:t xml:space="preserve">                                  </w:t>
      </w:r>
      <w:r>
        <w:rPr>
          <w:rFonts w:hint="eastAsia" w:ascii="宋体" w:hAnsi="宋体"/>
          <w:sz w:val="24"/>
          <w:szCs w:val="24"/>
        </w:rPr>
        <w:t>联系电话：</w:t>
      </w:r>
    </w:p>
    <w:p>
      <w:pPr>
        <w:spacing w:line="480" w:lineRule="exact"/>
        <w:jc w:val="left"/>
        <w:rPr>
          <w:rFonts w:asciiTheme="minorEastAsia" w:hAnsiTheme="minorEastAsia" w:eastAsiaTheme="minorEastAsia"/>
          <w:sz w:val="24"/>
          <w:szCs w:val="24"/>
        </w:rPr>
      </w:pPr>
      <w:r>
        <w:rPr>
          <w:rFonts w:hint="eastAsia" w:ascii="宋体" w:hAnsi="宋体"/>
          <w:sz w:val="24"/>
          <w:szCs w:val="24"/>
        </w:rPr>
        <w:t xml:space="preserve">委托代理人：    </w:t>
      </w:r>
      <w:r>
        <w:rPr>
          <w:rFonts w:hint="eastAsia" w:ascii="宋体" w:hAnsi="宋体"/>
          <w:sz w:val="24"/>
          <w:szCs w:val="24"/>
          <w:lang w:val="en-US" w:eastAsia="zh-CN"/>
        </w:rPr>
        <w:t xml:space="preserve">                            </w:t>
      </w:r>
      <w:r>
        <w:rPr>
          <w:rFonts w:hint="eastAsia" w:ascii="宋体" w:hAnsi="宋体"/>
          <w:sz w:val="24"/>
          <w:szCs w:val="24"/>
        </w:rPr>
        <w:t>委托代理人：</w:t>
      </w:r>
    </w:p>
    <w:p>
      <w:pPr>
        <w:spacing w:line="480" w:lineRule="exact"/>
        <w:jc w:val="left"/>
        <w:rPr>
          <w:rFonts w:ascii="宋体" w:hAnsi="宋体"/>
          <w:sz w:val="24"/>
          <w:szCs w:val="24"/>
        </w:rPr>
      </w:pPr>
      <w:r>
        <w:rPr>
          <w:rFonts w:hint="eastAsia" w:ascii="宋体" w:hAnsi="宋体"/>
          <w:sz w:val="24"/>
          <w:szCs w:val="24"/>
        </w:rPr>
        <w:t xml:space="preserve">联系电话： </w:t>
      </w:r>
      <w:r>
        <w:rPr>
          <w:rFonts w:hint="eastAsia" w:ascii="宋体" w:hAnsi="宋体"/>
          <w:sz w:val="24"/>
          <w:szCs w:val="24"/>
          <w:lang w:val="en-US" w:eastAsia="zh-CN"/>
        </w:rPr>
        <w:t xml:space="preserve">                                 </w:t>
      </w:r>
      <w:r>
        <w:rPr>
          <w:rFonts w:hint="eastAsia" w:ascii="宋体" w:hAnsi="宋体"/>
          <w:sz w:val="24"/>
          <w:szCs w:val="24"/>
        </w:rPr>
        <w:t>联系电话：</w:t>
      </w:r>
    </w:p>
    <w:p>
      <w:pPr>
        <w:spacing w:line="480" w:lineRule="exact"/>
        <w:jc w:val="left"/>
        <w:rPr>
          <w:rFonts w:ascii="宋体" w:hAnsi="宋体"/>
          <w:sz w:val="24"/>
          <w:szCs w:val="24"/>
        </w:rPr>
      </w:pPr>
      <w:r>
        <w:rPr>
          <w:rFonts w:hint="eastAsia" w:ascii="宋体" w:hAnsi="宋体"/>
          <w:sz w:val="24"/>
          <w:szCs w:val="24"/>
        </w:rPr>
        <w:t xml:space="preserve">传真电话：                              </w:t>
      </w:r>
      <w:r>
        <w:rPr>
          <w:rFonts w:hint="eastAsia" w:ascii="宋体" w:hAnsi="宋体"/>
          <w:sz w:val="24"/>
          <w:szCs w:val="24"/>
          <w:lang w:val="en-US" w:eastAsia="zh-CN"/>
        </w:rPr>
        <w:t xml:space="preserve">    </w:t>
      </w:r>
      <w:r>
        <w:rPr>
          <w:rFonts w:hint="eastAsia" w:ascii="宋体" w:hAnsi="宋体"/>
          <w:sz w:val="24"/>
          <w:szCs w:val="24"/>
        </w:rPr>
        <w:t>传真电话：</w:t>
      </w:r>
    </w:p>
    <w:p>
      <w:pPr>
        <w:spacing w:line="480" w:lineRule="exact"/>
        <w:jc w:val="left"/>
        <w:rPr>
          <w:rFonts w:ascii="宋体" w:hAnsi="宋体"/>
          <w:sz w:val="24"/>
          <w:szCs w:val="24"/>
        </w:rPr>
      </w:pPr>
      <w:r>
        <w:rPr>
          <w:rFonts w:hint="eastAsia" w:ascii="宋体" w:hAnsi="宋体"/>
          <w:sz w:val="24"/>
          <w:szCs w:val="24"/>
        </w:rPr>
        <w:t xml:space="preserve">开户银行：                           </w:t>
      </w:r>
      <w:r>
        <w:rPr>
          <w:rFonts w:hint="eastAsia" w:ascii="宋体" w:hAnsi="宋体"/>
          <w:sz w:val="24"/>
          <w:szCs w:val="24"/>
          <w:lang w:val="en-US" w:eastAsia="zh-CN"/>
        </w:rPr>
        <w:t xml:space="preserve">       </w:t>
      </w:r>
      <w:r>
        <w:rPr>
          <w:rFonts w:hint="eastAsia" w:ascii="宋体" w:hAnsi="宋体"/>
          <w:sz w:val="24"/>
          <w:szCs w:val="24"/>
        </w:rPr>
        <w:t>开户银行：</w:t>
      </w:r>
    </w:p>
    <w:p>
      <w:pPr>
        <w:spacing w:line="480" w:lineRule="exact"/>
        <w:jc w:val="left"/>
        <w:rPr>
          <w:rFonts w:ascii="宋体" w:hAnsi="宋体"/>
          <w:sz w:val="24"/>
          <w:szCs w:val="24"/>
        </w:rPr>
      </w:pPr>
      <w:r>
        <w:rPr>
          <w:rFonts w:hint="eastAsia" w:ascii="宋体" w:hAnsi="宋体"/>
          <w:sz w:val="24"/>
          <w:szCs w:val="24"/>
        </w:rPr>
        <w:t xml:space="preserve">账号：                                </w:t>
      </w:r>
      <w:r>
        <w:rPr>
          <w:rFonts w:hint="eastAsia" w:ascii="宋体" w:hAnsi="宋体"/>
          <w:sz w:val="24"/>
          <w:szCs w:val="24"/>
          <w:lang w:val="en-US" w:eastAsia="zh-CN"/>
        </w:rPr>
        <w:t xml:space="preserve">      </w:t>
      </w:r>
      <w:r>
        <w:rPr>
          <w:rFonts w:hint="eastAsia" w:ascii="宋体" w:hAnsi="宋体"/>
          <w:sz w:val="24"/>
          <w:szCs w:val="24"/>
        </w:rPr>
        <w:t>账号：</w:t>
      </w:r>
    </w:p>
    <w:p>
      <w:pPr>
        <w:spacing w:line="480" w:lineRule="exact"/>
        <w:jc w:val="left"/>
        <w:rPr>
          <w:rFonts w:ascii="宋体" w:hAnsi="宋体"/>
          <w:sz w:val="24"/>
          <w:szCs w:val="24"/>
        </w:rPr>
      </w:pPr>
    </w:p>
    <w:p>
      <w:pPr>
        <w:wordWrap w:val="0"/>
        <w:overflowPunct w:val="0"/>
        <w:snapToGrid w:val="0"/>
        <w:spacing w:line="480" w:lineRule="exact"/>
        <w:rPr>
          <w:rFonts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时间:   20</w:t>
      </w:r>
      <w:r>
        <w:rPr>
          <w:rFonts w:hint="eastAsia" w:asciiTheme="minorEastAsia" w:hAnsiTheme="minorEastAsia" w:eastAsiaTheme="minorEastAsia"/>
          <w:sz w:val="24"/>
          <w:szCs w:val="24"/>
        </w:rPr>
        <w:t>21</w:t>
      </w:r>
      <w:r>
        <w:rPr>
          <w:rFonts w:hint="eastAsia" w:ascii="宋体" w:hAnsi="宋体"/>
          <w:sz w:val="24"/>
          <w:szCs w:val="24"/>
        </w:rPr>
        <w:t>年   月   日</w:t>
      </w:r>
    </w:p>
    <w:p>
      <w:pPr>
        <w:spacing w:line="400" w:lineRule="exact"/>
        <w:ind w:right="315" w:rightChars="150" w:firstLine="480" w:firstLineChars="200"/>
        <w:rPr>
          <w:rFonts w:ascii="宋体" w:hAnsi="宋体"/>
          <w:sz w:val="24"/>
          <w:szCs w:val="24"/>
        </w:rPr>
      </w:pPr>
    </w:p>
    <w:p>
      <w:pPr>
        <w:spacing w:line="400" w:lineRule="exact"/>
        <w:ind w:right="315" w:rightChars="150" w:firstLine="480" w:firstLineChars="200"/>
        <w:rPr>
          <w:rFonts w:ascii="宋体" w:hAnsi="宋体"/>
          <w:sz w:val="24"/>
          <w:szCs w:val="24"/>
        </w:rPr>
      </w:pPr>
    </w:p>
    <w:p>
      <w:pPr>
        <w:spacing w:line="400" w:lineRule="exact"/>
        <w:ind w:right="315" w:rightChars="150" w:firstLine="480" w:firstLineChars="200"/>
        <w:rPr>
          <w:rFonts w:ascii="宋体" w:hAnsi="宋体"/>
          <w:sz w:val="24"/>
          <w:szCs w:val="24"/>
        </w:rPr>
      </w:pPr>
    </w:p>
    <w:p>
      <w:pPr>
        <w:spacing w:line="400" w:lineRule="exact"/>
        <w:ind w:right="315" w:rightChars="150" w:firstLine="480" w:firstLineChars="200"/>
        <w:rPr>
          <w:rFonts w:ascii="宋体" w:hAnsi="宋体"/>
          <w:sz w:val="24"/>
          <w:szCs w:val="24"/>
        </w:rPr>
      </w:pPr>
    </w:p>
    <w:p>
      <w:pPr>
        <w:spacing w:line="400" w:lineRule="exact"/>
        <w:ind w:right="315" w:rightChars="150" w:firstLine="480" w:firstLineChars="200"/>
        <w:rPr>
          <w:rFonts w:ascii="宋体" w:hAnsi="宋体"/>
          <w:sz w:val="24"/>
          <w:szCs w:val="24"/>
        </w:rPr>
      </w:pPr>
    </w:p>
    <w:p>
      <w:pPr>
        <w:spacing w:line="400" w:lineRule="exact"/>
        <w:ind w:right="315" w:rightChars="150" w:firstLine="480" w:firstLineChars="200"/>
        <w:rPr>
          <w:rFonts w:ascii="宋体" w:hAnsi="宋体"/>
          <w:sz w:val="24"/>
          <w:szCs w:val="24"/>
        </w:rPr>
      </w:pPr>
    </w:p>
    <w:p>
      <w:pPr>
        <w:pStyle w:val="2"/>
        <w:rPr>
          <w:rFonts w:ascii="宋体" w:hAnsi="宋体"/>
          <w:sz w:val="24"/>
          <w:szCs w:val="24"/>
        </w:rPr>
      </w:pPr>
    </w:p>
    <w:p>
      <w:pPr>
        <w:spacing w:line="520" w:lineRule="exact"/>
        <w:jc w:val="left"/>
        <w:rPr>
          <w:rFonts w:asciiTheme="minorEastAsia" w:hAnsiTheme="minorEastAsia" w:eastAsiaTheme="minorEastAsia"/>
          <w:b/>
          <w:w w:val="80"/>
          <w:sz w:val="30"/>
          <w:szCs w:val="30"/>
        </w:rPr>
      </w:pPr>
      <w:r>
        <w:rPr>
          <w:rFonts w:hint="eastAsia" w:asciiTheme="minorEastAsia" w:hAnsiTheme="minorEastAsia" w:eastAsiaTheme="minorEastAsia"/>
          <w:b/>
          <w:w w:val="80"/>
          <w:sz w:val="30"/>
          <w:szCs w:val="30"/>
        </w:rPr>
        <w:t>附件1                      安全责任书</w:t>
      </w:r>
    </w:p>
    <w:p>
      <w:pPr>
        <w:spacing w:line="480" w:lineRule="exact"/>
        <w:ind w:firstLine="480" w:firstLineChars="200"/>
        <w:rPr>
          <w:rFonts w:ascii="宋体" w:hAnsi="宋体"/>
          <w:sz w:val="24"/>
          <w:szCs w:val="24"/>
        </w:rPr>
      </w:pPr>
      <w:r>
        <w:rPr>
          <w:rFonts w:hint="eastAsia" w:ascii="宋体" w:hAnsi="宋体"/>
          <w:sz w:val="24"/>
          <w:szCs w:val="24"/>
        </w:rPr>
        <w:t>甲方：盐城幼儿师范高等专科学校             （以下简称甲方）</w:t>
      </w:r>
    </w:p>
    <w:p>
      <w:pPr>
        <w:spacing w:line="480" w:lineRule="exact"/>
        <w:ind w:firstLine="480" w:firstLineChars="200"/>
        <w:rPr>
          <w:rFonts w:ascii="宋体" w:hAnsi="宋体"/>
          <w:sz w:val="24"/>
          <w:szCs w:val="24"/>
        </w:rPr>
      </w:pPr>
      <w:r>
        <w:rPr>
          <w:rFonts w:hint="eastAsia" w:ascii="宋体" w:hAnsi="宋体"/>
          <w:sz w:val="24"/>
          <w:szCs w:val="24"/>
        </w:rPr>
        <w:t xml:space="preserve">乙方：                                         （以下简称乙方）          </w:t>
      </w:r>
    </w:p>
    <w:p>
      <w:pPr>
        <w:spacing w:line="460" w:lineRule="exact"/>
        <w:ind w:firstLine="480" w:firstLineChars="200"/>
        <w:rPr>
          <w:rFonts w:ascii="宋体" w:hAnsi="宋体"/>
          <w:sz w:val="24"/>
          <w:szCs w:val="24"/>
        </w:rPr>
      </w:pPr>
      <w:r>
        <w:rPr>
          <w:rFonts w:hint="eastAsia" w:ascii="宋体" w:hAnsi="宋体"/>
          <w:sz w:val="24"/>
          <w:szCs w:val="24"/>
        </w:rPr>
        <w:t xml:space="preserve">   为保证安全，保障校园良好秩序，规范施工，凡在校内进行服务、基建、装修、维修工程，包括市政、绿化、水电气及设备安装等施工单位、监理单位，或进行各种拆除、搬运、高空砌筑、高空维修等工作的单位，均须在合同签署前与甲方签订本责任书。</w:t>
      </w:r>
    </w:p>
    <w:p>
      <w:pPr>
        <w:spacing w:line="460" w:lineRule="exact"/>
        <w:ind w:firstLine="480" w:firstLineChars="200"/>
        <w:rPr>
          <w:rFonts w:ascii="宋体" w:hAnsi="宋体"/>
          <w:sz w:val="24"/>
          <w:szCs w:val="24"/>
        </w:rPr>
      </w:pPr>
      <w:r>
        <w:rPr>
          <w:rFonts w:hint="eastAsia" w:ascii="宋体" w:hAnsi="宋体"/>
          <w:sz w:val="24"/>
          <w:szCs w:val="24"/>
        </w:rPr>
        <w:t>一、建立以项目经理为首的安全保证体系</w:t>
      </w:r>
    </w:p>
    <w:p>
      <w:pPr>
        <w:spacing w:line="460" w:lineRule="exact"/>
        <w:ind w:firstLine="480" w:firstLineChars="200"/>
        <w:rPr>
          <w:rFonts w:ascii="宋体" w:hAnsi="宋体"/>
          <w:sz w:val="24"/>
          <w:szCs w:val="24"/>
        </w:rPr>
      </w:pPr>
      <w:r>
        <w:rPr>
          <w:rFonts w:hint="eastAsia" w:ascii="宋体" w:hAnsi="宋体"/>
          <w:sz w:val="24"/>
          <w:szCs w:val="24"/>
        </w:rPr>
        <w:t>乙方本着管生产必须管安全的原则组建项目安全保证体系，项目第一管理者首先是安全管理的第一责任者，是各工种安全管理的第一责任者。做到安全责任落实到人，形成人人讲安全，人人管安全的良好风气。</w:t>
      </w:r>
    </w:p>
    <w:p>
      <w:pPr>
        <w:spacing w:line="460" w:lineRule="exact"/>
        <w:ind w:firstLine="480" w:firstLineChars="200"/>
        <w:rPr>
          <w:rFonts w:ascii="宋体" w:hAnsi="宋体"/>
          <w:sz w:val="24"/>
          <w:szCs w:val="24"/>
        </w:rPr>
      </w:pPr>
      <w:r>
        <w:rPr>
          <w:rFonts w:hint="eastAsia" w:ascii="宋体" w:hAnsi="宋体"/>
          <w:sz w:val="24"/>
          <w:szCs w:val="24"/>
        </w:rPr>
        <w:t>1、建立健全各项安全管理制度</w:t>
      </w:r>
    </w:p>
    <w:p>
      <w:pPr>
        <w:spacing w:line="460" w:lineRule="exact"/>
        <w:ind w:firstLine="480" w:firstLineChars="200"/>
        <w:rPr>
          <w:rFonts w:ascii="宋体" w:hAnsi="宋体"/>
          <w:sz w:val="24"/>
          <w:szCs w:val="24"/>
        </w:rPr>
      </w:pPr>
      <w:r>
        <w:rPr>
          <w:rFonts w:hint="eastAsia" w:ascii="宋体" w:hAnsi="宋体"/>
          <w:sz w:val="24"/>
          <w:szCs w:val="24"/>
        </w:rPr>
        <w:t>乙方应督促施工方明确各级管理人员的安全岗位责任制，包括项目经理、施工单位现场负责、技术人员、施工员、班组长、专职安全员等的安全岗位责任制。负责对项目的安全检查，明确其应承担的安全责任与工作职责。</w:t>
      </w:r>
    </w:p>
    <w:p>
      <w:pPr>
        <w:spacing w:line="460" w:lineRule="exact"/>
        <w:ind w:firstLine="480" w:firstLineChars="200"/>
        <w:rPr>
          <w:rFonts w:ascii="宋体" w:hAnsi="宋体"/>
          <w:sz w:val="24"/>
          <w:szCs w:val="24"/>
        </w:rPr>
      </w:pPr>
      <w:r>
        <w:rPr>
          <w:rFonts w:hint="eastAsia" w:ascii="宋体" w:hAnsi="宋体"/>
          <w:sz w:val="24"/>
          <w:szCs w:val="24"/>
        </w:rPr>
        <w:t>2、建立安全教育制度</w:t>
      </w:r>
    </w:p>
    <w:p>
      <w:pPr>
        <w:spacing w:line="460" w:lineRule="exact"/>
        <w:ind w:firstLine="480" w:firstLineChars="200"/>
        <w:rPr>
          <w:rFonts w:ascii="宋体" w:hAnsi="宋体"/>
          <w:sz w:val="24"/>
          <w:szCs w:val="24"/>
        </w:rPr>
      </w:pPr>
      <w:r>
        <w:rPr>
          <w:rFonts w:hint="eastAsia" w:ascii="宋体" w:hAnsi="宋体"/>
          <w:sz w:val="24"/>
          <w:szCs w:val="24"/>
        </w:rPr>
        <w:t>乙方应督促施工方项目部对所有进场的施工人员进行入场安全教育及针对本工种安全操作规程的教育，需持证上岗的特殊工种工人都必须经过培训考试，并取得有关部门颁发的合格证并经甲方工地代表审核确认后方可持证上岗。各工种每天上班前，由工种班长做班前安全教育。</w:t>
      </w:r>
    </w:p>
    <w:p>
      <w:pPr>
        <w:spacing w:line="460" w:lineRule="exact"/>
        <w:ind w:firstLine="480" w:firstLineChars="200"/>
        <w:rPr>
          <w:rFonts w:ascii="宋体" w:hAnsi="宋体"/>
          <w:sz w:val="24"/>
          <w:szCs w:val="24"/>
        </w:rPr>
      </w:pPr>
      <w:r>
        <w:rPr>
          <w:rFonts w:hint="eastAsia" w:ascii="宋体" w:hAnsi="宋体"/>
          <w:sz w:val="24"/>
          <w:szCs w:val="24"/>
        </w:rPr>
        <w:t>3、坚持安全检查制度</w:t>
      </w:r>
    </w:p>
    <w:p>
      <w:pPr>
        <w:spacing w:line="460" w:lineRule="exact"/>
        <w:ind w:firstLine="480" w:firstLineChars="200"/>
        <w:rPr>
          <w:rFonts w:ascii="宋体" w:hAnsi="宋体"/>
          <w:sz w:val="24"/>
          <w:szCs w:val="24"/>
        </w:rPr>
      </w:pPr>
      <w:r>
        <w:rPr>
          <w:rFonts w:hint="eastAsia" w:ascii="宋体" w:hAnsi="宋体"/>
          <w:sz w:val="24"/>
          <w:szCs w:val="24"/>
        </w:rPr>
        <w:t>乙方应督促施工方项目部（现场负责人）组织每天一次的安全、消防、文明施工大检查，对工地安全状况进行监督。乙方应督促施工方专职安全员必须在施工期间坚持现场巡查。对检查发现的问题、隐患要做好文字记录，必要时发出监理令，落实到人，限期整改完毕，对危及人身安全的险情，必须立即整改。对每项要整改的问题整改完毕后都要由监理进行验证。</w:t>
      </w:r>
    </w:p>
    <w:p>
      <w:pPr>
        <w:spacing w:line="460" w:lineRule="exact"/>
        <w:ind w:firstLine="480" w:firstLineChars="200"/>
        <w:rPr>
          <w:rFonts w:ascii="宋体" w:hAnsi="宋体"/>
          <w:sz w:val="24"/>
          <w:szCs w:val="24"/>
        </w:rPr>
      </w:pPr>
      <w:r>
        <w:rPr>
          <w:rFonts w:hint="eastAsia" w:ascii="宋体" w:hAnsi="宋体"/>
          <w:sz w:val="24"/>
          <w:szCs w:val="24"/>
        </w:rPr>
        <w:t>4、坚持安全交底制度</w:t>
      </w:r>
    </w:p>
    <w:p>
      <w:pPr>
        <w:spacing w:line="460" w:lineRule="exact"/>
        <w:ind w:firstLine="480" w:firstLineChars="200"/>
        <w:rPr>
          <w:rFonts w:ascii="宋体" w:hAnsi="宋体"/>
          <w:sz w:val="24"/>
          <w:szCs w:val="24"/>
        </w:rPr>
      </w:pPr>
      <w:r>
        <w:rPr>
          <w:rFonts w:hint="eastAsia" w:ascii="宋体" w:hAnsi="宋体"/>
          <w:sz w:val="24"/>
          <w:szCs w:val="24"/>
        </w:rPr>
        <w:t>乙方应督促施工方技术人员在编制施工方案、技术措施前，必须严格按照招投标文件、合同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pPr>
        <w:spacing w:line="460" w:lineRule="exact"/>
        <w:ind w:firstLine="480" w:firstLineChars="200"/>
        <w:rPr>
          <w:rFonts w:ascii="宋体" w:hAnsi="宋体"/>
          <w:sz w:val="24"/>
          <w:szCs w:val="24"/>
        </w:rPr>
      </w:pPr>
      <w:r>
        <w:rPr>
          <w:rFonts w:hint="eastAsia" w:ascii="宋体" w:hAnsi="宋体"/>
          <w:sz w:val="24"/>
          <w:szCs w:val="24"/>
        </w:rPr>
        <w:t>5、规范安全事故处理制度</w:t>
      </w:r>
    </w:p>
    <w:p>
      <w:pPr>
        <w:spacing w:line="460" w:lineRule="exact"/>
        <w:ind w:firstLine="480" w:firstLineChars="200"/>
        <w:rPr>
          <w:rFonts w:ascii="宋体" w:hAnsi="宋体"/>
          <w:sz w:val="24"/>
          <w:szCs w:val="24"/>
        </w:rPr>
      </w:pPr>
      <w:r>
        <w:rPr>
          <w:rFonts w:hint="eastAsia" w:ascii="宋体" w:hAnsi="宋体"/>
          <w:sz w:val="24"/>
          <w:szCs w:val="24"/>
        </w:rPr>
        <w:t>现场发生的安全事故，查明原因，教育大家，并落实整改措施。重大事故必须及时向甲方及地方有关部门汇报，积极配合和接受有关部门的调查处理。</w:t>
      </w:r>
    </w:p>
    <w:p>
      <w:pPr>
        <w:spacing w:line="460" w:lineRule="exact"/>
        <w:ind w:firstLine="480" w:firstLineChars="200"/>
        <w:rPr>
          <w:rFonts w:ascii="宋体" w:hAnsi="宋体"/>
          <w:sz w:val="24"/>
          <w:szCs w:val="24"/>
        </w:rPr>
      </w:pPr>
      <w:r>
        <w:rPr>
          <w:rFonts w:hint="eastAsia" w:ascii="宋体" w:hAnsi="宋体"/>
          <w:sz w:val="24"/>
          <w:szCs w:val="24"/>
        </w:rPr>
        <w:t>6、坚持特殊工种持证上岗制度</w:t>
      </w:r>
    </w:p>
    <w:p>
      <w:pPr>
        <w:spacing w:line="460" w:lineRule="exact"/>
        <w:ind w:firstLine="480" w:firstLineChars="200"/>
        <w:rPr>
          <w:rFonts w:ascii="宋体" w:hAnsi="宋体"/>
          <w:sz w:val="24"/>
          <w:szCs w:val="24"/>
        </w:rPr>
      </w:pPr>
      <w:r>
        <w:rPr>
          <w:rFonts w:hint="eastAsia" w:ascii="宋体" w:hAnsi="宋体"/>
          <w:sz w:val="24"/>
          <w:szCs w:val="24"/>
        </w:rPr>
        <w:t>强电施工、大型机械操作施工、有毒有害物品处理等根据国家规定要求持证上岗的或甲方认为有必要的工种，乙方应督促施工方必须制定并坚持持证上岗制度。乙方应在特殊工种进场施工前主动将所有特殊工种人员基本信息签章后（携相关有效证件原件、复印件）上报甲方工地代表逐一审核认可后方可允许上述人员进场施工。</w:t>
      </w:r>
    </w:p>
    <w:p>
      <w:pPr>
        <w:spacing w:line="460" w:lineRule="exact"/>
        <w:ind w:firstLine="480" w:firstLineChars="200"/>
        <w:rPr>
          <w:rFonts w:ascii="宋体" w:hAnsi="宋体"/>
          <w:sz w:val="24"/>
          <w:szCs w:val="24"/>
        </w:rPr>
      </w:pPr>
      <w:r>
        <w:rPr>
          <w:rFonts w:hint="eastAsia" w:ascii="宋体" w:hAnsi="宋体"/>
          <w:sz w:val="24"/>
          <w:szCs w:val="24"/>
        </w:rPr>
        <w:t>二、安全施工措施</w:t>
      </w:r>
    </w:p>
    <w:p>
      <w:pPr>
        <w:spacing w:line="460" w:lineRule="exact"/>
        <w:ind w:firstLine="480" w:firstLineChars="200"/>
        <w:rPr>
          <w:rFonts w:ascii="宋体" w:hAnsi="宋体"/>
          <w:sz w:val="24"/>
          <w:szCs w:val="24"/>
        </w:rPr>
      </w:pPr>
      <w:r>
        <w:rPr>
          <w:rFonts w:hint="eastAsia" w:ascii="宋体" w:hAnsi="宋体"/>
          <w:sz w:val="24"/>
          <w:szCs w:val="24"/>
        </w:rPr>
        <w:t>1、强电施工安全管理</w:t>
      </w:r>
    </w:p>
    <w:p>
      <w:pPr>
        <w:spacing w:line="460" w:lineRule="exact"/>
        <w:ind w:firstLine="480" w:firstLineChars="200"/>
        <w:rPr>
          <w:rFonts w:ascii="宋体" w:hAnsi="宋体"/>
          <w:sz w:val="24"/>
          <w:szCs w:val="24"/>
        </w:rPr>
      </w:pPr>
      <w:r>
        <w:rPr>
          <w:rFonts w:hint="eastAsia" w:ascii="宋体" w:hAnsi="宋体"/>
          <w:sz w:val="24"/>
          <w:szCs w:val="24"/>
        </w:rPr>
        <w:t>乙方应督促施工方所有电力线路和用电设备，必须由持合格电工证的人员安装，并负责日常检查和维修保养，其他人员不得私拉乱接电线。现场临时接电须事先与甲方工地代表联系；不得影响学校正常用电安全、秩序；使用的用电设施设备必须符合国家规范标准；线路施工必须符合国家行业规范要求；必须悬挂经甲方工地代表认可的合格计量设备。凡架空电缆、光缆凡是与电力线交越、跨越的，其安全交越距离要符合国家相关标准，同时必须加装安全保护设施。</w:t>
      </w:r>
    </w:p>
    <w:p>
      <w:pPr>
        <w:spacing w:line="460" w:lineRule="exact"/>
        <w:ind w:firstLine="480" w:firstLineChars="200"/>
        <w:rPr>
          <w:rFonts w:ascii="宋体" w:hAnsi="宋体"/>
          <w:sz w:val="24"/>
          <w:szCs w:val="24"/>
        </w:rPr>
      </w:pPr>
      <w:r>
        <w:rPr>
          <w:rFonts w:hint="eastAsia" w:ascii="宋体" w:hAnsi="宋体"/>
          <w:sz w:val="24"/>
          <w:szCs w:val="24"/>
        </w:rPr>
        <w:t>乙方应督促施工方强电施工人员要认真进行现场施工工作，确保设备和人员的安全；强电现场领班监督指导并检查施工规范及安全防护情况；施工期间必须严格执行电工"四措八制",严禁违章作业（"四措": ⑴停电⑵验电⑶挂地线⑷设临时遮拦、悬挂标示牌；"八制": ⑴工作票制度⑵操作票制度⑶查话及交底制度⑷工作许可制度⑸工作监护制度⑹工作间断及工作转移制度⑺工作终结及送电制度⑻调度管理制度）；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隔离开关；设备停电检修时，严格执行安全技术措施，停电、验电时须悬挂临时接地线，设临时遮拦，悬挂标示牌；在配电室维修时必须遵守配电室的有关规定；电气设备所有金属外壳要有可靠接地装置。</w:t>
      </w:r>
    </w:p>
    <w:p>
      <w:pPr>
        <w:spacing w:line="460" w:lineRule="exact"/>
        <w:ind w:firstLine="480" w:firstLineChars="200"/>
        <w:rPr>
          <w:rFonts w:ascii="宋体" w:hAnsi="宋体"/>
          <w:sz w:val="24"/>
          <w:szCs w:val="24"/>
        </w:rPr>
      </w:pPr>
      <w:r>
        <w:rPr>
          <w:rFonts w:hint="eastAsia" w:ascii="宋体" w:hAnsi="宋体"/>
          <w:sz w:val="24"/>
          <w:szCs w:val="24"/>
        </w:rPr>
        <w:t>2、施工用水安全管理</w:t>
      </w:r>
    </w:p>
    <w:p>
      <w:pPr>
        <w:spacing w:line="460" w:lineRule="exact"/>
        <w:ind w:firstLine="480" w:firstLineChars="200"/>
        <w:rPr>
          <w:rFonts w:ascii="宋体" w:hAnsi="宋体"/>
          <w:sz w:val="24"/>
          <w:szCs w:val="24"/>
        </w:rPr>
      </w:pPr>
      <w:r>
        <w:rPr>
          <w:rFonts w:hint="eastAsia" w:ascii="宋体" w:hAnsi="宋体"/>
          <w:sz w:val="24"/>
          <w:szCs w:val="24"/>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pPr>
        <w:spacing w:line="460" w:lineRule="exact"/>
        <w:ind w:firstLine="480" w:firstLineChars="200"/>
        <w:rPr>
          <w:rFonts w:ascii="宋体" w:hAnsi="宋体"/>
          <w:sz w:val="24"/>
          <w:szCs w:val="24"/>
        </w:rPr>
      </w:pPr>
      <w:r>
        <w:rPr>
          <w:rFonts w:hint="eastAsia" w:ascii="宋体" w:hAnsi="宋体"/>
          <w:sz w:val="24"/>
          <w:szCs w:val="24"/>
        </w:rPr>
        <w:t>3、用气用火安全管理</w:t>
      </w:r>
    </w:p>
    <w:p>
      <w:pPr>
        <w:spacing w:line="460" w:lineRule="exact"/>
        <w:ind w:firstLine="480" w:firstLineChars="200"/>
        <w:rPr>
          <w:rFonts w:ascii="宋体" w:hAnsi="宋体"/>
          <w:sz w:val="24"/>
          <w:szCs w:val="24"/>
        </w:rPr>
      </w:pPr>
      <w:r>
        <w:rPr>
          <w:rFonts w:hint="eastAsia" w:ascii="宋体" w:hAnsi="宋体"/>
          <w:sz w:val="24"/>
          <w:szCs w:val="24"/>
        </w:rPr>
        <w:t>乙方应督促施工方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pPr>
        <w:spacing w:line="460" w:lineRule="exact"/>
        <w:ind w:firstLine="480" w:firstLineChars="200"/>
        <w:rPr>
          <w:rFonts w:ascii="宋体" w:hAnsi="宋体"/>
          <w:sz w:val="24"/>
          <w:szCs w:val="24"/>
        </w:rPr>
      </w:pPr>
      <w:r>
        <w:rPr>
          <w:rFonts w:hint="eastAsia" w:ascii="宋体" w:hAnsi="宋体"/>
          <w:sz w:val="24"/>
          <w:szCs w:val="24"/>
        </w:rPr>
        <w:t>4、机械设备使用安全管理</w:t>
      </w:r>
    </w:p>
    <w:p>
      <w:pPr>
        <w:spacing w:line="460" w:lineRule="exact"/>
        <w:ind w:firstLine="480" w:firstLineChars="200"/>
        <w:rPr>
          <w:rFonts w:ascii="宋体" w:hAnsi="宋体"/>
          <w:sz w:val="24"/>
          <w:szCs w:val="24"/>
        </w:rPr>
      </w:pPr>
      <w:r>
        <w:rPr>
          <w:rFonts w:hint="eastAsia" w:ascii="宋体" w:hAnsi="宋体"/>
          <w:sz w:val="24"/>
          <w:szCs w:val="24"/>
        </w:rPr>
        <w:t>乙方应督促施工方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甲方指定地点，并排列整齐。机动车、电瓶车校内限时速10公里/小时，禁止鸣笛。大型机械进场或在沥青砼路上行驶，须事先向甲方申报，经同意后方可运行，以免损坏路面，并保持路面清洁。</w:t>
      </w:r>
    </w:p>
    <w:p>
      <w:pPr>
        <w:spacing w:line="460" w:lineRule="exact"/>
        <w:ind w:firstLine="480" w:firstLineChars="200"/>
        <w:rPr>
          <w:rFonts w:ascii="宋体" w:hAnsi="宋体"/>
          <w:sz w:val="24"/>
          <w:szCs w:val="24"/>
        </w:rPr>
      </w:pPr>
      <w:r>
        <w:rPr>
          <w:rFonts w:hint="eastAsia" w:ascii="宋体" w:hAnsi="宋体"/>
          <w:sz w:val="24"/>
          <w:szCs w:val="24"/>
        </w:rPr>
        <w:t>5、施工区域安全管理</w:t>
      </w:r>
    </w:p>
    <w:p>
      <w:pPr>
        <w:spacing w:line="460" w:lineRule="exact"/>
        <w:ind w:firstLine="480" w:firstLineChars="200"/>
        <w:rPr>
          <w:rFonts w:ascii="宋体" w:hAnsi="宋体"/>
          <w:sz w:val="24"/>
          <w:szCs w:val="24"/>
        </w:rPr>
      </w:pPr>
      <w:r>
        <w:rPr>
          <w:rFonts w:hint="eastAsia" w:ascii="宋体" w:hAnsi="宋体"/>
          <w:sz w:val="24"/>
          <w:szCs w:val="24"/>
        </w:rPr>
        <w:t>乙方应督促施工方施工现场须用专用彩绳或防护网进行有效隔离，在醒目位置设置警示标语等安全标识，专职安全员必须在施工期间坚持现场巡查，确保师生人身安全。高空作业时戴好安全帽，系好安全带，严禁在工作中上下抛掷工具材料和物品。确需上下传递，用吊绳和吊袋传送。凡在坠落高度基准面2米以上（含2米）有可能坠落的高处作业的下方2米范围内不得堆放物品或易碎物品；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3.2米以上应按照国家规范搭设安全网，安全网随工作面的升高而升高；高血压、心脏病、贫血、癫痫病以及恐高症等人员不适宜高处作业；攀登、悬空及高处搭设的人员必须经培训和考试后持证上岗，并定期检查身体。</w:t>
      </w:r>
    </w:p>
    <w:p>
      <w:pPr>
        <w:spacing w:line="460" w:lineRule="exact"/>
        <w:ind w:firstLine="480" w:firstLineChars="200"/>
        <w:rPr>
          <w:rFonts w:ascii="宋体" w:hAnsi="宋体"/>
          <w:sz w:val="24"/>
          <w:szCs w:val="24"/>
        </w:rPr>
      </w:pPr>
      <w:r>
        <w:rPr>
          <w:rFonts w:hint="eastAsia" w:ascii="宋体" w:hAnsi="宋体"/>
          <w:sz w:val="24"/>
          <w:szCs w:val="24"/>
        </w:rPr>
        <w:t>如遇雨、雪、大风（台风）、雷电等特殊天气，乙方应关注天气变化，提前做好应对准备，并负责教育所有可能进场施工人员。</w:t>
      </w:r>
    </w:p>
    <w:p>
      <w:pPr>
        <w:spacing w:line="460" w:lineRule="exact"/>
        <w:ind w:firstLine="480" w:firstLineChars="200"/>
        <w:rPr>
          <w:rFonts w:ascii="宋体" w:hAnsi="宋体"/>
          <w:sz w:val="24"/>
          <w:szCs w:val="24"/>
        </w:rPr>
      </w:pPr>
      <w:r>
        <w:rPr>
          <w:rFonts w:hint="eastAsia" w:ascii="宋体" w:hAnsi="宋体"/>
          <w:sz w:val="24"/>
          <w:szCs w:val="24"/>
        </w:rPr>
        <w:t>6、有毒有害物品或其他特殊物品处理</w:t>
      </w:r>
    </w:p>
    <w:p>
      <w:pPr>
        <w:spacing w:line="460" w:lineRule="exact"/>
        <w:ind w:firstLine="480" w:firstLineChars="200"/>
        <w:rPr>
          <w:rFonts w:ascii="宋体" w:hAnsi="宋体"/>
          <w:sz w:val="24"/>
          <w:szCs w:val="24"/>
        </w:rPr>
      </w:pPr>
      <w:r>
        <w:rPr>
          <w:rFonts w:hint="eastAsia" w:ascii="宋体" w:hAnsi="宋体"/>
          <w:sz w:val="24"/>
          <w:szCs w:val="24"/>
        </w:rPr>
        <w:t>乙方须承担因本批报废物资的清理、装卸、运输、回收处置、清扫等产生的一切费用及人身、财产、环境保护等法律责任。乙方必须按照国家规范和甲方要求，安全、文明、合法、有序地进行报废物资处理，涉及计算机、电视机或其他有毒有害物品等处理必须符合国家相关处理规定，必要时必需安排有专门资质的单位进行现场处理，否则由其引发的一切损失、责任、矛盾等均由乙方完全负责，与甲方无关。废料、废渣、废液等处理不得在原存放地实施，更不得随意丢弃或掩埋在校园内任意地点（包括垃圾桶、垃圾堆放点等），必须在运出校园后，按照国家规范，进行科学、安全处理。报废物品处理时不得危害到相关建筑结构，不得破坏、损坏现有建筑或场所的设施设备，造成学校设施损坏的要按价赔偿。报废物品搬运、运输、装卸等处理过程中，必须注意做好安全防护工作，避免出现各种伤害事故；同时要做好保护措施，避免物品散落。要规范施工，确保施工安全。处理过程中发生的任何人员意外伤害责任，均由乙方全部承担，与甲方无关。</w:t>
      </w:r>
    </w:p>
    <w:p>
      <w:pPr>
        <w:spacing w:line="460" w:lineRule="exact"/>
        <w:ind w:firstLine="480" w:firstLineChars="200"/>
        <w:rPr>
          <w:rFonts w:ascii="宋体" w:hAnsi="宋体"/>
          <w:sz w:val="24"/>
          <w:szCs w:val="24"/>
        </w:rPr>
      </w:pPr>
      <w:r>
        <w:rPr>
          <w:rFonts w:hint="eastAsia" w:ascii="宋体" w:hAnsi="宋体"/>
          <w:sz w:val="24"/>
          <w:szCs w:val="24"/>
        </w:rPr>
        <w:t>三、文明施工要求</w:t>
      </w:r>
    </w:p>
    <w:p>
      <w:pPr>
        <w:spacing w:line="460" w:lineRule="exact"/>
        <w:ind w:firstLine="480" w:firstLineChars="200"/>
        <w:rPr>
          <w:rFonts w:ascii="宋体" w:hAnsi="宋体"/>
          <w:sz w:val="24"/>
          <w:szCs w:val="24"/>
        </w:rPr>
      </w:pPr>
      <w:r>
        <w:rPr>
          <w:rFonts w:hint="eastAsia" w:ascii="宋体" w:hAnsi="宋体"/>
          <w:sz w:val="24"/>
          <w:szCs w:val="24"/>
        </w:rPr>
        <w:t>1、遵守国家或地方政府有关部门对施工现场管理的规定，管理好施工队伍，妥善保护好施工现场周围建筑物、设备管线不受损坏，做好施工现场保卫和垃圾处理等工作，处理好由于施工带来的扰民问题及周围单位（住户）的关系。 </w:t>
      </w:r>
    </w:p>
    <w:p>
      <w:pPr>
        <w:spacing w:line="460" w:lineRule="exact"/>
        <w:ind w:firstLine="480" w:firstLineChars="200"/>
        <w:rPr>
          <w:rFonts w:ascii="宋体" w:hAnsi="宋体"/>
          <w:sz w:val="24"/>
          <w:szCs w:val="24"/>
        </w:rPr>
      </w:pPr>
      <w:r>
        <w:rPr>
          <w:rFonts w:hint="eastAsia" w:ascii="宋体" w:hAnsi="宋体"/>
          <w:sz w:val="24"/>
          <w:szCs w:val="24"/>
        </w:rPr>
        <w:t>2、乙方应督促施工方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pPr>
        <w:spacing w:line="460" w:lineRule="exact"/>
        <w:ind w:firstLine="480" w:firstLineChars="200"/>
        <w:rPr>
          <w:rFonts w:ascii="宋体" w:hAnsi="宋体"/>
          <w:sz w:val="24"/>
          <w:szCs w:val="24"/>
        </w:rPr>
      </w:pPr>
      <w:r>
        <w:rPr>
          <w:rFonts w:hint="eastAsia" w:ascii="宋体" w:hAnsi="宋体"/>
          <w:sz w:val="24"/>
          <w:szCs w:val="24"/>
        </w:rPr>
        <w:t>3、施工队伍须响应学校管理，车辆进出校门须遵守门卫有关规定。</w:t>
      </w:r>
    </w:p>
    <w:p>
      <w:pPr>
        <w:spacing w:line="460" w:lineRule="exact"/>
        <w:ind w:firstLine="480" w:firstLineChars="200"/>
        <w:rPr>
          <w:rFonts w:ascii="宋体" w:hAnsi="宋体"/>
          <w:sz w:val="24"/>
          <w:szCs w:val="24"/>
        </w:rPr>
      </w:pPr>
      <w:r>
        <w:rPr>
          <w:rFonts w:hint="eastAsia" w:ascii="宋体" w:hAnsi="宋体"/>
          <w:sz w:val="24"/>
          <w:szCs w:val="24"/>
        </w:rPr>
        <w:t>4、乙方应督促施工方建筑材料须有序堆放，不得堆放在道路上，不得影响师生出行，不得在道路上搅拌砂浆、砼。</w:t>
      </w:r>
    </w:p>
    <w:p>
      <w:pPr>
        <w:spacing w:line="460" w:lineRule="exact"/>
        <w:ind w:firstLine="480" w:firstLineChars="200"/>
        <w:rPr>
          <w:rFonts w:ascii="宋体" w:hAnsi="宋体"/>
          <w:sz w:val="24"/>
          <w:szCs w:val="24"/>
        </w:rPr>
      </w:pPr>
      <w:r>
        <w:rPr>
          <w:rFonts w:hint="eastAsia" w:ascii="宋体" w:hAnsi="宋体"/>
          <w:sz w:val="24"/>
          <w:szCs w:val="24"/>
        </w:rPr>
        <w:t>5、乙方应督促施工方施工中未经甲方同意或有关部门批准，不得随意拆改原建筑物结构及各种设备管线。</w:t>
      </w:r>
    </w:p>
    <w:p>
      <w:pPr>
        <w:spacing w:line="460" w:lineRule="exact"/>
        <w:ind w:firstLine="480" w:firstLineChars="200"/>
        <w:rPr>
          <w:rFonts w:ascii="宋体" w:hAnsi="宋体"/>
          <w:sz w:val="24"/>
          <w:szCs w:val="24"/>
        </w:rPr>
      </w:pPr>
      <w:r>
        <w:rPr>
          <w:rFonts w:hint="eastAsia" w:ascii="宋体" w:hAnsi="宋体"/>
          <w:sz w:val="24"/>
          <w:szCs w:val="24"/>
        </w:rPr>
        <w:t>6、工程竣工未移交甲方之前，乙方应督促施工方负责对现场的一切设施和工程成品进行保护。</w:t>
      </w:r>
    </w:p>
    <w:p>
      <w:pPr>
        <w:spacing w:line="460" w:lineRule="exact"/>
        <w:ind w:firstLine="480" w:firstLineChars="200"/>
        <w:rPr>
          <w:rFonts w:ascii="宋体" w:hAnsi="宋体"/>
          <w:sz w:val="24"/>
          <w:szCs w:val="24"/>
        </w:rPr>
      </w:pPr>
      <w:r>
        <w:rPr>
          <w:rFonts w:hint="eastAsia" w:ascii="宋体" w:hAnsi="宋体"/>
          <w:sz w:val="24"/>
          <w:szCs w:val="24"/>
        </w:rPr>
        <w:t>四、安全责任</w:t>
      </w:r>
    </w:p>
    <w:p>
      <w:pPr>
        <w:spacing w:line="460" w:lineRule="exact"/>
        <w:ind w:firstLine="480" w:firstLineChars="200"/>
        <w:rPr>
          <w:rFonts w:ascii="宋体" w:hAnsi="宋体"/>
          <w:sz w:val="24"/>
          <w:szCs w:val="24"/>
        </w:rPr>
      </w:pPr>
      <w:r>
        <w:rPr>
          <w:rFonts w:hint="eastAsia" w:ascii="宋体" w:hAnsi="宋体"/>
          <w:sz w:val="24"/>
          <w:szCs w:val="24"/>
        </w:rPr>
        <w:t>乙方应严格按照采购文件、合同、本责任书等安全约定，严格按照国家相关安全施工规范要求，落实安全措施，遵守安全施工规定，确保安全、文明施工；否则，项目施工期间或在工期范围内发生安全事故或损害及其引发的一切损失，均由乙方承担全部责任，与甲方无关。</w:t>
      </w:r>
    </w:p>
    <w:p>
      <w:pPr>
        <w:pStyle w:val="2"/>
        <w:rPr>
          <w:rFonts w:ascii="宋体" w:hAnsi="宋体"/>
          <w:color w:val="auto"/>
        </w:rPr>
      </w:pPr>
    </w:p>
    <w:p>
      <w:pPr>
        <w:pStyle w:val="2"/>
        <w:rPr>
          <w:rFonts w:ascii="宋体" w:hAnsi="宋体"/>
          <w:color w:val="auto"/>
        </w:rPr>
      </w:pPr>
    </w:p>
    <w:p>
      <w:pPr>
        <w:pStyle w:val="2"/>
        <w:rPr>
          <w:rFonts w:ascii="宋体" w:hAnsi="宋体"/>
          <w:color w:val="auto"/>
        </w:rPr>
      </w:pPr>
    </w:p>
    <w:p>
      <w:pPr>
        <w:spacing w:line="480" w:lineRule="exact"/>
        <w:ind w:firstLine="480" w:firstLineChars="200"/>
        <w:rPr>
          <w:rFonts w:ascii="宋体" w:hAnsi="宋体"/>
          <w:sz w:val="24"/>
          <w:szCs w:val="24"/>
        </w:rPr>
      </w:pPr>
      <w:r>
        <w:rPr>
          <w:rFonts w:hint="eastAsia" w:ascii="宋体" w:hAnsi="宋体"/>
          <w:sz w:val="24"/>
          <w:szCs w:val="24"/>
        </w:rPr>
        <w:t xml:space="preserve">甲方：盐城幼儿师范高等专科学校     乙方： </w:t>
      </w:r>
    </w:p>
    <w:p>
      <w:pPr>
        <w:pStyle w:val="2"/>
        <w:rPr>
          <w:color w:val="auto"/>
        </w:rPr>
      </w:pPr>
    </w:p>
    <w:p>
      <w:pPr>
        <w:spacing w:line="480" w:lineRule="exact"/>
        <w:ind w:firstLine="480" w:firstLineChars="200"/>
        <w:rPr>
          <w:rFonts w:ascii="宋体" w:hAnsi="宋体"/>
          <w:sz w:val="24"/>
          <w:szCs w:val="24"/>
        </w:rPr>
      </w:pPr>
      <w:r>
        <w:rPr>
          <w:rFonts w:hint="eastAsia" w:ascii="宋体" w:hAnsi="宋体"/>
          <w:sz w:val="24"/>
          <w:szCs w:val="24"/>
        </w:rPr>
        <w:t>甲方委托代表签字：         乙方委托代表签字：</w:t>
      </w:r>
    </w:p>
    <w:p>
      <w:pPr>
        <w:spacing w:line="480" w:lineRule="exact"/>
        <w:ind w:firstLine="480" w:firstLineChars="200"/>
        <w:rPr>
          <w:rFonts w:ascii="宋体" w:hAnsi="宋体"/>
          <w:sz w:val="24"/>
          <w:szCs w:val="24"/>
        </w:rPr>
      </w:pPr>
      <w:r>
        <w:rPr>
          <w:rFonts w:hint="eastAsia" w:ascii="宋体" w:hAnsi="宋体"/>
          <w:sz w:val="24"/>
          <w:szCs w:val="24"/>
        </w:rPr>
        <w:t> </w:t>
      </w:r>
    </w:p>
    <w:p>
      <w:pPr>
        <w:spacing w:line="520" w:lineRule="exact"/>
        <w:jc w:val="left"/>
        <w:rPr>
          <w:rFonts w:asciiTheme="minorEastAsia" w:hAnsiTheme="minorEastAsia" w:eastAsiaTheme="minorEastAsia"/>
          <w:b/>
          <w:w w:val="80"/>
          <w:sz w:val="30"/>
          <w:szCs w:val="30"/>
        </w:rPr>
      </w:pPr>
      <w:r>
        <w:rPr>
          <w:rFonts w:hint="eastAsia" w:asciiTheme="minorEastAsia" w:hAnsiTheme="minorEastAsia" w:eastAsiaTheme="minorEastAsia"/>
          <w:b/>
          <w:w w:val="80"/>
          <w:sz w:val="30"/>
          <w:szCs w:val="30"/>
        </w:rPr>
        <w:t xml:space="preserve">                                     </w:t>
      </w:r>
      <w:r>
        <w:rPr>
          <w:rFonts w:hint="eastAsia" w:ascii="宋体" w:hAnsi="宋体"/>
          <w:sz w:val="24"/>
          <w:szCs w:val="24"/>
        </w:rPr>
        <w:t xml:space="preserve"> 2021年  月   日</w:t>
      </w:r>
    </w:p>
    <w:p>
      <w:pPr>
        <w:spacing w:line="520" w:lineRule="exact"/>
        <w:jc w:val="left"/>
        <w:rPr>
          <w:rFonts w:asciiTheme="minorEastAsia" w:hAnsiTheme="minorEastAsia" w:eastAsiaTheme="minorEastAsia"/>
          <w:b/>
          <w:w w:val="80"/>
          <w:sz w:val="30"/>
          <w:szCs w:val="30"/>
        </w:rPr>
      </w:pPr>
      <w:r>
        <w:rPr>
          <w:rFonts w:hint="eastAsia" w:asciiTheme="minorEastAsia" w:hAnsiTheme="minorEastAsia" w:eastAsiaTheme="minorEastAsia"/>
          <w:b/>
          <w:w w:val="80"/>
          <w:sz w:val="30"/>
          <w:szCs w:val="30"/>
        </w:rPr>
        <w:t>附件2</w:t>
      </w:r>
    </w:p>
    <w:p>
      <w:pPr>
        <w:spacing w:line="520" w:lineRule="exact"/>
        <w:jc w:val="center"/>
        <w:rPr>
          <w:rFonts w:asciiTheme="minorEastAsia" w:hAnsiTheme="minorEastAsia" w:eastAsiaTheme="minorEastAsia"/>
          <w:b/>
          <w:w w:val="80"/>
          <w:sz w:val="30"/>
          <w:szCs w:val="30"/>
        </w:rPr>
      </w:pPr>
      <w:r>
        <w:rPr>
          <w:rFonts w:hint="eastAsia" w:asciiTheme="minorEastAsia" w:hAnsiTheme="minorEastAsia" w:eastAsiaTheme="minorEastAsia"/>
          <w:b/>
          <w:w w:val="80"/>
          <w:sz w:val="30"/>
          <w:szCs w:val="30"/>
        </w:rPr>
        <w:t>盐城幼儿师范高等专科学校食堂考核实施细则</w:t>
      </w:r>
    </w:p>
    <w:tbl>
      <w:tblPr>
        <w:tblStyle w:val="54"/>
        <w:tblW w:w="8361" w:type="dxa"/>
        <w:tblInd w:w="93" w:type="dxa"/>
        <w:tblLayout w:type="fixed"/>
        <w:tblCellMar>
          <w:top w:w="0" w:type="dxa"/>
          <w:left w:w="108" w:type="dxa"/>
          <w:bottom w:w="0" w:type="dxa"/>
          <w:right w:w="108" w:type="dxa"/>
        </w:tblCellMar>
      </w:tblPr>
      <w:tblGrid>
        <w:gridCol w:w="1074"/>
        <w:gridCol w:w="697"/>
        <w:gridCol w:w="6590"/>
      </w:tblGrid>
      <w:tr>
        <w:tblPrEx>
          <w:tblLayout w:type="fixed"/>
          <w:tblCellMar>
            <w:top w:w="0" w:type="dxa"/>
            <w:left w:w="108" w:type="dxa"/>
            <w:bottom w:w="0" w:type="dxa"/>
            <w:right w:w="108" w:type="dxa"/>
          </w:tblCellMar>
        </w:tblPrEx>
        <w:trPr>
          <w:trHeight w:val="755" w:hRule="atLeast"/>
        </w:trPr>
        <w:tc>
          <w:tcPr>
            <w:tcW w:w="1074" w:type="dxa"/>
            <w:tcBorders>
              <w:top w:val="single" w:color="auto" w:sz="8" w:space="0"/>
              <w:left w:val="single" w:color="auto" w:sz="8" w:space="0"/>
              <w:bottom w:val="single" w:color="auto" w:sz="4" w:space="0"/>
              <w:right w:val="single" w:color="auto" w:sz="4" w:space="0"/>
            </w:tcBorders>
            <w:vAlign w:val="center"/>
          </w:tcPr>
          <w:p>
            <w:pPr>
              <w:widowControl/>
              <w:spacing w:line="360" w:lineRule="exact"/>
              <w:jc w:val="center"/>
              <w:rPr>
                <w:rFonts w:ascii="宋体" w:hAnsi="宋体" w:cs="宋体"/>
                <w:b/>
                <w:bCs/>
                <w:kern w:val="0"/>
              </w:rPr>
            </w:pPr>
            <w:r>
              <w:rPr>
                <w:rFonts w:hint="eastAsia" w:ascii="宋体" w:hAnsi="宋体" w:cs="宋体"/>
                <w:b/>
                <w:bCs/>
                <w:kern w:val="0"/>
              </w:rPr>
              <w:t>检查</w:t>
            </w:r>
            <w:r>
              <w:rPr>
                <w:rFonts w:hint="eastAsia" w:ascii="宋体" w:hAnsi="宋体" w:cs="宋体"/>
                <w:b/>
                <w:bCs/>
                <w:kern w:val="0"/>
              </w:rPr>
              <w:br w:type="textWrapping"/>
            </w:r>
            <w:r>
              <w:rPr>
                <w:rFonts w:hint="eastAsia" w:ascii="宋体" w:hAnsi="宋体" w:cs="宋体"/>
                <w:b/>
                <w:bCs/>
                <w:kern w:val="0"/>
              </w:rPr>
              <w:t>内容</w:t>
            </w:r>
          </w:p>
        </w:tc>
        <w:tc>
          <w:tcPr>
            <w:tcW w:w="697" w:type="dxa"/>
            <w:tcBorders>
              <w:top w:val="single" w:color="auto" w:sz="8" w:space="0"/>
              <w:left w:val="nil"/>
              <w:bottom w:val="single" w:color="auto" w:sz="4" w:space="0"/>
              <w:right w:val="single" w:color="auto" w:sz="4" w:space="0"/>
            </w:tcBorders>
            <w:vAlign w:val="center"/>
          </w:tcPr>
          <w:p>
            <w:pPr>
              <w:widowControl/>
              <w:spacing w:line="360" w:lineRule="exact"/>
              <w:jc w:val="center"/>
              <w:rPr>
                <w:rFonts w:ascii="宋体" w:hAnsi="宋体" w:cs="宋体"/>
                <w:b/>
                <w:bCs/>
                <w:kern w:val="0"/>
              </w:rPr>
            </w:pPr>
            <w:r>
              <w:rPr>
                <w:rFonts w:hint="eastAsia" w:ascii="宋体" w:hAnsi="宋体" w:cs="宋体"/>
                <w:b/>
                <w:bCs/>
                <w:kern w:val="0"/>
              </w:rPr>
              <w:t>序</w:t>
            </w:r>
            <w:r>
              <w:rPr>
                <w:rFonts w:hint="eastAsia" w:ascii="宋体" w:hAnsi="宋体" w:cs="宋体"/>
                <w:b/>
                <w:bCs/>
                <w:kern w:val="0"/>
              </w:rPr>
              <w:br w:type="textWrapping"/>
            </w:r>
            <w:r>
              <w:rPr>
                <w:rFonts w:hint="eastAsia" w:ascii="宋体" w:hAnsi="宋体" w:cs="宋体"/>
                <w:b/>
                <w:bCs/>
                <w:kern w:val="0"/>
              </w:rPr>
              <w:t>号</w:t>
            </w:r>
          </w:p>
        </w:tc>
        <w:tc>
          <w:tcPr>
            <w:tcW w:w="6590" w:type="dxa"/>
            <w:tcBorders>
              <w:top w:val="single" w:color="auto" w:sz="8" w:space="0"/>
              <w:left w:val="nil"/>
              <w:bottom w:val="single" w:color="auto" w:sz="4" w:space="0"/>
              <w:right w:val="single" w:color="auto" w:sz="4" w:space="0"/>
            </w:tcBorders>
            <w:vAlign w:val="center"/>
          </w:tcPr>
          <w:p>
            <w:pPr>
              <w:widowControl/>
              <w:spacing w:line="360" w:lineRule="exact"/>
              <w:jc w:val="center"/>
              <w:rPr>
                <w:rFonts w:ascii="宋体" w:hAnsi="宋体" w:cs="宋体"/>
                <w:b/>
                <w:bCs/>
                <w:kern w:val="0"/>
              </w:rPr>
            </w:pPr>
            <w:r>
              <w:rPr>
                <w:rFonts w:hint="eastAsia" w:ascii="宋体" w:hAnsi="宋体" w:cs="宋体"/>
                <w:b/>
                <w:bCs/>
                <w:kern w:val="0"/>
              </w:rPr>
              <w:t>要求、标准及规范</w:t>
            </w:r>
          </w:p>
        </w:tc>
      </w:tr>
      <w:tr>
        <w:tblPrEx>
          <w:tblLayout w:type="fixed"/>
          <w:tblCellMar>
            <w:top w:w="0" w:type="dxa"/>
            <w:left w:w="108" w:type="dxa"/>
            <w:bottom w:w="0" w:type="dxa"/>
            <w:right w:w="108" w:type="dxa"/>
          </w:tblCellMar>
        </w:tblPrEx>
        <w:trPr>
          <w:trHeight w:val="662" w:hRule="atLeast"/>
        </w:trPr>
        <w:tc>
          <w:tcPr>
            <w:tcW w:w="1074" w:type="dxa"/>
            <w:vMerge w:val="restart"/>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员工</w:t>
            </w:r>
            <w:r>
              <w:rPr>
                <w:rFonts w:hint="eastAsia" w:ascii="宋体" w:hAnsi="宋体" w:cs="宋体"/>
                <w:kern w:val="0"/>
              </w:rPr>
              <w:br w:type="textWrapping"/>
            </w:r>
            <w:r>
              <w:rPr>
                <w:rFonts w:hint="eastAsia" w:ascii="宋体" w:hAnsi="宋体" w:cs="宋体"/>
                <w:kern w:val="0"/>
              </w:rPr>
              <w:t>管理</w:t>
            </w:r>
          </w:p>
        </w:tc>
        <w:tc>
          <w:tcPr>
            <w:tcW w:w="6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w:t>
            </w:r>
          </w:p>
        </w:tc>
        <w:tc>
          <w:tcPr>
            <w:tcW w:w="6590" w:type="dxa"/>
            <w:tcBorders>
              <w:top w:val="nil"/>
              <w:left w:val="nil"/>
              <w:bottom w:val="single" w:color="auto" w:sz="4"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新员工上岗前须参加包括《实施细则》、《食品安全法》等法律法规和管理制度的培训学习。</w:t>
            </w:r>
          </w:p>
        </w:tc>
      </w:tr>
      <w:tr>
        <w:tblPrEx>
          <w:tblLayout w:type="fixed"/>
          <w:tblCellMar>
            <w:top w:w="0" w:type="dxa"/>
            <w:left w:w="108" w:type="dxa"/>
            <w:bottom w:w="0" w:type="dxa"/>
            <w:right w:w="108" w:type="dxa"/>
          </w:tblCellMar>
        </w:tblPrEx>
        <w:trPr>
          <w:trHeight w:val="809" w:hRule="exact"/>
        </w:trPr>
        <w:tc>
          <w:tcPr>
            <w:tcW w:w="1074"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rPr>
            </w:pPr>
          </w:p>
        </w:tc>
        <w:tc>
          <w:tcPr>
            <w:tcW w:w="6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2</w:t>
            </w:r>
          </w:p>
        </w:tc>
        <w:tc>
          <w:tcPr>
            <w:tcW w:w="6590" w:type="dxa"/>
            <w:tcBorders>
              <w:top w:val="nil"/>
              <w:left w:val="nil"/>
              <w:bottom w:val="single" w:color="auto" w:sz="4"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员工持健康证上岗。员工健康证由各食堂保管，彩色复印件在食堂宣传栏张贴公示。</w:t>
            </w:r>
          </w:p>
        </w:tc>
      </w:tr>
      <w:tr>
        <w:tblPrEx>
          <w:tblLayout w:type="fixed"/>
          <w:tblCellMar>
            <w:top w:w="0" w:type="dxa"/>
            <w:left w:w="108" w:type="dxa"/>
            <w:bottom w:w="0" w:type="dxa"/>
            <w:right w:w="108" w:type="dxa"/>
          </w:tblCellMar>
        </w:tblPrEx>
        <w:trPr>
          <w:trHeight w:val="715" w:hRule="atLeast"/>
        </w:trPr>
        <w:tc>
          <w:tcPr>
            <w:tcW w:w="1074"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rPr>
            </w:pPr>
          </w:p>
        </w:tc>
        <w:tc>
          <w:tcPr>
            <w:tcW w:w="6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3</w:t>
            </w:r>
          </w:p>
        </w:tc>
        <w:tc>
          <w:tcPr>
            <w:tcW w:w="6590" w:type="dxa"/>
            <w:tcBorders>
              <w:top w:val="nil"/>
              <w:left w:val="nil"/>
              <w:bottom w:val="single" w:color="auto" w:sz="4" w:space="0"/>
              <w:right w:val="single" w:color="auto" w:sz="4" w:space="0"/>
            </w:tcBorders>
            <w:vAlign w:val="center"/>
          </w:tcPr>
          <w:p>
            <w:pPr>
              <w:widowControl/>
              <w:spacing w:line="300" w:lineRule="exact"/>
              <w:jc w:val="left"/>
              <w:rPr>
                <w:rFonts w:ascii="宋体" w:hAnsi="宋体" w:cs="宋体"/>
                <w:kern w:val="0"/>
              </w:rPr>
            </w:pPr>
            <w:r>
              <w:rPr>
                <w:rFonts w:hint="eastAsia" w:ascii="宋体" w:hAnsi="宋体" w:cs="宋体"/>
                <w:kern w:val="0"/>
              </w:rPr>
              <w:t>员工工作服、工作帽、口罩和围裙干净整洁。员工佩戴工号牌上岗，不得穿拖鞋、高跟鞋上班。</w:t>
            </w:r>
          </w:p>
        </w:tc>
      </w:tr>
      <w:tr>
        <w:tblPrEx>
          <w:tblLayout w:type="fixed"/>
          <w:tblCellMar>
            <w:top w:w="0" w:type="dxa"/>
            <w:left w:w="108" w:type="dxa"/>
            <w:bottom w:w="0" w:type="dxa"/>
            <w:right w:w="108" w:type="dxa"/>
          </w:tblCellMar>
        </w:tblPrEx>
        <w:trPr>
          <w:trHeight w:val="814" w:hRule="exact"/>
        </w:trPr>
        <w:tc>
          <w:tcPr>
            <w:tcW w:w="1074"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rPr>
            </w:pPr>
          </w:p>
        </w:tc>
        <w:tc>
          <w:tcPr>
            <w:tcW w:w="6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w:t>
            </w:r>
          </w:p>
        </w:tc>
        <w:tc>
          <w:tcPr>
            <w:tcW w:w="6590" w:type="dxa"/>
            <w:tcBorders>
              <w:top w:val="nil"/>
              <w:left w:val="nil"/>
              <w:bottom w:val="single" w:color="auto" w:sz="4"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每天召开晨会，通过询问与观察等方式对在岗员工健康状况例行检查，如实填写《员工晨检表》、《食堂晨会》记录。</w:t>
            </w:r>
          </w:p>
        </w:tc>
      </w:tr>
      <w:tr>
        <w:tblPrEx>
          <w:tblLayout w:type="fixed"/>
          <w:tblCellMar>
            <w:top w:w="0" w:type="dxa"/>
            <w:left w:w="108" w:type="dxa"/>
            <w:bottom w:w="0" w:type="dxa"/>
            <w:right w:w="108" w:type="dxa"/>
          </w:tblCellMar>
        </w:tblPrEx>
        <w:trPr>
          <w:trHeight w:val="1102" w:hRule="exact"/>
        </w:trPr>
        <w:tc>
          <w:tcPr>
            <w:tcW w:w="1074"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rPr>
            </w:pPr>
          </w:p>
        </w:tc>
        <w:tc>
          <w:tcPr>
            <w:tcW w:w="6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5</w:t>
            </w:r>
          </w:p>
        </w:tc>
        <w:tc>
          <w:tcPr>
            <w:tcW w:w="6590" w:type="dxa"/>
            <w:tcBorders>
              <w:top w:val="nil"/>
              <w:left w:val="nil"/>
              <w:bottom w:val="single" w:color="auto" w:sz="4"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检查员工个人卫生，男职工不留长发、胡须，女职工不得头发披肩（用发卡网罩），烫染怪异发型、浓妆艳抹、佩戴饰物、留长指甲、涂指甲油。</w:t>
            </w:r>
          </w:p>
        </w:tc>
      </w:tr>
      <w:tr>
        <w:tblPrEx>
          <w:tblLayout w:type="fixed"/>
          <w:tblCellMar>
            <w:top w:w="0" w:type="dxa"/>
            <w:left w:w="108" w:type="dxa"/>
            <w:bottom w:w="0" w:type="dxa"/>
            <w:right w:w="108" w:type="dxa"/>
          </w:tblCellMar>
        </w:tblPrEx>
        <w:trPr>
          <w:trHeight w:val="519" w:hRule="exact"/>
        </w:trPr>
        <w:tc>
          <w:tcPr>
            <w:tcW w:w="1074"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rPr>
            </w:pPr>
          </w:p>
        </w:tc>
        <w:tc>
          <w:tcPr>
            <w:tcW w:w="6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6</w:t>
            </w:r>
          </w:p>
        </w:tc>
        <w:tc>
          <w:tcPr>
            <w:tcW w:w="6590" w:type="dxa"/>
            <w:tcBorders>
              <w:top w:val="nil"/>
              <w:left w:val="nil"/>
              <w:bottom w:val="single" w:color="auto" w:sz="4"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与工作无关的个人物品禁止在功能间、售饭间窗口摆放。</w:t>
            </w:r>
          </w:p>
        </w:tc>
      </w:tr>
      <w:tr>
        <w:tblPrEx>
          <w:tblLayout w:type="fixed"/>
          <w:tblCellMar>
            <w:top w:w="0" w:type="dxa"/>
            <w:left w:w="108" w:type="dxa"/>
            <w:bottom w:w="0" w:type="dxa"/>
            <w:right w:w="108" w:type="dxa"/>
          </w:tblCellMar>
        </w:tblPrEx>
        <w:trPr>
          <w:trHeight w:val="569" w:hRule="exact"/>
        </w:trPr>
        <w:tc>
          <w:tcPr>
            <w:tcW w:w="1074"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rPr>
            </w:pPr>
          </w:p>
        </w:tc>
        <w:tc>
          <w:tcPr>
            <w:tcW w:w="6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7</w:t>
            </w:r>
          </w:p>
        </w:tc>
        <w:tc>
          <w:tcPr>
            <w:tcW w:w="6590" w:type="dxa"/>
            <w:tcBorders>
              <w:top w:val="nil"/>
              <w:left w:val="nil"/>
              <w:bottom w:val="single" w:color="auto" w:sz="4"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员工应在规定时间、规定地点用餐，不允许在备餐间或功能间就餐</w:t>
            </w:r>
          </w:p>
        </w:tc>
      </w:tr>
      <w:tr>
        <w:tblPrEx>
          <w:tblLayout w:type="fixed"/>
          <w:tblCellMar>
            <w:top w:w="0" w:type="dxa"/>
            <w:left w:w="108" w:type="dxa"/>
            <w:bottom w:w="0" w:type="dxa"/>
            <w:right w:w="108" w:type="dxa"/>
          </w:tblCellMar>
        </w:tblPrEx>
        <w:trPr>
          <w:trHeight w:val="809" w:hRule="exact"/>
        </w:trPr>
        <w:tc>
          <w:tcPr>
            <w:tcW w:w="1074"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rPr>
            </w:pPr>
          </w:p>
        </w:tc>
        <w:tc>
          <w:tcPr>
            <w:tcW w:w="6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8</w:t>
            </w:r>
          </w:p>
        </w:tc>
        <w:tc>
          <w:tcPr>
            <w:tcW w:w="6590" w:type="dxa"/>
            <w:tcBorders>
              <w:top w:val="nil"/>
              <w:left w:val="nil"/>
              <w:bottom w:val="single" w:color="auto" w:sz="4"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熟悉本工作岗位的机械设备操作规程，准确回答检查组有关安全生产规范的提问。</w:t>
            </w:r>
          </w:p>
        </w:tc>
      </w:tr>
      <w:tr>
        <w:tblPrEx>
          <w:tblLayout w:type="fixed"/>
          <w:tblCellMar>
            <w:top w:w="0" w:type="dxa"/>
            <w:left w:w="108" w:type="dxa"/>
            <w:bottom w:w="0" w:type="dxa"/>
            <w:right w:w="108" w:type="dxa"/>
          </w:tblCellMar>
        </w:tblPrEx>
        <w:trPr>
          <w:trHeight w:val="529" w:hRule="exact"/>
        </w:trPr>
        <w:tc>
          <w:tcPr>
            <w:tcW w:w="1074" w:type="dxa"/>
            <w:vMerge w:val="restart"/>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卫生</w:t>
            </w:r>
          </w:p>
          <w:p>
            <w:pPr>
              <w:widowControl/>
              <w:jc w:val="center"/>
              <w:rPr>
                <w:rFonts w:ascii="宋体" w:hAnsi="宋体" w:cs="宋体"/>
                <w:kern w:val="0"/>
              </w:rPr>
            </w:pPr>
            <w:r>
              <w:rPr>
                <w:rFonts w:hint="eastAsia" w:ascii="宋体" w:hAnsi="宋体" w:cs="宋体"/>
                <w:kern w:val="0"/>
              </w:rPr>
              <w:br w:type="page"/>
            </w:r>
            <w:r>
              <w:rPr>
                <w:rFonts w:hint="eastAsia" w:ascii="宋体" w:hAnsi="宋体" w:cs="宋体"/>
                <w:kern w:val="0"/>
              </w:rPr>
              <w:t>管理</w:t>
            </w:r>
          </w:p>
        </w:tc>
        <w:tc>
          <w:tcPr>
            <w:tcW w:w="6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9</w:t>
            </w:r>
          </w:p>
        </w:tc>
        <w:tc>
          <w:tcPr>
            <w:tcW w:w="6590" w:type="dxa"/>
            <w:tcBorders>
              <w:top w:val="nil"/>
              <w:left w:val="nil"/>
              <w:bottom w:val="single" w:color="auto" w:sz="4"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功能间用具及卫生责任到人，各功能间张贴卫生责任人标识。</w:t>
            </w:r>
          </w:p>
        </w:tc>
      </w:tr>
      <w:tr>
        <w:tblPrEx>
          <w:tblLayout w:type="fixed"/>
          <w:tblCellMar>
            <w:top w:w="0" w:type="dxa"/>
            <w:left w:w="108" w:type="dxa"/>
            <w:bottom w:w="0" w:type="dxa"/>
            <w:right w:w="108" w:type="dxa"/>
          </w:tblCellMar>
        </w:tblPrEx>
        <w:trPr>
          <w:trHeight w:val="544" w:hRule="exact"/>
        </w:trPr>
        <w:tc>
          <w:tcPr>
            <w:tcW w:w="1074"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rPr>
            </w:pPr>
          </w:p>
        </w:tc>
        <w:tc>
          <w:tcPr>
            <w:tcW w:w="6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10</w:t>
            </w:r>
          </w:p>
        </w:tc>
        <w:tc>
          <w:tcPr>
            <w:tcW w:w="6590" w:type="dxa"/>
            <w:tcBorders>
              <w:top w:val="nil"/>
              <w:left w:val="nil"/>
              <w:bottom w:val="single" w:color="auto" w:sz="4"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食堂生产（就餐）等区域禁止吸烟。</w:t>
            </w:r>
          </w:p>
        </w:tc>
      </w:tr>
      <w:tr>
        <w:tblPrEx>
          <w:tblLayout w:type="fixed"/>
          <w:tblCellMar>
            <w:top w:w="0" w:type="dxa"/>
            <w:left w:w="108" w:type="dxa"/>
            <w:bottom w:w="0" w:type="dxa"/>
            <w:right w:w="108" w:type="dxa"/>
          </w:tblCellMar>
        </w:tblPrEx>
        <w:trPr>
          <w:trHeight w:val="699" w:hRule="exact"/>
        </w:trPr>
        <w:tc>
          <w:tcPr>
            <w:tcW w:w="1074"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rPr>
            </w:pPr>
          </w:p>
        </w:tc>
        <w:tc>
          <w:tcPr>
            <w:tcW w:w="6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11</w:t>
            </w:r>
          </w:p>
        </w:tc>
        <w:tc>
          <w:tcPr>
            <w:tcW w:w="6590" w:type="dxa"/>
            <w:tcBorders>
              <w:top w:val="nil"/>
              <w:left w:val="nil"/>
              <w:bottom w:val="single" w:color="auto" w:sz="4"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玻璃、墙壁、天花板、门窗、开关、风扇没有污迹、蜘蛛网等。地沟通畅，无杂物、无异味。</w:t>
            </w:r>
          </w:p>
        </w:tc>
      </w:tr>
      <w:tr>
        <w:tblPrEx>
          <w:tblLayout w:type="fixed"/>
          <w:tblCellMar>
            <w:top w:w="0" w:type="dxa"/>
            <w:left w:w="108" w:type="dxa"/>
            <w:bottom w:w="0" w:type="dxa"/>
            <w:right w:w="108" w:type="dxa"/>
          </w:tblCellMar>
        </w:tblPrEx>
        <w:trPr>
          <w:trHeight w:val="549" w:hRule="exact"/>
        </w:trPr>
        <w:tc>
          <w:tcPr>
            <w:tcW w:w="1074"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rPr>
            </w:pPr>
          </w:p>
        </w:tc>
        <w:tc>
          <w:tcPr>
            <w:tcW w:w="6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12</w:t>
            </w:r>
          </w:p>
        </w:tc>
        <w:tc>
          <w:tcPr>
            <w:tcW w:w="6590" w:type="dxa"/>
            <w:tcBorders>
              <w:top w:val="nil"/>
              <w:left w:val="nil"/>
              <w:bottom w:val="single" w:color="auto" w:sz="4"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非加工期间食堂前（后）场底面无积水。</w:t>
            </w:r>
          </w:p>
        </w:tc>
      </w:tr>
      <w:tr>
        <w:tblPrEx>
          <w:tblLayout w:type="fixed"/>
          <w:tblCellMar>
            <w:top w:w="0" w:type="dxa"/>
            <w:left w:w="108" w:type="dxa"/>
            <w:bottom w:w="0" w:type="dxa"/>
            <w:right w:w="108" w:type="dxa"/>
          </w:tblCellMar>
        </w:tblPrEx>
        <w:trPr>
          <w:trHeight w:val="544" w:hRule="exact"/>
        </w:trPr>
        <w:tc>
          <w:tcPr>
            <w:tcW w:w="1074"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rPr>
            </w:pPr>
          </w:p>
        </w:tc>
        <w:tc>
          <w:tcPr>
            <w:tcW w:w="6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13</w:t>
            </w:r>
          </w:p>
        </w:tc>
        <w:tc>
          <w:tcPr>
            <w:tcW w:w="6590" w:type="dxa"/>
            <w:tcBorders>
              <w:top w:val="nil"/>
              <w:left w:val="nil"/>
              <w:bottom w:val="single" w:color="auto" w:sz="4"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整理箱、净菜框、毛菜筐干净整洁，分类且整齐上架放置，标记明显。</w:t>
            </w:r>
          </w:p>
        </w:tc>
      </w:tr>
      <w:tr>
        <w:tblPrEx>
          <w:tblLayout w:type="fixed"/>
          <w:tblCellMar>
            <w:top w:w="0" w:type="dxa"/>
            <w:left w:w="108" w:type="dxa"/>
            <w:bottom w:w="0" w:type="dxa"/>
            <w:right w:w="108" w:type="dxa"/>
          </w:tblCellMar>
        </w:tblPrEx>
        <w:trPr>
          <w:trHeight w:val="480" w:hRule="exact"/>
        </w:trPr>
        <w:tc>
          <w:tcPr>
            <w:tcW w:w="1074" w:type="dxa"/>
            <w:vMerge w:val="restart"/>
            <w:tcBorders>
              <w:top w:val="single" w:color="auto" w:sz="4" w:space="0"/>
              <w:left w:val="single" w:color="auto" w:sz="8" w:space="0"/>
              <w:bottom w:val="single" w:color="auto" w:sz="4" w:space="0"/>
              <w:right w:val="single" w:color="auto" w:sz="4" w:space="0"/>
            </w:tcBorders>
            <w:vAlign w:val="center"/>
          </w:tcPr>
          <w:p>
            <w:pPr>
              <w:jc w:val="center"/>
              <w:rPr>
                <w:rFonts w:ascii="宋体" w:hAnsi="宋体" w:cs="宋体"/>
                <w:kern w:val="0"/>
              </w:rPr>
            </w:pPr>
            <w:r>
              <w:rPr>
                <w:rFonts w:hint="eastAsia" w:ascii="宋体" w:hAnsi="宋体" w:cs="宋体"/>
                <w:kern w:val="0"/>
              </w:rPr>
              <w:t>卫生</w:t>
            </w:r>
          </w:p>
          <w:p>
            <w:pPr>
              <w:jc w:val="center"/>
              <w:rPr>
                <w:rFonts w:ascii="宋体" w:hAnsi="宋体" w:cs="宋体"/>
                <w:kern w:val="0"/>
              </w:rPr>
            </w:pPr>
            <w:r>
              <w:rPr>
                <w:rFonts w:hint="eastAsia" w:ascii="宋体" w:hAnsi="宋体" w:cs="宋体"/>
                <w:kern w:val="0"/>
              </w:rPr>
              <w:t>管理</w:t>
            </w:r>
          </w:p>
        </w:tc>
        <w:tc>
          <w:tcPr>
            <w:tcW w:w="69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14</w:t>
            </w:r>
          </w:p>
        </w:tc>
        <w:tc>
          <w:tcPr>
            <w:tcW w:w="6590"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洗手池、卫生间整洁干净。</w:t>
            </w:r>
          </w:p>
        </w:tc>
      </w:tr>
      <w:tr>
        <w:tblPrEx>
          <w:tblLayout w:type="fixed"/>
          <w:tblCellMar>
            <w:top w:w="0" w:type="dxa"/>
            <w:left w:w="108" w:type="dxa"/>
            <w:bottom w:w="0" w:type="dxa"/>
            <w:right w:w="108" w:type="dxa"/>
          </w:tblCellMar>
        </w:tblPrEx>
        <w:trPr>
          <w:trHeight w:val="520" w:hRule="exact"/>
        </w:trPr>
        <w:tc>
          <w:tcPr>
            <w:tcW w:w="1074" w:type="dxa"/>
            <w:vMerge w:val="continue"/>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p>
        </w:tc>
        <w:tc>
          <w:tcPr>
            <w:tcW w:w="6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15</w:t>
            </w:r>
          </w:p>
        </w:tc>
        <w:tc>
          <w:tcPr>
            <w:tcW w:w="6590" w:type="dxa"/>
            <w:tcBorders>
              <w:top w:val="nil"/>
              <w:left w:val="nil"/>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下水道有网眼孔径小于6mm的金属隔栅，每天清洁，无明显沉淀物。</w:t>
            </w:r>
          </w:p>
        </w:tc>
      </w:tr>
      <w:tr>
        <w:tblPrEx>
          <w:tblLayout w:type="fixed"/>
          <w:tblCellMar>
            <w:top w:w="0" w:type="dxa"/>
            <w:left w:w="108" w:type="dxa"/>
            <w:bottom w:w="0" w:type="dxa"/>
            <w:right w:w="108" w:type="dxa"/>
          </w:tblCellMar>
        </w:tblPrEx>
        <w:trPr>
          <w:trHeight w:val="490" w:hRule="exact"/>
        </w:trPr>
        <w:tc>
          <w:tcPr>
            <w:tcW w:w="1074" w:type="dxa"/>
            <w:vMerge w:val="continue"/>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p>
        </w:tc>
        <w:tc>
          <w:tcPr>
            <w:tcW w:w="6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16</w:t>
            </w:r>
          </w:p>
        </w:tc>
        <w:tc>
          <w:tcPr>
            <w:tcW w:w="6590" w:type="dxa"/>
            <w:tcBorders>
              <w:top w:val="nil"/>
              <w:left w:val="nil"/>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刀、墩、板、笼屉、抹布等炊具使用前后刷洗彻底，保持干净整洁。</w:t>
            </w:r>
          </w:p>
        </w:tc>
      </w:tr>
      <w:tr>
        <w:tblPrEx>
          <w:tblLayout w:type="fixed"/>
          <w:tblCellMar>
            <w:top w:w="0" w:type="dxa"/>
            <w:left w:w="108" w:type="dxa"/>
            <w:bottom w:w="0" w:type="dxa"/>
            <w:right w:w="108" w:type="dxa"/>
          </w:tblCellMar>
        </w:tblPrEx>
        <w:trPr>
          <w:trHeight w:val="550" w:hRule="exact"/>
        </w:trPr>
        <w:tc>
          <w:tcPr>
            <w:tcW w:w="1074" w:type="dxa"/>
            <w:vMerge w:val="continue"/>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p>
        </w:tc>
        <w:tc>
          <w:tcPr>
            <w:tcW w:w="6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17</w:t>
            </w:r>
          </w:p>
        </w:tc>
        <w:tc>
          <w:tcPr>
            <w:tcW w:w="6590" w:type="dxa"/>
            <w:tcBorders>
              <w:top w:val="nil"/>
              <w:left w:val="nil"/>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售饭间工作台、窗口机、开关灯具、消毒灯上无污迹。</w:t>
            </w:r>
          </w:p>
        </w:tc>
      </w:tr>
      <w:tr>
        <w:tblPrEx>
          <w:tblLayout w:type="fixed"/>
          <w:tblCellMar>
            <w:top w:w="0" w:type="dxa"/>
            <w:left w:w="108" w:type="dxa"/>
            <w:bottom w:w="0" w:type="dxa"/>
            <w:right w:w="108" w:type="dxa"/>
          </w:tblCellMar>
        </w:tblPrEx>
        <w:trPr>
          <w:trHeight w:val="580" w:hRule="exact"/>
        </w:trPr>
        <w:tc>
          <w:tcPr>
            <w:tcW w:w="1074" w:type="dxa"/>
            <w:vMerge w:val="continue"/>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p>
        </w:tc>
        <w:tc>
          <w:tcPr>
            <w:tcW w:w="6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18</w:t>
            </w:r>
          </w:p>
        </w:tc>
        <w:tc>
          <w:tcPr>
            <w:tcW w:w="6590" w:type="dxa"/>
            <w:tcBorders>
              <w:top w:val="nil"/>
              <w:left w:val="nil"/>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定时打扫卫生间，保持卫生间干净，无污渍，无异味。</w:t>
            </w:r>
          </w:p>
        </w:tc>
      </w:tr>
      <w:tr>
        <w:tblPrEx>
          <w:tblLayout w:type="fixed"/>
          <w:tblCellMar>
            <w:top w:w="0" w:type="dxa"/>
            <w:left w:w="108" w:type="dxa"/>
            <w:bottom w:w="0" w:type="dxa"/>
            <w:right w:w="108" w:type="dxa"/>
          </w:tblCellMar>
        </w:tblPrEx>
        <w:trPr>
          <w:trHeight w:val="640" w:hRule="exact"/>
        </w:trPr>
        <w:tc>
          <w:tcPr>
            <w:tcW w:w="1074" w:type="dxa"/>
            <w:vMerge w:val="continue"/>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p>
        </w:tc>
        <w:tc>
          <w:tcPr>
            <w:tcW w:w="6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19</w:t>
            </w:r>
          </w:p>
        </w:tc>
        <w:tc>
          <w:tcPr>
            <w:tcW w:w="6590" w:type="dxa"/>
            <w:tcBorders>
              <w:top w:val="nil"/>
              <w:left w:val="nil"/>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各功能间加工结束以后，不允许用塑料袋、编织袋、纸箱存放原料、半成品。</w:t>
            </w:r>
          </w:p>
        </w:tc>
      </w:tr>
      <w:tr>
        <w:tblPrEx>
          <w:tblLayout w:type="fixed"/>
          <w:tblCellMar>
            <w:top w:w="0" w:type="dxa"/>
            <w:left w:w="108" w:type="dxa"/>
            <w:bottom w:w="0" w:type="dxa"/>
            <w:right w:w="108" w:type="dxa"/>
          </w:tblCellMar>
        </w:tblPrEx>
        <w:trPr>
          <w:trHeight w:val="502" w:hRule="exact"/>
        </w:trPr>
        <w:tc>
          <w:tcPr>
            <w:tcW w:w="1074" w:type="dxa"/>
            <w:vMerge w:val="continue"/>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p>
        </w:tc>
        <w:tc>
          <w:tcPr>
            <w:tcW w:w="6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20</w:t>
            </w:r>
          </w:p>
        </w:tc>
        <w:tc>
          <w:tcPr>
            <w:tcW w:w="6590" w:type="dxa"/>
            <w:tcBorders>
              <w:top w:val="nil"/>
              <w:left w:val="nil"/>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所有与外界相通的门、窗均配置防蝇设施，并保持清洁。</w:t>
            </w:r>
          </w:p>
        </w:tc>
      </w:tr>
      <w:tr>
        <w:tblPrEx>
          <w:tblLayout w:type="fixed"/>
          <w:tblCellMar>
            <w:top w:w="0" w:type="dxa"/>
            <w:left w:w="108" w:type="dxa"/>
            <w:bottom w:w="0" w:type="dxa"/>
            <w:right w:w="108" w:type="dxa"/>
          </w:tblCellMar>
        </w:tblPrEx>
        <w:trPr>
          <w:trHeight w:val="517" w:hRule="exact"/>
        </w:trPr>
        <w:tc>
          <w:tcPr>
            <w:tcW w:w="1074" w:type="dxa"/>
            <w:vMerge w:val="restart"/>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机械</w:t>
            </w:r>
            <w:r>
              <w:rPr>
                <w:rFonts w:hint="eastAsia" w:ascii="宋体" w:hAnsi="宋体" w:cs="宋体"/>
                <w:kern w:val="0"/>
              </w:rPr>
              <w:br w:type="page"/>
            </w:r>
          </w:p>
          <w:p>
            <w:pPr>
              <w:widowControl/>
              <w:jc w:val="center"/>
              <w:rPr>
                <w:rFonts w:ascii="宋体" w:hAnsi="宋体" w:cs="宋体"/>
                <w:kern w:val="0"/>
              </w:rPr>
            </w:pPr>
            <w:r>
              <w:rPr>
                <w:rFonts w:hint="eastAsia" w:ascii="宋体" w:hAnsi="宋体" w:cs="宋体"/>
                <w:kern w:val="0"/>
              </w:rPr>
              <w:t>设备</w:t>
            </w:r>
          </w:p>
          <w:p>
            <w:pPr>
              <w:widowControl/>
              <w:jc w:val="center"/>
              <w:rPr>
                <w:rFonts w:ascii="宋体" w:hAnsi="宋体" w:cs="宋体"/>
                <w:kern w:val="0"/>
              </w:rPr>
            </w:pPr>
            <w:r>
              <w:rPr>
                <w:rFonts w:hint="eastAsia" w:ascii="宋体" w:hAnsi="宋体" w:cs="宋体"/>
                <w:kern w:val="0"/>
              </w:rPr>
              <w:t>操作</w:t>
            </w:r>
          </w:p>
          <w:p>
            <w:pPr>
              <w:widowControl/>
              <w:jc w:val="center"/>
              <w:rPr>
                <w:rFonts w:ascii="宋体" w:hAnsi="宋体" w:cs="宋体"/>
                <w:kern w:val="0"/>
              </w:rPr>
            </w:pPr>
            <w:r>
              <w:rPr>
                <w:rFonts w:hint="eastAsia" w:ascii="宋体" w:hAnsi="宋体" w:cs="宋体"/>
                <w:kern w:val="0"/>
              </w:rPr>
              <w:t>管理</w:t>
            </w:r>
          </w:p>
        </w:tc>
        <w:tc>
          <w:tcPr>
            <w:tcW w:w="6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21</w:t>
            </w:r>
          </w:p>
        </w:tc>
        <w:tc>
          <w:tcPr>
            <w:tcW w:w="6590" w:type="dxa"/>
            <w:tcBorders>
              <w:top w:val="nil"/>
              <w:left w:val="nil"/>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机械设备使用、维护、保养责任到人，张贴责任人标识。</w:t>
            </w:r>
          </w:p>
        </w:tc>
      </w:tr>
      <w:tr>
        <w:tblPrEx>
          <w:tblLayout w:type="fixed"/>
          <w:tblCellMar>
            <w:top w:w="0" w:type="dxa"/>
            <w:left w:w="108" w:type="dxa"/>
            <w:bottom w:w="0" w:type="dxa"/>
            <w:right w:w="108" w:type="dxa"/>
          </w:tblCellMar>
        </w:tblPrEx>
        <w:trPr>
          <w:trHeight w:val="487" w:hRule="exact"/>
        </w:trPr>
        <w:tc>
          <w:tcPr>
            <w:tcW w:w="1074"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rPr>
            </w:pPr>
          </w:p>
        </w:tc>
        <w:tc>
          <w:tcPr>
            <w:tcW w:w="6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22</w:t>
            </w:r>
          </w:p>
        </w:tc>
        <w:tc>
          <w:tcPr>
            <w:tcW w:w="6590" w:type="dxa"/>
            <w:tcBorders>
              <w:top w:val="nil"/>
              <w:left w:val="nil"/>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各种设备、用具摆放整齐。</w:t>
            </w:r>
          </w:p>
        </w:tc>
      </w:tr>
      <w:tr>
        <w:tblPrEx>
          <w:tblLayout w:type="fixed"/>
          <w:tblCellMar>
            <w:top w:w="0" w:type="dxa"/>
            <w:left w:w="108" w:type="dxa"/>
            <w:bottom w:w="0" w:type="dxa"/>
            <w:right w:w="108" w:type="dxa"/>
          </w:tblCellMar>
        </w:tblPrEx>
        <w:trPr>
          <w:trHeight w:val="547" w:hRule="exact"/>
        </w:trPr>
        <w:tc>
          <w:tcPr>
            <w:tcW w:w="1074"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rPr>
            </w:pPr>
          </w:p>
        </w:tc>
        <w:tc>
          <w:tcPr>
            <w:tcW w:w="6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23</w:t>
            </w:r>
          </w:p>
        </w:tc>
        <w:tc>
          <w:tcPr>
            <w:tcW w:w="6590" w:type="dxa"/>
            <w:tcBorders>
              <w:top w:val="nil"/>
              <w:left w:val="nil"/>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和面机、压面机、烤箱、电饼档、切菜机等所有设备每次使用后清洗并保持干净，没有灰尘、油泥残迹。</w:t>
            </w:r>
          </w:p>
        </w:tc>
      </w:tr>
      <w:tr>
        <w:tblPrEx>
          <w:tblLayout w:type="fixed"/>
          <w:tblCellMar>
            <w:top w:w="0" w:type="dxa"/>
            <w:left w:w="108" w:type="dxa"/>
            <w:bottom w:w="0" w:type="dxa"/>
            <w:right w:w="108" w:type="dxa"/>
          </w:tblCellMar>
        </w:tblPrEx>
        <w:trPr>
          <w:trHeight w:val="502" w:hRule="exact"/>
        </w:trPr>
        <w:tc>
          <w:tcPr>
            <w:tcW w:w="1074"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rPr>
            </w:pPr>
          </w:p>
        </w:tc>
        <w:tc>
          <w:tcPr>
            <w:tcW w:w="6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24</w:t>
            </w:r>
          </w:p>
        </w:tc>
        <w:tc>
          <w:tcPr>
            <w:tcW w:w="6590" w:type="dxa"/>
            <w:tcBorders>
              <w:top w:val="nil"/>
              <w:left w:val="nil"/>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各种设备操作规范张贴在相关设备附近。</w:t>
            </w:r>
          </w:p>
        </w:tc>
      </w:tr>
      <w:tr>
        <w:tblPrEx>
          <w:tblLayout w:type="fixed"/>
          <w:tblCellMar>
            <w:top w:w="0" w:type="dxa"/>
            <w:left w:w="108" w:type="dxa"/>
            <w:bottom w:w="0" w:type="dxa"/>
            <w:right w:w="108" w:type="dxa"/>
          </w:tblCellMar>
        </w:tblPrEx>
        <w:trPr>
          <w:trHeight w:val="640" w:hRule="exact"/>
        </w:trPr>
        <w:tc>
          <w:tcPr>
            <w:tcW w:w="1074"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rPr>
            </w:pPr>
          </w:p>
        </w:tc>
        <w:tc>
          <w:tcPr>
            <w:tcW w:w="6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25</w:t>
            </w:r>
          </w:p>
        </w:tc>
        <w:tc>
          <w:tcPr>
            <w:tcW w:w="6590" w:type="dxa"/>
            <w:tcBorders>
              <w:top w:val="nil"/>
              <w:left w:val="nil"/>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设备运转出现异常，设备责任人应第一时间拉闸断电，及时报修，并挂出“设备异常、暂停使用”的公告牌。</w:t>
            </w:r>
          </w:p>
        </w:tc>
      </w:tr>
      <w:tr>
        <w:tblPrEx>
          <w:tblLayout w:type="fixed"/>
          <w:tblCellMar>
            <w:top w:w="0" w:type="dxa"/>
            <w:left w:w="108" w:type="dxa"/>
            <w:bottom w:w="0" w:type="dxa"/>
            <w:right w:w="108" w:type="dxa"/>
          </w:tblCellMar>
        </w:tblPrEx>
        <w:trPr>
          <w:trHeight w:val="550" w:hRule="exact"/>
        </w:trPr>
        <w:tc>
          <w:tcPr>
            <w:tcW w:w="1074" w:type="dxa"/>
            <w:vMerge w:val="restart"/>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仓库</w:t>
            </w:r>
            <w:r>
              <w:rPr>
                <w:rFonts w:hint="eastAsia" w:ascii="宋体" w:hAnsi="宋体" w:cs="宋体"/>
                <w:kern w:val="0"/>
              </w:rPr>
              <w:br w:type="textWrapping"/>
            </w:r>
            <w:r>
              <w:rPr>
                <w:rFonts w:hint="eastAsia" w:ascii="宋体" w:hAnsi="宋体" w:cs="宋体"/>
                <w:kern w:val="0"/>
              </w:rPr>
              <w:t>及原</w:t>
            </w:r>
            <w:r>
              <w:rPr>
                <w:rFonts w:hint="eastAsia" w:ascii="宋体" w:hAnsi="宋体" w:cs="宋体"/>
                <w:kern w:val="0"/>
              </w:rPr>
              <w:br w:type="textWrapping"/>
            </w:r>
            <w:r>
              <w:rPr>
                <w:rFonts w:hint="eastAsia" w:ascii="宋体" w:hAnsi="宋体" w:cs="宋体"/>
                <w:kern w:val="0"/>
              </w:rPr>
              <w:t>材料</w:t>
            </w:r>
            <w:r>
              <w:rPr>
                <w:rFonts w:hint="eastAsia" w:ascii="宋体" w:hAnsi="宋体" w:cs="宋体"/>
                <w:kern w:val="0"/>
              </w:rPr>
              <w:br w:type="textWrapping"/>
            </w:r>
            <w:r>
              <w:rPr>
                <w:rFonts w:hint="eastAsia" w:ascii="宋体" w:hAnsi="宋体" w:cs="宋体"/>
                <w:kern w:val="0"/>
              </w:rPr>
              <w:t>管理</w:t>
            </w:r>
          </w:p>
        </w:tc>
        <w:tc>
          <w:tcPr>
            <w:tcW w:w="6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26</w:t>
            </w:r>
          </w:p>
        </w:tc>
        <w:tc>
          <w:tcPr>
            <w:tcW w:w="6590" w:type="dxa"/>
            <w:tcBorders>
              <w:top w:val="nil"/>
              <w:left w:val="nil"/>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采取防鼠、防蟑螂、防霉、防潮等措施。</w:t>
            </w:r>
          </w:p>
        </w:tc>
      </w:tr>
      <w:tr>
        <w:tblPrEx>
          <w:tblLayout w:type="fixed"/>
          <w:tblCellMar>
            <w:top w:w="0" w:type="dxa"/>
            <w:left w:w="108" w:type="dxa"/>
            <w:bottom w:w="0" w:type="dxa"/>
            <w:right w:w="108" w:type="dxa"/>
          </w:tblCellMar>
        </w:tblPrEx>
        <w:trPr>
          <w:trHeight w:val="535" w:hRule="exact"/>
        </w:trPr>
        <w:tc>
          <w:tcPr>
            <w:tcW w:w="1074"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rPr>
            </w:pPr>
          </w:p>
        </w:tc>
        <w:tc>
          <w:tcPr>
            <w:tcW w:w="6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27</w:t>
            </w:r>
          </w:p>
        </w:tc>
        <w:tc>
          <w:tcPr>
            <w:tcW w:w="6590" w:type="dxa"/>
            <w:tcBorders>
              <w:top w:val="nil"/>
              <w:left w:val="nil"/>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食品分类、分架存放，标识明显，距离墙壁、地面均在20cm以上。</w:t>
            </w:r>
          </w:p>
        </w:tc>
      </w:tr>
      <w:tr>
        <w:tblPrEx>
          <w:tblLayout w:type="fixed"/>
          <w:tblCellMar>
            <w:top w:w="0" w:type="dxa"/>
            <w:left w:w="108" w:type="dxa"/>
            <w:bottom w:w="0" w:type="dxa"/>
            <w:right w:w="108" w:type="dxa"/>
          </w:tblCellMar>
        </w:tblPrEx>
        <w:trPr>
          <w:trHeight w:val="655" w:hRule="exact"/>
        </w:trPr>
        <w:tc>
          <w:tcPr>
            <w:tcW w:w="1074"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rPr>
            </w:pPr>
          </w:p>
        </w:tc>
        <w:tc>
          <w:tcPr>
            <w:tcW w:w="6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28</w:t>
            </w:r>
          </w:p>
        </w:tc>
        <w:tc>
          <w:tcPr>
            <w:tcW w:w="6590" w:type="dxa"/>
            <w:tcBorders>
              <w:top w:val="nil"/>
              <w:left w:val="nil"/>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杂粮、干货、香料及分装食品存放在整理箱，标识齐全，整齐上架，标识牌应注明采购时间、保质期限。</w:t>
            </w:r>
          </w:p>
        </w:tc>
      </w:tr>
      <w:tr>
        <w:tblPrEx>
          <w:tblLayout w:type="fixed"/>
          <w:tblCellMar>
            <w:top w:w="0" w:type="dxa"/>
            <w:left w:w="108" w:type="dxa"/>
            <w:bottom w:w="0" w:type="dxa"/>
            <w:right w:w="108" w:type="dxa"/>
          </w:tblCellMar>
        </w:tblPrEx>
        <w:trPr>
          <w:trHeight w:val="523" w:hRule="exact"/>
        </w:trPr>
        <w:tc>
          <w:tcPr>
            <w:tcW w:w="1074"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rPr>
            </w:pPr>
          </w:p>
        </w:tc>
        <w:tc>
          <w:tcPr>
            <w:tcW w:w="6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29</w:t>
            </w:r>
          </w:p>
        </w:tc>
        <w:tc>
          <w:tcPr>
            <w:tcW w:w="6590" w:type="dxa"/>
            <w:tcBorders>
              <w:top w:val="nil"/>
              <w:left w:val="nil"/>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仓库卫生每天保持整洁，定时通风。</w:t>
            </w:r>
          </w:p>
        </w:tc>
      </w:tr>
      <w:tr>
        <w:tblPrEx>
          <w:tblLayout w:type="fixed"/>
          <w:tblCellMar>
            <w:top w:w="0" w:type="dxa"/>
            <w:left w:w="108" w:type="dxa"/>
            <w:bottom w:w="0" w:type="dxa"/>
            <w:right w:w="108" w:type="dxa"/>
          </w:tblCellMar>
        </w:tblPrEx>
        <w:trPr>
          <w:trHeight w:val="655" w:hRule="exact"/>
        </w:trPr>
        <w:tc>
          <w:tcPr>
            <w:tcW w:w="1074"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cs="宋体"/>
                <w:kern w:val="0"/>
              </w:rPr>
            </w:pPr>
          </w:p>
        </w:tc>
        <w:tc>
          <w:tcPr>
            <w:tcW w:w="6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30</w:t>
            </w:r>
          </w:p>
        </w:tc>
        <w:tc>
          <w:tcPr>
            <w:tcW w:w="6590" w:type="dxa"/>
            <w:tcBorders>
              <w:top w:val="nil"/>
              <w:left w:val="nil"/>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月底彻底盘存库房，重点清查过期和变质食品。</w:t>
            </w:r>
          </w:p>
        </w:tc>
      </w:tr>
      <w:tr>
        <w:tblPrEx>
          <w:tblLayout w:type="fixed"/>
          <w:tblCellMar>
            <w:top w:w="0" w:type="dxa"/>
            <w:left w:w="108" w:type="dxa"/>
            <w:bottom w:w="0" w:type="dxa"/>
            <w:right w:w="108" w:type="dxa"/>
          </w:tblCellMar>
        </w:tblPrEx>
        <w:trPr>
          <w:trHeight w:val="882" w:hRule="exact"/>
        </w:trPr>
        <w:tc>
          <w:tcPr>
            <w:tcW w:w="1074" w:type="dxa"/>
            <w:vMerge w:val="restart"/>
            <w:tcBorders>
              <w:top w:val="single" w:color="auto" w:sz="4" w:space="0"/>
              <w:left w:val="single" w:color="auto" w:sz="4" w:space="0"/>
              <w:right w:val="single" w:color="auto" w:sz="4" w:space="0"/>
            </w:tcBorders>
            <w:vAlign w:val="center"/>
          </w:tcPr>
          <w:p>
            <w:pPr>
              <w:jc w:val="center"/>
              <w:rPr>
                <w:rFonts w:ascii="宋体" w:hAnsi="宋体" w:cs="宋体"/>
                <w:kern w:val="0"/>
              </w:rPr>
            </w:pPr>
            <w:r>
              <w:rPr>
                <w:rFonts w:hint="eastAsia" w:ascii="宋体" w:hAnsi="宋体" w:cs="宋体"/>
                <w:kern w:val="0"/>
              </w:rPr>
              <w:t>仓库</w:t>
            </w:r>
            <w:r>
              <w:rPr>
                <w:rFonts w:hint="eastAsia" w:ascii="宋体" w:hAnsi="宋体" w:cs="宋体"/>
                <w:kern w:val="0"/>
              </w:rPr>
              <w:br w:type="textWrapping"/>
            </w:r>
            <w:r>
              <w:rPr>
                <w:rFonts w:hint="eastAsia" w:ascii="宋体" w:hAnsi="宋体" w:cs="宋体"/>
                <w:kern w:val="0"/>
              </w:rPr>
              <w:t>及原</w:t>
            </w:r>
            <w:r>
              <w:rPr>
                <w:rFonts w:hint="eastAsia" w:ascii="宋体" w:hAnsi="宋体" w:cs="宋体"/>
                <w:kern w:val="0"/>
              </w:rPr>
              <w:br w:type="textWrapping"/>
            </w:r>
            <w:r>
              <w:rPr>
                <w:rFonts w:hint="eastAsia" w:ascii="宋体" w:hAnsi="宋体" w:cs="宋体"/>
                <w:kern w:val="0"/>
              </w:rPr>
              <w:t>材料</w:t>
            </w:r>
          </w:p>
          <w:p>
            <w:pPr>
              <w:jc w:val="center"/>
              <w:rPr>
                <w:rFonts w:ascii="宋体" w:hAnsi="宋体" w:cs="宋体"/>
                <w:kern w:val="0"/>
              </w:rPr>
            </w:pPr>
            <w:r>
              <w:rPr>
                <w:rFonts w:hint="eastAsia" w:ascii="宋体" w:hAnsi="宋体" w:cs="宋体"/>
                <w:kern w:val="0"/>
              </w:rPr>
              <w:t>管理</w:t>
            </w:r>
          </w:p>
        </w:tc>
        <w:tc>
          <w:tcPr>
            <w:tcW w:w="69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31</w:t>
            </w:r>
          </w:p>
        </w:tc>
        <w:tc>
          <w:tcPr>
            <w:tcW w:w="6590"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宋体" w:hAnsi="宋体" w:cs="宋体"/>
                <w:kern w:val="0"/>
              </w:rPr>
            </w:pPr>
            <w:r>
              <w:rPr>
                <w:rFonts w:hint="eastAsia" w:ascii="宋体" w:hAnsi="宋体" w:cs="宋体"/>
                <w:kern w:val="0"/>
              </w:rPr>
              <w:t>严禁使用违规食品添加剂。使用的食品添加剂按“五专”管理，责任人及时在《食品添加剂使用记录簿》中如实记载。</w:t>
            </w:r>
          </w:p>
        </w:tc>
      </w:tr>
      <w:tr>
        <w:tblPrEx>
          <w:tblLayout w:type="fixed"/>
          <w:tblCellMar>
            <w:top w:w="0" w:type="dxa"/>
            <w:left w:w="108" w:type="dxa"/>
            <w:bottom w:w="0" w:type="dxa"/>
            <w:right w:w="108" w:type="dxa"/>
          </w:tblCellMar>
        </w:tblPrEx>
        <w:trPr>
          <w:trHeight w:val="513" w:hRule="exact"/>
        </w:trPr>
        <w:tc>
          <w:tcPr>
            <w:tcW w:w="1074" w:type="dxa"/>
            <w:vMerge w:val="continue"/>
            <w:tcBorders>
              <w:left w:val="single" w:color="auto" w:sz="4" w:space="0"/>
              <w:right w:val="single" w:color="auto" w:sz="4" w:space="0"/>
            </w:tcBorders>
            <w:vAlign w:val="center"/>
          </w:tcPr>
          <w:p>
            <w:pPr>
              <w:jc w:val="center"/>
              <w:rPr>
                <w:rFonts w:ascii="宋体" w:hAnsi="宋体" w:cs="宋体"/>
                <w:kern w:val="0"/>
              </w:rPr>
            </w:pPr>
          </w:p>
        </w:tc>
        <w:tc>
          <w:tcPr>
            <w:tcW w:w="6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32</w:t>
            </w:r>
          </w:p>
        </w:tc>
        <w:tc>
          <w:tcPr>
            <w:tcW w:w="6590" w:type="dxa"/>
            <w:tcBorders>
              <w:top w:val="nil"/>
              <w:left w:val="nil"/>
              <w:bottom w:val="single" w:color="auto" w:sz="4"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严格预包装食品质量验收，认真填写索证索票记录。</w:t>
            </w:r>
          </w:p>
        </w:tc>
      </w:tr>
      <w:tr>
        <w:tblPrEx>
          <w:tblLayout w:type="fixed"/>
          <w:tblCellMar>
            <w:top w:w="0" w:type="dxa"/>
            <w:left w:w="108" w:type="dxa"/>
            <w:bottom w:w="0" w:type="dxa"/>
            <w:right w:w="108" w:type="dxa"/>
          </w:tblCellMar>
        </w:tblPrEx>
        <w:trPr>
          <w:trHeight w:val="549" w:hRule="exact"/>
        </w:trPr>
        <w:tc>
          <w:tcPr>
            <w:tcW w:w="1074" w:type="dxa"/>
            <w:vMerge w:val="continue"/>
            <w:tcBorders>
              <w:left w:val="single" w:color="auto" w:sz="4" w:space="0"/>
              <w:right w:val="single" w:color="auto" w:sz="4" w:space="0"/>
            </w:tcBorders>
            <w:vAlign w:val="center"/>
          </w:tcPr>
          <w:p>
            <w:pPr>
              <w:widowControl/>
              <w:jc w:val="center"/>
              <w:rPr>
                <w:rFonts w:ascii="宋体" w:hAnsi="宋体" w:cs="宋体"/>
                <w:kern w:val="0"/>
              </w:rPr>
            </w:pPr>
          </w:p>
        </w:tc>
        <w:tc>
          <w:tcPr>
            <w:tcW w:w="6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33</w:t>
            </w:r>
          </w:p>
        </w:tc>
        <w:tc>
          <w:tcPr>
            <w:tcW w:w="6590" w:type="dxa"/>
            <w:tcBorders>
              <w:top w:val="nil"/>
              <w:left w:val="nil"/>
              <w:bottom w:val="single" w:color="auto" w:sz="4"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各种食品原料不得落地存放。</w:t>
            </w:r>
          </w:p>
        </w:tc>
      </w:tr>
      <w:tr>
        <w:tblPrEx>
          <w:tblLayout w:type="fixed"/>
          <w:tblCellMar>
            <w:top w:w="0" w:type="dxa"/>
            <w:left w:w="108" w:type="dxa"/>
            <w:bottom w:w="0" w:type="dxa"/>
            <w:right w:w="108" w:type="dxa"/>
          </w:tblCellMar>
        </w:tblPrEx>
        <w:trPr>
          <w:trHeight w:val="726" w:hRule="atLeast"/>
        </w:trPr>
        <w:tc>
          <w:tcPr>
            <w:tcW w:w="1074" w:type="dxa"/>
            <w:vMerge w:val="continue"/>
            <w:tcBorders>
              <w:left w:val="single" w:color="auto" w:sz="4" w:space="0"/>
              <w:bottom w:val="single" w:color="000000" w:sz="8" w:space="0"/>
              <w:right w:val="single" w:color="auto" w:sz="4" w:space="0"/>
            </w:tcBorders>
            <w:vAlign w:val="center"/>
          </w:tcPr>
          <w:p>
            <w:pPr>
              <w:widowControl/>
              <w:jc w:val="left"/>
              <w:rPr>
                <w:rFonts w:ascii="宋体" w:hAnsi="宋体" w:cs="宋体"/>
                <w:kern w:val="0"/>
              </w:rPr>
            </w:pPr>
          </w:p>
        </w:tc>
        <w:tc>
          <w:tcPr>
            <w:tcW w:w="697" w:type="dxa"/>
            <w:tcBorders>
              <w:top w:val="nil"/>
              <w:left w:val="single" w:color="auto" w:sz="4" w:space="0"/>
              <w:bottom w:val="single" w:color="000000" w:sz="8"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34</w:t>
            </w:r>
          </w:p>
        </w:tc>
        <w:tc>
          <w:tcPr>
            <w:tcW w:w="6590" w:type="dxa"/>
            <w:tcBorders>
              <w:top w:val="nil"/>
              <w:left w:val="single" w:color="auto" w:sz="4" w:space="0"/>
              <w:bottom w:val="single" w:color="000000" w:sz="8"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清洗加工食品原料前须先检查质量、后加工。不得加工和使用有腐败变质迹象的原料。</w:t>
            </w:r>
          </w:p>
        </w:tc>
      </w:tr>
      <w:tr>
        <w:tblPrEx>
          <w:tblLayout w:type="fixed"/>
          <w:tblCellMar>
            <w:top w:w="0" w:type="dxa"/>
            <w:left w:w="108" w:type="dxa"/>
            <w:bottom w:w="0" w:type="dxa"/>
            <w:right w:w="108" w:type="dxa"/>
          </w:tblCellMar>
        </w:tblPrEx>
        <w:trPr>
          <w:trHeight w:val="599" w:hRule="exact"/>
        </w:trPr>
        <w:tc>
          <w:tcPr>
            <w:tcW w:w="107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rPr>
              <w:br w:type="page"/>
            </w:r>
            <w:r>
              <w:rPr>
                <w:rFonts w:hint="eastAsia" w:ascii="宋体" w:hAnsi="宋体"/>
              </w:rPr>
              <w:t>粗</w:t>
            </w:r>
            <w:r>
              <w:rPr>
                <w:rFonts w:hint="eastAsia" w:ascii="宋体" w:hAnsi="宋体" w:cs="宋体"/>
                <w:kern w:val="0"/>
              </w:rPr>
              <w:t>加工</w:t>
            </w:r>
            <w:r>
              <w:rPr>
                <w:rFonts w:hint="eastAsia" w:ascii="宋体" w:hAnsi="宋体" w:cs="宋体"/>
                <w:kern w:val="0"/>
              </w:rPr>
              <w:br w:type="textWrapping"/>
            </w:r>
            <w:r>
              <w:rPr>
                <w:rFonts w:hint="eastAsia" w:ascii="宋体" w:hAnsi="宋体" w:cs="宋体"/>
                <w:kern w:val="0"/>
              </w:rPr>
              <w:t>管理</w:t>
            </w:r>
          </w:p>
        </w:tc>
        <w:tc>
          <w:tcPr>
            <w:tcW w:w="69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35</w:t>
            </w:r>
          </w:p>
        </w:tc>
        <w:tc>
          <w:tcPr>
            <w:tcW w:w="6590"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叶类蔬菜粗加工按照拣、洗、浸泡、切的顺序操作。</w:t>
            </w:r>
          </w:p>
        </w:tc>
      </w:tr>
      <w:tr>
        <w:tblPrEx>
          <w:tblLayout w:type="fixed"/>
          <w:tblCellMar>
            <w:top w:w="0" w:type="dxa"/>
            <w:left w:w="108" w:type="dxa"/>
            <w:bottom w:w="0" w:type="dxa"/>
            <w:right w:w="108" w:type="dxa"/>
          </w:tblCellMar>
        </w:tblPrEx>
        <w:trPr>
          <w:trHeight w:val="426" w:hRule="exact"/>
        </w:trPr>
        <w:tc>
          <w:tcPr>
            <w:tcW w:w="107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rPr>
            </w:pPr>
          </w:p>
        </w:tc>
        <w:tc>
          <w:tcPr>
            <w:tcW w:w="6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36</w:t>
            </w:r>
          </w:p>
        </w:tc>
        <w:tc>
          <w:tcPr>
            <w:tcW w:w="6590" w:type="dxa"/>
            <w:tcBorders>
              <w:top w:val="nil"/>
              <w:left w:val="nil"/>
              <w:bottom w:val="single" w:color="auto" w:sz="4"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禁止使用发芽土豆、慎用四季豆、鲜黄花菜等原料。</w:t>
            </w:r>
          </w:p>
        </w:tc>
      </w:tr>
      <w:tr>
        <w:tblPrEx>
          <w:tblLayout w:type="fixed"/>
          <w:tblCellMar>
            <w:top w:w="0" w:type="dxa"/>
            <w:left w:w="108" w:type="dxa"/>
            <w:bottom w:w="0" w:type="dxa"/>
            <w:right w:w="108" w:type="dxa"/>
          </w:tblCellMar>
        </w:tblPrEx>
        <w:trPr>
          <w:trHeight w:val="580" w:hRule="exact"/>
        </w:trPr>
        <w:tc>
          <w:tcPr>
            <w:tcW w:w="107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rPr>
            </w:pPr>
          </w:p>
        </w:tc>
        <w:tc>
          <w:tcPr>
            <w:tcW w:w="6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37</w:t>
            </w:r>
          </w:p>
        </w:tc>
        <w:tc>
          <w:tcPr>
            <w:tcW w:w="6590" w:type="dxa"/>
            <w:tcBorders>
              <w:top w:val="nil"/>
              <w:left w:val="nil"/>
              <w:bottom w:val="single" w:color="auto" w:sz="4"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各类水池应有明显标识，标明水池用途。</w:t>
            </w:r>
          </w:p>
        </w:tc>
      </w:tr>
      <w:tr>
        <w:tblPrEx>
          <w:tblLayout w:type="fixed"/>
          <w:tblCellMar>
            <w:top w:w="0" w:type="dxa"/>
            <w:left w:w="108" w:type="dxa"/>
            <w:bottom w:w="0" w:type="dxa"/>
            <w:right w:w="108" w:type="dxa"/>
          </w:tblCellMar>
        </w:tblPrEx>
        <w:trPr>
          <w:trHeight w:val="755" w:hRule="exact"/>
        </w:trPr>
        <w:tc>
          <w:tcPr>
            <w:tcW w:w="107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rPr>
            </w:pPr>
          </w:p>
        </w:tc>
        <w:tc>
          <w:tcPr>
            <w:tcW w:w="6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38</w:t>
            </w:r>
          </w:p>
        </w:tc>
        <w:tc>
          <w:tcPr>
            <w:tcW w:w="6590" w:type="dxa"/>
            <w:tcBorders>
              <w:top w:val="nil"/>
              <w:left w:val="nil"/>
              <w:bottom w:val="single" w:color="auto" w:sz="4"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加工结束后及时清洗地面、水池、操作台、工用具、容器等，并定位分类存放，责任到人。</w:t>
            </w:r>
          </w:p>
        </w:tc>
      </w:tr>
      <w:tr>
        <w:tblPrEx>
          <w:tblLayout w:type="fixed"/>
          <w:tblCellMar>
            <w:top w:w="0" w:type="dxa"/>
            <w:left w:w="108" w:type="dxa"/>
            <w:bottom w:w="0" w:type="dxa"/>
            <w:right w:w="108" w:type="dxa"/>
          </w:tblCellMar>
        </w:tblPrEx>
        <w:trPr>
          <w:trHeight w:val="586" w:hRule="exact"/>
        </w:trPr>
        <w:tc>
          <w:tcPr>
            <w:tcW w:w="107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rPr>
            </w:pPr>
          </w:p>
        </w:tc>
        <w:tc>
          <w:tcPr>
            <w:tcW w:w="6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39</w:t>
            </w:r>
          </w:p>
        </w:tc>
        <w:tc>
          <w:tcPr>
            <w:tcW w:w="6590" w:type="dxa"/>
            <w:tcBorders>
              <w:top w:val="nil"/>
              <w:left w:val="nil"/>
              <w:bottom w:val="single" w:color="auto" w:sz="4"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严禁在加工、清洗食品原料的水池内清洗拖把、抹布。</w:t>
            </w:r>
          </w:p>
        </w:tc>
      </w:tr>
      <w:tr>
        <w:tblPrEx>
          <w:tblLayout w:type="fixed"/>
          <w:tblCellMar>
            <w:top w:w="0" w:type="dxa"/>
            <w:left w:w="108" w:type="dxa"/>
            <w:bottom w:w="0" w:type="dxa"/>
            <w:right w:w="108" w:type="dxa"/>
          </w:tblCellMar>
        </w:tblPrEx>
        <w:trPr>
          <w:trHeight w:val="1036" w:hRule="exact"/>
        </w:trPr>
        <w:tc>
          <w:tcPr>
            <w:tcW w:w="107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rPr>
            </w:pPr>
          </w:p>
        </w:tc>
        <w:tc>
          <w:tcPr>
            <w:tcW w:w="6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40</w:t>
            </w:r>
          </w:p>
        </w:tc>
        <w:tc>
          <w:tcPr>
            <w:tcW w:w="6590" w:type="dxa"/>
            <w:tcBorders>
              <w:top w:val="nil"/>
              <w:left w:val="nil"/>
              <w:bottom w:val="single" w:color="auto" w:sz="4"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加工后的植物类原料，做到无泥沙、无杂草杂物、无烂叶，动物类原料做到无血、无毛、无污物，水产类原料做到无血、无鳞、无鳃、无内脏。</w:t>
            </w:r>
          </w:p>
        </w:tc>
      </w:tr>
      <w:tr>
        <w:tblPrEx>
          <w:tblLayout w:type="fixed"/>
          <w:tblCellMar>
            <w:top w:w="0" w:type="dxa"/>
            <w:left w:w="108" w:type="dxa"/>
            <w:bottom w:w="0" w:type="dxa"/>
            <w:right w:w="108" w:type="dxa"/>
          </w:tblCellMar>
        </w:tblPrEx>
        <w:trPr>
          <w:trHeight w:val="755" w:hRule="exact"/>
        </w:trPr>
        <w:tc>
          <w:tcPr>
            <w:tcW w:w="107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rPr>
            </w:pPr>
          </w:p>
        </w:tc>
        <w:tc>
          <w:tcPr>
            <w:tcW w:w="6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41</w:t>
            </w:r>
          </w:p>
        </w:tc>
        <w:tc>
          <w:tcPr>
            <w:tcW w:w="6590" w:type="dxa"/>
            <w:tcBorders>
              <w:top w:val="nil"/>
              <w:left w:val="nil"/>
              <w:bottom w:val="single" w:color="auto" w:sz="4"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加工好的蔬菜分别用毛菜筐和净菜筐存放，禁止叠放。严禁用净菜盘盛放半成品。　</w:t>
            </w:r>
          </w:p>
        </w:tc>
      </w:tr>
      <w:tr>
        <w:tblPrEx>
          <w:tblLayout w:type="fixed"/>
          <w:tblCellMar>
            <w:top w:w="0" w:type="dxa"/>
            <w:left w:w="108" w:type="dxa"/>
            <w:bottom w:w="0" w:type="dxa"/>
            <w:right w:w="108" w:type="dxa"/>
          </w:tblCellMar>
        </w:tblPrEx>
        <w:trPr>
          <w:trHeight w:val="755" w:hRule="exact"/>
        </w:trPr>
        <w:tc>
          <w:tcPr>
            <w:tcW w:w="107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烹饪</w:t>
            </w:r>
            <w:r>
              <w:rPr>
                <w:rFonts w:hint="eastAsia" w:ascii="宋体" w:hAnsi="宋体" w:cs="宋体"/>
                <w:kern w:val="0"/>
              </w:rPr>
              <w:br w:type="textWrapping"/>
            </w:r>
            <w:r>
              <w:rPr>
                <w:rFonts w:hint="eastAsia" w:ascii="宋体" w:hAnsi="宋体" w:cs="宋体"/>
                <w:kern w:val="0"/>
              </w:rPr>
              <w:t>加工</w:t>
            </w:r>
          </w:p>
          <w:p>
            <w:pPr>
              <w:widowControl/>
              <w:jc w:val="center"/>
              <w:rPr>
                <w:rFonts w:ascii="宋体" w:hAnsi="宋体" w:cs="宋体"/>
                <w:kern w:val="0"/>
              </w:rPr>
            </w:pPr>
            <w:r>
              <w:rPr>
                <w:rFonts w:hint="eastAsia" w:ascii="宋体" w:hAnsi="宋体" w:cs="宋体"/>
                <w:kern w:val="0"/>
              </w:rPr>
              <w:t>管理</w:t>
            </w:r>
          </w:p>
        </w:tc>
        <w:tc>
          <w:tcPr>
            <w:tcW w:w="6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42</w:t>
            </w:r>
          </w:p>
        </w:tc>
        <w:tc>
          <w:tcPr>
            <w:tcW w:w="6590" w:type="dxa"/>
            <w:tcBorders>
              <w:top w:val="nil"/>
              <w:left w:val="nil"/>
              <w:bottom w:val="single" w:color="auto" w:sz="4"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操作结束后及时清扫灶面及灶台墙壁，做到无油污、无积灰、无食物残渣。</w:t>
            </w:r>
          </w:p>
        </w:tc>
      </w:tr>
      <w:tr>
        <w:tblPrEx>
          <w:tblLayout w:type="fixed"/>
          <w:tblCellMar>
            <w:top w:w="0" w:type="dxa"/>
            <w:left w:w="108" w:type="dxa"/>
            <w:bottom w:w="0" w:type="dxa"/>
            <w:right w:w="108" w:type="dxa"/>
          </w:tblCellMar>
        </w:tblPrEx>
        <w:trPr>
          <w:trHeight w:val="755" w:hRule="exact"/>
        </w:trPr>
        <w:tc>
          <w:tcPr>
            <w:tcW w:w="107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rPr>
            </w:pPr>
          </w:p>
        </w:tc>
        <w:tc>
          <w:tcPr>
            <w:tcW w:w="6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43</w:t>
            </w:r>
          </w:p>
        </w:tc>
        <w:tc>
          <w:tcPr>
            <w:tcW w:w="6590" w:type="dxa"/>
            <w:tcBorders>
              <w:top w:val="nil"/>
              <w:left w:val="nil"/>
              <w:bottom w:val="single" w:color="auto" w:sz="4"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锅、勺、铲、碗、盆等用具，容器及各类设备和口罩、清洁抹布、水杯定位存放，保持清洁，定期消毒。</w:t>
            </w:r>
          </w:p>
        </w:tc>
      </w:tr>
      <w:tr>
        <w:tblPrEx>
          <w:tblLayout w:type="fixed"/>
          <w:tblCellMar>
            <w:top w:w="0" w:type="dxa"/>
            <w:left w:w="108" w:type="dxa"/>
            <w:bottom w:w="0" w:type="dxa"/>
            <w:right w:w="108" w:type="dxa"/>
          </w:tblCellMar>
        </w:tblPrEx>
        <w:trPr>
          <w:trHeight w:val="607" w:hRule="atLeast"/>
        </w:trPr>
        <w:tc>
          <w:tcPr>
            <w:tcW w:w="107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rPr>
            </w:pPr>
          </w:p>
        </w:tc>
        <w:tc>
          <w:tcPr>
            <w:tcW w:w="6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44</w:t>
            </w:r>
          </w:p>
        </w:tc>
        <w:tc>
          <w:tcPr>
            <w:tcW w:w="6590" w:type="dxa"/>
            <w:tcBorders>
              <w:top w:val="nil"/>
              <w:left w:val="nil"/>
              <w:bottom w:val="single" w:color="auto" w:sz="4"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开油锅操作期间，必须切断火源后方可离开灶台。</w:t>
            </w:r>
          </w:p>
        </w:tc>
      </w:tr>
      <w:tr>
        <w:tblPrEx>
          <w:tblLayout w:type="fixed"/>
          <w:tblCellMar>
            <w:top w:w="0" w:type="dxa"/>
            <w:left w:w="108" w:type="dxa"/>
            <w:bottom w:w="0" w:type="dxa"/>
            <w:right w:w="108" w:type="dxa"/>
          </w:tblCellMar>
        </w:tblPrEx>
        <w:trPr>
          <w:trHeight w:val="755" w:hRule="exact"/>
        </w:trPr>
        <w:tc>
          <w:tcPr>
            <w:tcW w:w="107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rPr>
            </w:pPr>
          </w:p>
        </w:tc>
        <w:tc>
          <w:tcPr>
            <w:tcW w:w="6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45</w:t>
            </w:r>
          </w:p>
        </w:tc>
        <w:tc>
          <w:tcPr>
            <w:tcW w:w="6590" w:type="dxa"/>
            <w:tcBorders>
              <w:top w:val="nil"/>
              <w:left w:val="nil"/>
              <w:bottom w:val="single" w:color="auto" w:sz="4"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灶台抹布要随时清洗，保持清洁，不用抹布擦干净碗盘，滴在盘边的汤汁用消毒的布擦掉。</w:t>
            </w:r>
          </w:p>
        </w:tc>
      </w:tr>
      <w:tr>
        <w:tblPrEx>
          <w:tblLayout w:type="fixed"/>
          <w:tblCellMar>
            <w:top w:w="0" w:type="dxa"/>
            <w:left w:w="108" w:type="dxa"/>
            <w:bottom w:w="0" w:type="dxa"/>
            <w:right w:w="108" w:type="dxa"/>
          </w:tblCellMar>
        </w:tblPrEx>
        <w:trPr>
          <w:trHeight w:val="541" w:hRule="atLeast"/>
        </w:trPr>
        <w:tc>
          <w:tcPr>
            <w:tcW w:w="107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rPr>
            </w:pPr>
          </w:p>
        </w:tc>
        <w:tc>
          <w:tcPr>
            <w:tcW w:w="6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46</w:t>
            </w:r>
          </w:p>
        </w:tc>
        <w:tc>
          <w:tcPr>
            <w:tcW w:w="6590" w:type="dxa"/>
            <w:tcBorders>
              <w:top w:val="nil"/>
              <w:left w:val="nil"/>
              <w:bottom w:val="single" w:color="auto" w:sz="4"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排烟罩、挡火板保持干净，责任到人。</w:t>
            </w:r>
          </w:p>
        </w:tc>
      </w:tr>
      <w:tr>
        <w:tblPrEx>
          <w:tblLayout w:type="fixed"/>
          <w:tblCellMar>
            <w:top w:w="0" w:type="dxa"/>
            <w:left w:w="108" w:type="dxa"/>
            <w:bottom w:w="0" w:type="dxa"/>
            <w:right w:w="108" w:type="dxa"/>
          </w:tblCellMar>
        </w:tblPrEx>
        <w:trPr>
          <w:trHeight w:val="755" w:hRule="exact"/>
        </w:trPr>
        <w:tc>
          <w:tcPr>
            <w:tcW w:w="107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rPr>
            </w:pPr>
          </w:p>
        </w:tc>
        <w:tc>
          <w:tcPr>
            <w:tcW w:w="6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47</w:t>
            </w:r>
          </w:p>
        </w:tc>
        <w:tc>
          <w:tcPr>
            <w:tcW w:w="6590" w:type="dxa"/>
            <w:tcBorders>
              <w:top w:val="nil"/>
              <w:left w:val="nil"/>
              <w:bottom w:val="single" w:color="auto" w:sz="4"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每餐操作结束后调料盒清理加盖。加工后的成品与半成品分开存放，禁止叠放。</w:t>
            </w:r>
          </w:p>
        </w:tc>
      </w:tr>
      <w:tr>
        <w:tblPrEx>
          <w:tblLayout w:type="fixed"/>
          <w:tblCellMar>
            <w:top w:w="0" w:type="dxa"/>
            <w:left w:w="108" w:type="dxa"/>
            <w:bottom w:w="0" w:type="dxa"/>
            <w:right w:w="108" w:type="dxa"/>
          </w:tblCellMar>
        </w:tblPrEx>
        <w:trPr>
          <w:trHeight w:val="949" w:hRule="exact"/>
        </w:trPr>
        <w:tc>
          <w:tcPr>
            <w:tcW w:w="107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rPr>
              <w:br w:type="page"/>
            </w:r>
            <w:r>
              <w:rPr>
                <w:rFonts w:hint="eastAsia" w:ascii="宋体" w:hAnsi="宋体" w:cs="宋体"/>
                <w:kern w:val="0"/>
              </w:rPr>
              <w:t>面点</w:t>
            </w:r>
            <w:r>
              <w:rPr>
                <w:rFonts w:hint="eastAsia" w:ascii="宋体" w:hAnsi="宋体" w:cs="宋体"/>
                <w:kern w:val="0"/>
              </w:rPr>
              <w:br w:type="textWrapping"/>
            </w:r>
            <w:r>
              <w:rPr>
                <w:rFonts w:hint="eastAsia" w:ascii="宋体" w:hAnsi="宋体" w:cs="宋体"/>
                <w:kern w:val="0"/>
              </w:rPr>
              <w:t>加工</w:t>
            </w:r>
          </w:p>
          <w:p>
            <w:pPr>
              <w:widowControl/>
              <w:jc w:val="center"/>
              <w:rPr>
                <w:rFonts w:ascii="宋体" w:hAnsi="宋体" w:cs="宋体"/>
                <w:kern w:val="0"/>
              </w:rPr>
            </w:pPr>
            <w:r>
              <w:rPr>
                <w:rFonts w:hint="eastAsia" w:ascii="宋体" w:hAnsi="宋体" w:cs="宋体"/>
                <w:kern w:val="0"/>
              </w:rPr>
              <w:t>要求</w:t>
            </w:r>
          </w:p>
        </w:tc>
        <w:tc>
          <w:tcPr>
            <w:tcW w:w="69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48</w:t>
            </w:r>
          </w:p>
        </w:tc>
        <w:tc>
          <w:tcPr>
            <w:tcW w:w="6590"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使用食品添加剂必须符合《食品添加剂使用安全标准》，禁止超范围、超剂量滥用食品添加剂，填写《食品添加剂使用记录》。</w:t>
            </w:r>
          </w:p>
        </w:tc>
      </w:tr>
      <w:tr>
        <w:tblPrEx>
          <w:tblLayout w:type="fixed"/>
          <w:tblCellMar>
            <w:top w:w="0" w:type="dxa"/>
            <w:left w:w="108" w:type="dxa"/>
            <w:bottom w:w="0" w:type="dxa"/>
            <w:right w:w="108" w:type="dxa"/>
          </w:tblCellMar>
        </w:tblPrEx>
        <w:trPr>
          <w:trHeight w:val="550" w:hRule="exact"/>
        </w:trPr>
        <w:tc>
          <w:tcPr>
            <w:tcW w:w="107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rPr>
            </w:pPr>
          </w:p>
        </w:tc>
        <w:tc>
          <w:tcPr>
            <w:tcW w:w="6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49</w:t>
            </w:r>
          </w:p>
        </w:tc>
        <w:tc>
          <w:tcPr>
            <w:tcW w:w="6590" w:type="dxa"/>
            <w:tcBorders>
              <w:top w:val="nil"/>
              <w:left w:val="nil"/>
              <w:bottom w:val="single" w:color="auto" w:sz="4"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所有食品原料不得落地存放。</w:t>
            </w:r>
          </w:p>
        </w:tc>
      </w:tr>
      <w:tr>
        <w:tblPrEx>
          <w:tblLayout w:type="fixed"/>
          <w:tblCellMar>
            <w:top w:w="0" w:type="dxa"/>
            <w:left w:w="108" w:type="dxa"/>
            <w:bottom w:w="0" w:type="dxa"/>
            <w:right w:w="108" w:type="dxa"/>
          </w:tblCellMar>
        </w:tblPrEx>
        <w:trPr>
          <w:trHeight w:val="755" w:hRule="exact"/>
        </w:trPr>
        <w:tc>
          <w:tcPr>
            <w:tcW w:w="107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rPr>
            </w:pPr>
          </w:p>
        </w:tc>
        <w:tc>
          <w:tcPr>
            <w:tcW w:w="6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50</w:t>
            </w:r>
          </w:p>
        </w:tc>
        <w:tc>
          <w:tcPr>
            <w:tcW w:w="6590" w:type="dxa"/>
            <w:tcBorders>
              <w:top w:val="nil"/>
              <w:left w:val="nil"/>
              <w:bottom w:val="single" w:color="auto" w:sz="4"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冷冻或冷藏未用完的点心馅料、半成品，冰盒上面有明显标识，标识注明品名、加工时间。</w:t>
            </w:r>
          </w:p>
        </w:tc>
      </w:tr>
      <w:tr>
        <w:tblPrEx>
          <w:tblLayout w:type="fixed"/>
          <w:tblCellMar>
            <w:top w:w="0" w:type="dxa"/>
            <w:left w:w="108" w:type="dxa"/>
            <w:bottom w:w="0" w:type="dxa"/>
            <w:right w:w="108" w:type="dxa"/>
          </w:tblCellMar>
        </w:tblPrEx>
        <w:trPr>
          <w:trHeight w:val="1037" w:hRule="exact"/>
        </w:trPr>
        <w:tc>
          <w:tcPr>
            <w:tcW w:w="107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rPr>
            </w:pPr>
          </w:p>
        </w:tc>
        <w:tc>
          <w:tcPr>
            <w:tcW w:w="6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51</w:t>
            </w:r>
          </w:p>
        </w:tc>
        <w:tc>
          <w:tcPr>
            <w:tcW w:w="6590" w:type="dxa"/>
            <w:tcBorders>
              <w:top w:val="nil"/>
              <w:left w:val="nil"/>
              <w:bottom w:val="single" w:color="auto" w:sz="4"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各种食品加工用具、设备（如面案板、容器、和面机、压面机等），用后及时清理，定期消毒；其他用品(如盖布、笼布等)要洗净，晒干备用。</w:t>
            </w:r>
          </w:p>
        </w:tc>
      </w:tr>
      <w:tr>
        <w:tblPrEx>
          <w:tblLayout w:type="fixed"/>
          <w:tblCellMar>
            <w:top w:w="0" w:type="dxa"/>
            <w:left w:w="108" w:type="dxa"/>
            <w:bottom w:w="0" w:type="dxa"/>
            <w:right w:w="108" w:type="dxa"/>
          </w:tblCellMar>
        </w:tblPrEx>
        <w:trPr>
          <w:trHeight w:val="520" w:hRule="exact"/>
        </w:trPr>
        <w:tc>
          <w:tcPr>
            <w:tcW w:w="107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食堂</w:t>
            </w:r>
          </w:p>
          <w:p>
            <w:pPr>
              <w:widowControl/>
              <w:jc w:val="center"/>
              <w:rPr>
                <w:rFonts w:ascii="宋体" w:hAnsi="宋体" w:cs="宋体"/>
                <w:kern w:val="0"/>
              </w:rPr>
            </w:pPr>
            <w:r>
              <w:rPr>
                <w:rFonts w:hint="eastAsia" w:ascii="宋体" w:hAnsi="宋体" w:cs="宋体"/>
                <w:kern w:val="0"/>
              </w:rPr>
              <w:t>经理</w:t>
            </w:r>
          </w:p>
          <w:p>
            <w:pPr>
              <w:widowControl/>
              <w:jc w:val="center"/>
              <w:rPr>
                <w:rFonts w:ascii="宋体" w:hAnsi="宋体" w:cs="宋体"/>
                <w:kern w:val="0"/>
              </w:rPr>
            </w:pPr>
            <w:r>
              <w:rPr>
                <w:rFonts w:hint="eastAsia" w:ascii="宋体" w:hAnsi="宋体" w:cs="宋体"/>
                <w:kern w:val="0"/>
              </w:rPr>
              <w:t>工作</w:t>
            </w:r>
          </w:p>
          <w:p>
            <w:pPr>
              <w:widowControl/>
              <w:jc w:val="center"/>
              <w:rPr>
                <w:rFonts w:ascii="宋体" w:hAnsi="宋体" w:cs="宋体"/>
                <w:kern w:val="0"/>
              </w:rPr>
            </w:pPr>
            <w:r>
              <w:rPr>
                <w:rFonts w:hint="eastAsia" w:ascii="宋体" w:hAnsi="宋体" w:cs="宋体"/>
                <w:kern w:val="0"/>
              </w:rPr>
              <w:t>要求</w:t>
            </w:r>
          </w:p>
        </w:tc>
        <w:tc>
          <w:tcPr>
            <w:tcW w:w="6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52</w:t>
            </w:r>
          </w:p>
        </w:tc>
        <w:tc>
          <w:tcPr>
            <w:tcW w:w="6590" w:type="dxa"/>
            <w:tcBorders>
              <w:top w:val="nil"/>
              <w:left w:val="nil"/>
              <w:bottom w:val="single" w:color="auto" w:sz="4"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服从管理，及时准确填写各类台账、表格。</w:t>
            </w:r>
          </w:p>
        </w:tc>
      </w:tr>
      <w:tr>
        <w:tblPrEx>
          <w:tblLayout w:type="fixed"/>
          <w:tblCellMar>
            <w:top w:w="0" w:type="dxa"/>
            <w:left w:w="108" w:type="dxa"/>
            <w:bottom w:w="0" w:type="dxa"/>
            <w:right w:w="108" w:type="dxa"/>
          </w:tblCellMar>
        </w:tblPrEx>
        <w:trPr>
          <w:trHeight w:val="550" w:hRule="exact"/>
        </w:trPr>
        <w:tc>
          <w:tcPr>
            <w:tcW w:w="107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rPr>
            </w:pPr>
          </w:p>
        </w:tc>
        <w:tc>
          <w:tcPr>
            <w:tcW w:w="6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53</w:t>
            </w:r>
          </w:p>
        </w:tc>
        <w:tc>
          <w:tcPr>
            <w:tcW w:w="6590" w:type="dxa"/>
            <w:tcBorders>
              <w:top w:val="nil"/>
              <w:left w:val="nil"/>
              <w:bottom w:val="single" w:color="auto" w:sz="4"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按时完成生活服务中心下达的各项任务。</w:t>
            </w:r>
          </w:p>
        </w:tc>
      </w:tr>
      <w:tr>
        <w:tblPrEx>
          <w:tblLayout w:type="fixed"/>
          <w:tblCellMar>
            <w:top w:w="0" w:type="dxa"/>
            <w:left w:w="108" w:type="dxa"/>
            <w:bottom w:w="0" w:type="dxa"/>
            <w:right w:w="108" w:type="dxa"/>
          </w:tblCellMar>
        </w:tblPrEx>
        <w:trPr>
          <w:trHeight w:val="550" w:hRule="exact"/>
        </w:trPr>
        <w:tc>
          <w:tcPr>
            <w:tcW w:w="107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rPr>
            </w:pPr>
          </w:p>
        </w:tc>
        <w:tc>
          <w:tcPr>
            <w:tcW w:w="6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54</w:t>
            </w:r>
          </w:p>
        </w:tc>
        <w:tc>
          <w:tcPr>
            <w:tcW w:w="6590" w:type="dxa"/>
            <w:tcBorders>
              <w:top w:val="nil"/>
              <w:left w:val="nil"/>
              <w:bottom w:val="single" w:color="auto" w:sz="4"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新添、更换经营项目，更改经营场所布局，必须经生活服务中心批准。</w:t>
            </w:r>
          </w:p>
        </w:tc>
      </w:tr>
      <w:tr>
        <w:tblPrEx>
          <w:tblLayout w:type="fixed"/>
          <w:tblCellMar>
            <w:top w:w="0" w:type="dxa"/>
            <w:left w:w="108" w:type="dxa"/>
            <w:bottom w:w="0" w:type="dxa"/>
            <w:right w:w="108" w:type="dxa"/>
          </w:tblCellMar>
        </w:tblPrEx>
        <w:trPr>
          <w:trHeight w:val="520" w:hRule="exact"/>
        </w:trPr>
        <w:tc>
          <w:tcPr>
            <w:tcW w:w="107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rPr>
            </w:pPr>
          </w:p>
        </w:tc>
        <w:tc>
          <w:tcPr>
            <w:tcW w:w="6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55</w:t>
            </w:r>
          </w:p>
        </w:tc>
        <w:tc>
          <w:tcPr>
            <w:tcW w:w="6590" w:type="dxa"/>
            <w:tcBorders>
              <w:top w:val="nil"/>
              <w:left w:val="nil"/>
              <w:bottom w:val="single" w:color="auto" w:sz="4"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认真参加中心组织的学习、培训、会议、活动等，未经批准不得缺席。</w:t>
            </w:r>
          </w:p>
        </w:tc>
      </w:tr>
      <w:tr>
        <w:tblPrEx>
          <w:tblLayout w:type="fixed"/>
          <w:tblCellMar>
            <w:top w:w="0" w:type="dxa"/>
            <w:left w:w="108" w:type="dxa"/>
            <w:bottom w:w="0" w:type="dxa"/>
            <w:right w:w="108" w:type="dxa"/>
          </w:tblCellMar>
        </w:tblPrEx>
        <w:trPr>
          <w:trHeight w:val="505" w:hRule="exact"/>
        </w:trPr>
        <w:tc>
          <w:tcPr>
            <w:tcW w:w="107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rPr>
            </w:pPr>
          </w:p>
        </w:tc>
        <w:tc>
          <w:tcPr>
            <w:tcW w:w="6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56</w:t>
            </w:r>
          </w:p>
        </w:tc>
        <w:tc>
          <w:tcPr>
            <w:tcW w:w="6590" w:type="dxa"/>
            <w:tcBorders>
              <w:top w:val="nil"/>
              <w:left w:val="nil"/>
              <w:bottom w:val="single" w:color="auto" w:sz="4"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严格遵守劳动纪律，不得迟到、早退。</w:t>
            </w:r>
          </w:p>
        </w:tc>
      </w:tr>
      <w:tr>
        <w:tblPrEx>
          <w:tblLayout w:type="fixed"/>
          <w:tblCellMar>
            <w:top w:w="0" w:type="dxa"/>
            <w:left w:w="108" w:type="dxa"/>
            <w:bottom w:w="0" w:type="dxa"/>
            <w:right w:w="108" w:type="dxa"/>
          </w:tblCellMar>
        </w:tblPrEx>
        <w:trPr>
          <w:trHeight w:val="550" w:hRule="exact"/>
        </w:trPr>
        <w:tc>
          <w:tcPr>
            <w:tcW w:w="107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rPr>
            </w:pPr>
          </w:p>
        </w:tc>
        <w:tc>
          <w:tcPr>
            <w:tcW w:w="6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57</w:t>
            </w:r>
          </w:p>
        </w:tc>
        <w:tc>
          <w:tcPr>
            <w:tcW w:w="6590" w:type="dxa"/>
            <w:tcBorders>
              <w:top w:val="nil"/>
              <w:left w:val="nil"/>
              <w:bottom w:val="single" w:color="auto" w:sz="4"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遵守生活服务中心餐厅开餐及休息时间安排。</w:t>
            </w:r>
          </w:p>
        </w:tc>
      </w:tr>
      <w:tr>
        <w:tblPrEx>
          <w:tblLayout w:type="fixed"/>
          <w:tblCellMar>
            <w:top w:w="0" w:type="dxa"/>
            <w:left w:w="108" w:type="dxa"/>
            <w:bottom w:w="0" w:type="dxa"/>
            <w:right w:w="108" w:type="dxa"/>
          </w:tblCellMar>
        </w:tblPrEx>
        <w:trPr>
          <w:trHeight w:val="445" w:hRule="exact"/>
        </w:trPr>
        <w:tc>
          <w:tcPr>
            <w:tcW w:w="107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rPr>
            </w:pPr>
          </w:p>
        </w:tc>
        <w:tc>
          <w:tcPr>
            <w:tcW w:w="6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58</w:t>
            </w:r>
          </w:p>
        </w:tc>
        <w:tc>
          <w:tcPr>
            <w:tcW w:w="6590" w:type="dxa"/>
            <w:tcBorders>
              <w:top w:val="nil"/>
              <w:left w:val="nil"/>
              <w:bottom w:val="single" w:color="auto" w:sz="4"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认真执行生活服务中心假期食堂值班制度。</w:t>
            </w:r>
          </w:p>
        </w:tc>
      </w:tr>
      <w:tr>
        <w:tblPrEx>
          <w:tblLayout w:type="fixed"/>
          <w:tblCellMar>
            <w:top w:w="0" w:type="dxa"/>
            <w:left w:w="108" w:type="dxa"/>
            <w:bottom w:w="0" w:type="dxa"/>
            <w:right w:w="108" w:type="dxa"/>
          </w:tblCellMar>
        </w:tblPrEx>
        <w:trPr>
          <w:trHeight w:val="565" w:hRule="exact"/>
        </w:trPr>
        <w:tc>
          <w:tcPr>
            <w:tcW w:w="107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rPr>
            </w:pPr>
          </w:p>
        </w:tc>
        <w:tc>
          <w:tcPr>
            <w:tcW w:w="6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59</w:t>
            </w:r>
          </w:p>
        </w:tc>
        <w:tc>
          <w:tcPr>
            <w:tcW w:w="6590" w:type="dxa"/>
            <w:tcBorders>
              <w:top w:val="nil"/>
              <w:left w:val="nil"/>
              <w:bottom w:val="single" w:color="auto" w:sz="4"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按时送交考勤表，及时上报工伤事故。</w:t>
            </w:r>
          </w:p>
        </w:tc>
      </w:tr>
      <w:tr>
        <w:tblPrEx>
          <w:tblLayout w:type="fixed"/>
          <w:tblCellMar>
            <w:top w:w="0" w:type="dxa"/>
            <w:left w:w="108" w:type="dxa"/>
            <w:bottom w:w="0" w:type="dxa"/>
            <w:right w:w="108" w:type="dxa"/>
          </w:tblCellMar>
        </w:tblPrEx>
        <w:trPr>
          <w:trHeight w:val="463" w:hRule="exact"/>
        </w:trPr>
        <w:tc>
          <w:tcPr>
            <w:tcW w:w="107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rPr>
            </w:pPr>
          </w:p>
        </w:tc>
        <w:tc>
          <w:tcPr>
            <w:tcW w:w="6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60</w:t>
            </w:r>
          </w:p>
        </w:tc>
        <w:tc>
          <w:tcPr>
            <w:tcW w:w="6590" w:type="dxa"/>
            <w:tcBorders>
              <w:top w:val="nil"/>
              <w:left w:val="nil"/>
              <w:bottom w:val="single" w:color="auto" w:sz="4"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食堂员工违反《员工住宿管理制度》规定。</w:t>
            </w:r>
          </w:p>
        </w:tc>
      </w:tr>
      <w:tr>
        <w:tblPrEx>
          <w:tblLayout w:type="fixed"/>
          <w:tblCellMar>
            <w:top w:w="0" w:type="dxa"/>
            <w:left w:w="108" w:type="dxa"/>
            <w:bottom w:w="0" w:type="dxa"/>
            <w:right w:w="108" w:type="dxa"/>
          </w:tblCellMar>
        </w:tblPrEx>
        <w:trPr>
          <w:trHeight w:val="527" w:hRule="exact"/>
        </w:trPr>
        <w:tc>
          <w:tcPr>
            <w:tcW w:w="107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rPr>
            </w:pPr>
          </w:p>
        </w:tc>
        <w:tc>
          <w:tcPr>
            <w:tcW w:w="6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61</w:t>
            </w:r>
          </w:p>
        </w:tc>
        <w:tc>
          <w:tcPr>
            <w:tcW w:w="6590" w:type="dxa"/>
            <w:tcBorders>
              <w:top w:val="nil"/>
              <w:left w:val="nil"/>
              <w:bottom w:val="single" w:color="auto" w:sz="4"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员工之间应和睦相处。员工发生矛盾和冲突，造成不良影响的。</w:t>
            </w:r>
          </w:p>
        </w:tc>
      </w:tr>
      <w:tr>
        <w:tblPrEx>
          <w:tblLayout w:type="fixed"/>
          <w:tblCellMar>
            <w:top w:w="0" w:type="dxa"/>
            <w:left w:w="108" w:type="dxa"/>
            <w:bottom w:w="0" w:type="dxa"/>
            <w:right w:w="108" w:type="dxa"/>
          </w:tblCellMar>
        </w:tblPrEx>
        <w:trPr>
          <w:trHeight w:val="755" w:hRule="exact"/>
        </w:trPr>
        <w:tc>
          <w:tcPr>
            <w:tcW w:w="107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备餐间</w:t>
            </w:r>
          </w:p>
          <w:p>
            <w:pPr>
              <w:widowControl/>
              <w:jc w:val="center"/>
              <w:rPr>
                <w:rFonts w:ascii="宋体" w:hAnsi="宋体" w:cs="宋体"/>
                <w:kern w:val="0"/>
              </w:rPr>
            </w:pPr>
            <w:r>
              <w:rPr>
                <w:rFonts w:hint="eastAsia" w:ascii="宋体" w:hAnsi="宋体" w:cs="宋体"/>
                <w:kern w:val="0"/>
              </w:rPr>
              <w:t>管理</w:t>
            </w:r>
          </w:p>
        </w:tc>
        <w:tc>
          <w:tcPr>
            <w:tcW w:w="6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62</w:t>
            </w:r>
          </w:p>
        </w:tc>
        <w:tc>
          <w:tcPr>
            <w:tcW w:w="6590" w:type="dxa"/>
            <w:tcBorders>
              <w:top w:val="nil"/>
              <w:left w:val="nil"/>
              <w:bottom w:val="single" w:color="auto" w:sz="4"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售饭人员出售食品时，一律使用工具，不得用手直接接触食品。销售菜肴时戴口罩、双手戴手套。</w:t>
            </w:r>
          </w:p>
        </w:tc>
      </w:tr>
      <w:tr>
        <w:tblPrEx>
          <w:tblLayout w:type="fixed"/>
          <w:tblCellMar>
            <w:top w:w="0" w:type="dxa"/>
            <w:left w:w="108" w:type="dxa"/>
            <w:bottom w:w="0" w:type="dxa"/>
            <w:right w:w="108" w:type="dxa"/>
          </w:tblCellMar>
        </w:tblPrEx>
        <w:trPr>
          <w:trHeight w:val="565" w:hRule="exact"/>
        </w:trPr>
        <w:tc>
          <w:tcPr>
            <w:tcW w:w="107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rPr>
            </w:pPr>
          </w:p>
        </w:tc>
        <w:tc>
          <w:tcPr>
            <w:tcW w:w="6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63</w:t>
            </w:r>
          </w:p>
        </w:tc>
        <w:tc>
          <w:tcPr>
            <w:tcW w:w="6590" w:type="dxa"/>
            <w:tcBorders>
              <w:top w:val="nil"/>
              <w:left w:val="nil"/>
              <w:bottom w:val="single" w:color="auto" w:sz="4"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售饭台摆放的食品不允许超出纱窗界限。</w:t>
            </w:r>
          </w:p>
        </w:tc>
      </w:tr>
      <w:tr>
        <w:tblPrEx>
          <w:tblLayout w:type="fixed"/>
          <w:tblCellMar>
            <w:top w:w="0" w:type="dxa"/>
            <w:left w:w="108" w:type="dxa"/>
            <w:bottom w:w="0" w:type="dxa"/>
            <w:right w:w="108" w:type="dxa"/>
          </w:tblCellMar>
        </w:tblPrEx>
        <w:trPr>
          <w:trHeight w:val="535" w:hRule="exact"/>
        </w:trPr>
        <w:tc>
          <w:tcPr>
            <w:tcW w:w="1074" w:type="dxa"/>
            <w:vMerge w:val="restart"/>
            <w:tcBorders>
              <w:top w:val="single" w:color="auto" w:sz="4" w:space="0"/>
              <w:left w:val="single" w:color="auto" w:sz="4" w:space="0"/>
              <w:right w:val="single" w:color="auto" w:sz="4" w:space="0"/>
            </w:tcBorders>
            <w:vAlign w:val="center"/>
          </w:tcPr>
          <w:p>
            <w:pPr>
              <w:jc w:val="center"/>
              <w:rPr>
                <w:rFonts w:ascii="宋体" w:hAnsi="宋体" w:cs="宋体"/>
                <w:kern w:val="0"/>
              </w:rPr>
            </w:pPr>
            <w:r>
              <w:rPr>
                <w:rFonts w:hint="eastAsia" w:ascii="宋体" w:hAnsi="宋体" w:cs="宋体"/>
                <w:kern w:val="0"/>
              </w:rPr>
              <w:t>备餐间</w:t>
            </w:r>
          </w:p>
          <w:p>
            <w:pPr>
              <w:jc w:val="center"/>
              <w:rPr>
                <w:rFonts w:ascii="宋体" w:hAnsi="宋体"/>
              </w:rPr>
            </w:pPr>
            <w:r>
              <w:rPr>
                <w:rFonts w:hint="eastAsia" w:ascii="宋体" w:hAnsi="宋体" w:cs="宋体"/>
                <w:kern w:val="0"/>
              </w:rPr>
              <w:t>管理</w:t>
            </w:r>
          </w:p>
        </w:tc>
        <w:tc>
          <w:tcPr>
            <w:tcW w:w="69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64</w:t>
            </w:r>
          </w:p>
        </w:tc>
        <w:tc>
          <w:tcPr>
            <w:tcW w:w="6590"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与备餐无关的物品不得放于备餐间内，无关人员不得在备餐间逗留。</w:t>
            </w:r>
          </w:p>
        </w:tc>
      </w:tr>
      <w:tr>
        <w:tblPrEx>
          <w:tblLayout w:type="fixed"/>
          <w:tblCellMar>
            <w:top w:w="0" w:type="dxa"/>
            <w:left w:w="108" w:type="dxa"/>
            <w:bottom w:w="0" w:type="dxa"/>
            <w:right w:w="108" w:type="dxa"/>
          </w:tblCellMar>
        </w:tblPrEx>
        <w:trPr>
          <w:trHeight w:val="500" w:hRule="exact"/>
        </w:trPr>
        <w:tc>
          <w:tcPr>
            <w:tcW w:w="1074" w:type="dxa"/>
            <w:vMerge w:val="continue"/>
            <w:tcBorders>
              <w:left w:val="single" w:color="auto" w:sz="4" w:space="0"/>
              <w:right w:val="single" w:color="auto" w:sz="4" w:space="0"/>
            </w:tcBorders>
            <w:vAlign w:val="center"/>
          </w:tcPr>
          <w:p>
            <w:pPr>
              <w:widowControl/>
              <w:jc w:val="left"/>
              <w:rPr>
                <w:rFonts w:ascii="宋体" w:hAnsi="宋体" w:cs="宋体"/>
                <w:kern w:val="0"/>
              </w:rPr>
            </w:pPr>
          </w:p>
        </w:tc>
        <w:tc>
          <w:tcPr>
            <w:tcW w:w="69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65</w:t>
            </w:r>
          </w:p>
        </w:tc>
        <w:tc>
          <w:tcPr>
            <w:tcW w:w="6590"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不允许私拉乱接电线，不允许在备餐间使用明火烹饪加工。</w:t>
            </w:r>
          </w:p>
        </w:tc>
      </w:tr>
      <w:tr>
        <w:tblPrEx>
          <w:tblLayout w:type="fixed"/>
          <w:tblCellMar>
            <w:top w:w="0" w:type="dxa"/>
            <w:left w:w="108" w:type="dxa"/>
            <w:bottom w:w="0" w:type="dxa"/>
            <w:right w:w="108" w:type="dxa"/>
          </w:tblCellMar>
        </w:tblPrEx>
        <w:trPr>
          <w:trHeight w:val="755" w:hRule="exact"/>
        </w:trPr>
        <w:tc>
          <w:tcPr>
            <w:tcW w:w="1074" w:type="dxa"/>
            <w:vMerge w:val="continue"/>
            <w:tcBorders>
              <w:left w:val="single" w:color="auto" w:sz="4" w:space="0"/>
              <w:right w:val="single" w:color="auto" w:sz="4" w:space="0"/>
            </w:tcBorders>
            <w:vAlign w:val="center"/>
          </w:tcPr>
          <w:p>
            <w:pPr>
              <w:widowControl/>
              <w:jc w:val="left"/>
              <w:rPr>
                <w:rFonts w:ascii="宋体" w:hAnsi="宋体" w:cs="宋体"/>
                <w:kern w:val="0"/>
              </w:rPr>
            </w:pPr>
          </w:p>
        </w:tc>
        <w:tc>
          <w:tcPr>
            <w:tcW w:w="69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66</w:t>
            </w:r>
          </w:p>
        </w:tc>
        <w:tc>
          <w:tcPr>
            <w:tcW w:w="6590"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员工进入备餐间按要求穿清洁的工作服、戴口罩、手套，手机集中存放管理。</w:t>
            </w:r>
          </w:p>
        </w:tc>
      </w:tr>
      <w:tr>
        <w:tblPrEx>
          <w:tblLayout w:type="fixed"/>
          <w:tblCellMar>
            <w:top w:w="0" w:type="dxa"/>
            <w:left w:w="108" w:type="dxa"/>
            <w:bottom w:w="0" w:type="dxa"/>
            <w:right w:w="108" w:type="dxa"/>
          </w:tblCellMar>
        </w:tblPrEx>
        <w:trPr>
          <w:trHeight w:val="575" w:hRule="exact"/>
        </w:trPr>
        <w:tc>
          <w:tcPr>
            <w:tcW w:w="1074" w:type="dxa"/>
            <w:vMerge w:val="continue"/>
            <w:tcBorders>
              <w:left w:val="single" w:color="auto" w:sz="4" w:space="0"/>
              <w:right w:val="single" w:color="auto" w:sz="4" w:space="0"/>
            </w:tcBorders>
            <w:vAlign w:val="center"/>
          </w:tcPr>
          <w:p>
            <w:pPr>
              <w:widowControl/>
              <w:jc w:val="left"/>
              <w:rPr>
                <w:rFonts w:ascii="宋体" w:hAnsi="宋体" w:cs="宋体"/>
                <w:kern w:val="0"/>
              </w:rPr>
            </w:pPr>
          </w:p>
        </w:tc>
        <w:tc>
          <w:tcPr>
            <w:tcW w:w="69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67</w:t>
            </w:r>
          </w:p>
        </w:tc>
        <w:tc>
          <w:tcPr>
            <w:tcW w:w="6590"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售饭台食品不允许叠位摆放。</w:t>
            </w:r>
          </w:p>
        </w:tc>
      </w:tr>
      <w:tr>
        <w:tblPrEx>
          <w:tblLayout w:type="fixed"/>
          <w:tblCellMar>
            <w:top w:w="0" w:type="dxa"/>
            <w:left w:w="108" w:type="dxa"/>
            <w:bottom w:w="0" w:type="dxa"/>
            <w:right w:w="108" w:type="dxa"/>
          </w:tblCellMar>
        </w:tblPrEx>
        <w:trPr>
          <w:trHeight w:val="755" w:hRule="exact"/>
        </w:trPr>
        <w:tc>
          <w:tcPr>
            <w:tcW w:w="107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rPr>
            </w:pPr>
          </w:p>
        </w:tc>
        <w:tc>
          <w:tcPr>
            <w:tcW w:w="69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68</w:t>
            </w:r>
          </w:p>
        </w:tc>
        <w:tc>
          <w:tcPr>
            <w:tcW w:w="6590" w:type="dxa"/>
            <w:tcBorders>
              <w:top w:val="single" w:color="auto" w:sz="4" w:space="0"/>
              <w:left w:val="nil"/>
              <w:bottom w:val="single" w:color="auto" w:sz="4"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每餐供应结束后及时对室内环境及设备进行清扫，关闭门窗，保持清洁。</w:t>
            </w:r>
          </w:p>
        </w:tc>
      </w:tr>
      <w:tr>
        <w:tblPrEx>
          <w:tblLayout w:type="fixed"/>
          <w:tblCellMar>
            <w:top w:w="0" w:type="dxa"/>
            <w:left w:w="108" w:type="dxa"/>
            <w:bottom w:w="0" w:type="dxa"/>
            <w:right w:w="108" w:type="dxa"/>
          </w:tblCellMar>
        </w:tblPrEx>
        <w:trPr>
          <w:trHeight w:val="515" w:hRule="exact"/>
        </w:trPr>
        <w:tc>
          <w:tcPr>
            <w:tcW w:w="1074" w:type="dxa"/>
            <w:vMerge w:val="restart"/>
            <w:tcBorders>
              <w:top w:val="nil"/>
              <w:left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冰箱</w:t>
            </w:r>
          </w:p>
          <w:p>
            <w:pPr>
              <w:widowControl/>
              <w:jc w:val="center"/>
              <w:rPr>
                <w:rFonts w:ascii="宋体" w:hAnsi="宋体" w:cs="宋体"/>
                <w:kern w:val="0"/>
              </w:rPr>
            </w:pPr>
            <w:r>
              <w:rPr>
                <w:rFonts w:hint="eastAsia" w:ascii="宋体" w:hAnsi="宋体" w:cs="宋体"/>
                <w:kern w:val="0"/>
              </w:rPr>
              <w:t>管理</w:t>
            </w:r>
          </w:p>
        </w:tc>
        <w:tc>
          <w:tcPr>
            <w:tcW w:w="697" w:type="dxa"/>
            <w:tcBorders>
              <w:top w:val="nil"/>
              <w:left w:val="nil"/>
              <w:bottom w:val="single" w:color="auto" w:sz="8"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69</w:t>
            </w:r>
          </w:p>
        </w:tc>
        <w:tc>
          <w:tcPr>
            <w:tcW w:w="6590" w:type="dxa"/>
            <w:tcBorders>
              <w:top w:val="nil"/>
              <w:left w:val="nil"/>
              <w:bottom w:val="single" w:color="auto" w:sz="8"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冰箱、冰柜等贴有标识和责任人，原料、半成品和成品分开存放。</w:t>
            </w:r>
          </w:p>
        </w:tc>
      </w:tr>
      <w:tr>
        <w:tblPrEx>
          <w:tblLayout w:type="fixed"/>
          <w:tblCellMar>
            <w:top w:w="0" w:type="dxa"/>
            <w:left w:w="108" w:type="dxa"/>
            <w:bottom w:w="0" w:type="dxa"/>
            <w:right w:w="108" w:type="dxa"/>
          </w:tblCellMar>
        </w:tblPrEx>
        <w:trPr>
          <w:trHeight w:val="575" w:hRule="exact"/>
        </w:trPr>
        <w:tc>
          <w:tcPr>
            <w:tcW w:w="1074" w:type="dxa"/>
            <w:vMerge w:val="continue"/>
            <w:tcBorders>
              <w:left w:val="single" w:color="auto" w:sz="4" w:space="0"/>
              <w:right w:val="single" w:color="auto" w:sz="4" w:space="0"/>
            </w:tcBorders>
            <w:vAlign w:val="center"/>
          </w:tcPr>
          <w:p>
            <w:pPr>
              <w:widowControl/>
              <w:jc w:val="left"/>
              <w:rPr>
                <w:rFonts w:ascii="宋体" w:hAnsi="宋体" w:cs="宋体"/>
                <w:kern w:val="0"/>
              </w:rPr>
            </w:pPr>
          </w:p>
        </w:tc>
        <w:tc>
          <w:tcPr>
            <w:tcW w:w="697" w:type="dxa"/>
            <w:tcBorders>
              <w:top w:val="nil"/>
              <w:left w:val="nil"/>
              <w:bottom w:val="single" w:color="auto" w:sz="8"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70</w:t>
            </w:r>
          </w:p>
        </w:tc>
        <w:tc>
          <w:tcPr>
            <w:tcW w:w="6590" w:type="dxa"/>
            <w:tcBorders>
              <w:top w:val="nil"/>
              <w:left w:val="nil"/>
              <w:bottom w:val="single" w:color="auto" w:sz="8"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冰箱每星期清理除霜一次，冰箱内外保持清洁。</w:t>
            </w:r>
          </w:p>
        </w:tc>
      </w:tr>
      <w:tr>
        <w:tblPrEx>
          <w:tblLayout w:type="fixed"/>
          <w:tblCellMar>
            <w:top w:w="0" w:type="dxa"/>
            <w:left w:w="108" w:type="dxa"/>
            <w:bottom w:w="0" w:type="dxa"/>
            <w:right w:w="108" w:type="dxa"/>
          </w:tblCellMar>
        </w:tblPrEx>
        <w:trPr>
          <w:trHeight w:val="755" w:hRule="exact"/>
        </w:trPr>
        <w:tc>
          <w:tcPr>
            <w:tcW w:w="1074" w:type="dxa"/>
            <w:vMerge w:val="continue"/>
            <w:tcBorders>
              <w:left w:val="single" w:color="auto" w:sz="4" w:space="0"/>
              <w:right w:val="single" w:color="auto" w:sz="4" w:space="0"/>
            </w:tcBorders>
            <w:vAlign w:val="center"/>
          </w:tcPr>
          <w:p>
            <w:pPr>
              <w:widowControl/>
              <w:jc w:val="left"/>
              <w:rPr>
                <w:rFonts w:ascii="宋体" w:hAnsi="宋体" w:cs="宋体"/>
                <w:kern w:val="0"/>
              </w:rPr>
            </w:pPr>
          </w:p>
        </w:tc>
        <w:tc>
          <w:tcPr>
            <w:tcW w:w="697" w:type="dxa"/>
            <w:tcBorders>
              <w:top w:val="nil"/>
              <w:left w:val="nil"/>
              <w:bottom w:val="single" w:color="auto" w:sz="8"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71</w:t>
            </w:r>
          </w:p>
        </w:tc>
        <w:tc>
          <w:tcPr>
            <w:tcW w:w="6590" w:type="dxa"/>
            <w:tcBorders>
              <w:top w:val="nil"/>
              <w:left w:val="nil"/>
              <w:bottom w:val="single" w:color="auto" w:sz="8"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冰箱内食品使用整理盒或不锈钢用具盛放，不得使用有色塑料袋、纸箱、泡沫箱盛放。</w:t>
            </w:r>
          </w:p>
        </w:tc>
      </w:tr>
      <w:tr>
        <w:tblPrEx>
          <w:tblLayout w:type="fixed"/>
          <w:tblCellMar>
            <w:top w:w="0" w:type="dxa"/>
            <w:left w:w="108" w:type="dxa"/>
            <w:bottom w:w="0" w:type="dxa"/>
            <w:right w:w="108" w:type="dxa"/>
          </w:tblCellMar>
        </w:tblPrEx>
        <w:trPr>
          <w:trHeight w:val="755" w:hRule="exact"/>
        </w:trPr>
        <w:tc>
          <w:tcPr>
            <w:tcW w:w="1074" w:type="dxa"/>
            <w:vMerge w:val="continue"/>
            <w:tcBorders>
              <w:left w:val="single" w:color="auto" w:sz="4" w:space="0"/>
              <w:bottom w:val="single" w:color="auto" w:sz="8" w:space="0"/>
              <w:right w:val="single" w:color="auto" w:sz="4" w:space="0"/>
            </w:tcBorders>
            <w:vAlign w:val="center"/>
          </w:tcPr>
          <w:p>
            <w:pPr>
              <w:widowControl/>
              <w:jc w:val="left"/>
              <w:rPr>
                <w:rFonts w:ascii="宋体" w:hAnsi="宋体" w:cs="宋体"/>
                <w:kern w:val="0"/>
              </w:rPr>
            </w:pPr>
          </w:p>
        </w:tc>
        <w:tc>
          <w:tcPr>
            <w:tcW w:w="697" w:type="dxa"/>
            <w:tcBorders>
              <w:top w:val="nil"/>
              <w:left w:val="nil"/>
              <w:bottom w:val="single" w:color="auto" w:sz="8"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72</w:t>
            </w:r>
          </w:p>
        </w:tc>
        <w:tc>
          <w:tcPr>
            <w:tcW w:w="6590" w:type="dxa"/>
            <w:tcBorders>
              <w:top w:val="nil"/>
              <w:left w:val="nil"/>
              <w:bottom w:val="single" w:color="auto" w:sz="8"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冰箱内的整理箱或保鲜盒有明显的标识，包括食品名称，入冰箱的日期、时间。</w:t>
            </w:r>
          </w:p>
        </w:tc>
      </w:tr>
      <w:tr>
        <w:tblPrEx>
          <w:tblLayout w:type="fixed"/>
          <w:tblCellMar>
            <w:top w:w="0" w:type="dxa"/>
            <w:left w:w="108" w:type="dxa"/>
            <w:bottom w:w="0" w:type="dxa"/>
            <w:right w:w="108" w:type="dxa"/>
          </w:tblCellMar>
        </w:tblPrEx>
        <w:trPr>
          <w:trHeight w:val="755" w:hRule="exact"/>
        </w:trPr>
        <w:tc>
          <w:tcPr>
            <w:tcW w:w="1074" w:type="dxa"/>
            <w:vMerge w:val="restart"/>
            <w:tcBorders>
              <w:top w:val="nil"/>
              <w:left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食品</w:t>
            </w:r>
          </w:p>
          <w:p>
            <w:pPr>
              <w:widowControl/>
              <w:jc w:val="center"/>
              <w:rPr>
                <w:rFonts w:ascii="宋体" w:hAnsi="宋体" w:cs="宋体"/>
                <w:kern w:val="0"/>
              </w:rPr>
            </w:pPr>
            <w:r>
              <w:rPr>
                <w:rFonts w:hint="eastAsia" w:ascii="宋体" w:hAnsi="宋体" w:cs="宋体"/>
                <w:kern w:val="0"/>
              </w:rPr>
              <w:t>留样</w:t>
            </w:r>
          </w:p>
          <w:p>
            <w:pPr>
              <w:widowControl/>
              <w:jc w:val="center"/>
              <w:rPr>
                <w:rFonts w:ascii="宋体" w:hAnsi="宋体" w:cs="宋体"/>
                <w:kern w:val="0"/>
              </w:rPr>
            </w:pPr>
            <w:r>
              <w:rPr>
                <w:rFonts w:hint="eastAsia" w:ascii="宋体" w:hAnsi="宋体" w:cs="宋体"/>
                <w:kern w:val="0"/>
              </w:rPr>
              <w:t>管理</w:t>
            </w:r>
          </w:p>
        </w:tc>
        <w:tc>
          <w:tcPr>
            <w:tcW w:w="697" w:type="dxa"/>
            <w:tcBorders>
              <w:top w:val="nil"/>
              <w:left w:val="nil"/>
              <w:bottom w:val="single" w:color="auto" w:sz="8"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73</w:t>
            </w:r>
          </w:p>
        </w:tc>
        <w:tc>
          <w:tcPr>
            <w:tcW w:w="6590" w:type="dxa"/>
            <w:tcBorders>
              <w:top w:val="nil"/>
              <w:left w:val="nil"/>
              <w:bottom w:val="single" w:color="auto" w:sz="8"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食品三餐留样，留样柜保持清洁，张贴明显标识，注明留样时间。专人留样，集中管理，责任到人。</w:t>
            </w:r>
          </w:p>
        </w:tc>
      </w:tr>
      <w:tr>
        <w:tblPrEx>
          <w:tblLayout w:type="fixed"/>
          <w:tblCellMar>
            <w:top w:w="0" w:type="dxa"/>
            <w:left w:w="108" w:type="dxa"/>
            <w:bottom w:w="0" w:type="dxa"/>
            <w:right w:w="108" w:type="dxa"/>
          </w:tblCellMar>
        </w:tblPrEx>
        <w:trPr>
          <w:trHeight w:val="545" w:hRule="exact"/>
        </w:trPr>
        <w:tc>
          <w:tcPr>
            <w:tcW w:w="1074" w:type="dxa"/>
            <w:vMerge w:val="continue"/>
            <w:tcBorders>
              <w:left w:val="single" w:color="auto" w:sz="4" w:space="0"/>
              <w:right w:val="single" w:color="auto" w:sz="4" w:space="0"/>
            </w:tcBorders>
            <w:vAlign w:val="center"/>
          </w:tcPr>
          <w:p>
            <w:pPr>
              <w:widowControl/>
              <w:jc w:val="left"/>
              <w:rPr>
                <w:rFonts w:ascii="宋体" w:hAnsi="宋体" w:cs="宋体"/>
                <w:kern w:val="0"/>
              </w:rPr>
            </w:pPr>
          </w:p>
        </w:tc>
        <w:tc>
          <w:tcPr>
            <w:tcW w:w="697" w:type="dxa"/>
            <w:tcBorders>
              <w:top w:val="nil"/>
              <w:left w:val="nil"/>
              <w:bottom w:val="single" w:color="auto" w:sz="8"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74</w:t>
            </w:r>
          </w:p>
        </w:tc>
        <w:tc>
          <w:tcPr>
            <w:tcW w:w="6590" w:type="dxa"/>
            <w:tcBorders>
              <w:top w:val="nil"/>
              <w:left w:val="nil"/>
              <w:bottom w:val="single" w:color="auto" w:sz="8"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食品留样采集冷却后，放入专用留样柜内并做好留样记录。</w:t>
            </w:r>
          </w:p>
        </w:tc>
      </w:tr>
      <w:tr>
        <w:tblPrEx>
          <w:tblLayout w:type="fixed"/>
          <w:tblCellMar>
            <w:top w:w="0" w:type="dxa"/>
            <w:left w:w="108" w:type="dxa"/>
            <w:bottom w:w="0" w:type="dxa"/>
            <w:right w:w="108" w:type="dxa"/>
          </w:tblCellMar>
        </w:tblPrEx>
        <w:trPr>
          <w:trHeight w:val="353" w:hRule="exact"/>
        </w:trPr>
        <w:tc>
          <w:tcPr>
            <w:tcW w:w="1074" w:type="dxa"/>
            <w:vMerge w:val="continue"/>
            <w:tcBorders>
              <w:left w:val="single" w:color="auto" w:sz="4" w:space="0"/>
              <w:bottom w:val="single" w:color="auto" w:sz="8" w:space="0"/>
              <w:right w:val="single" w:color="auto" w:sz="4" w:space="0"/>
            </w:tcBorders>
            <w:vAlign w:val="center"/>
          </w:tcPr>
          <w:p>
            <w:pPr>
              <w:widowControl/>
              <w:jc w:val="left"/>
              <w:rPr>
                <w:rFonts w:ascii="宋体" w:hAnsi="宋体" w:cs="宋体"/>
                <w:kern w:val="0"/>
              </w:rPr>
            </w:pPr>
          </w:p>
        </w:tc>
        <w:tc>
          <w:tcPr>
            <w:tcW w:w="697" w:type="dxa"/>
            <w:tcBorders>
              <w:top w:val="nil"/>
              <w:left w:val="nil"/>
              <w:bottom w:val="single" w:color="auto" w:sz="8"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75</w:t>
            </w:r>
          </w:p>
        </w:tc>
        <w:tc>
          <w:tcPr>
            <w:tcW w:w="6590" w:type="dxa"/>
            <w:tcBorders>
              <w:top w:val="nil"/>
              <w:left w:val="nil"/>
              <w:bottom w:val="single" w:color="auto" w:sz="8"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每餐品种留样不少于200克，在冷藏条件下存放48小时。</w:t>
            </w:r>
          </w:p>
        </w:tc>
      </w:tr>
      <w:tr>
        <w:tblPrEx>
          <w:tblLayout w:type="fixed"/>
          <w:tblCellMar>
            <w:top w:w="0" w:type="dxa"/>
            <w:left w:w="108" w:type="dxa"/>
            <w:bottom w:w="0" w:type="dxa"/>
            <w:right w:w="108" w:type="dxa"/>
          </w:tblCellMar>
        </w:tblPrEx>
        <w:trPr>
          <w:trHeight w:val="755" w:hRule="exact"/>
        </w:trPr>
        <w:tc>
          <w:tcPr>
            <w:tcW w:w="1074" w:type="dxa"/>
            <w:vMerge w:val="restart"/>
            <w:tcBorders>
              <w:top w:val="nil"/>
              <w:left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消毒</w:t>
            </w:r>
          </w:p>
          <w:p>
            <w:pPr>
              <w:widowControl/>
              <w:jc w:val="center"/>
              <w:rPr>
                <w:rFonts w:ascii="宋体" w:hAnsi="宋体" w:cs="宋体"/>
                <w:kern w:val="0"/>
              </w:rPr>
            </w:pPr>
            <w:r>
              <w:rPr>
                <w:rFonts w:hint="eastAsia" w:ascii="宋体" w:hAnsi="宋体" w:cs="宋体"/>
                <w:kern w:val="0"/>
              </w:rPr>
              <w:t>保洁</w:t>
            </w:r>
          </w:p>
          <w:p>
            <w:pPr>
              <w:widowControl/>
              <w:jc w:val="center"/>
              <w:rPr>
                <w:rFonts w:ascii="宋体" w:hAnsi="宋体" w:cs="宋体"/>
                <w:kern w:val="0"/>
              </w:rPr>
            </w:pPr>
            <w:r>
              <w:rPr>
                <w:rFonts w:hint="eastAsia" w:ascii="宋体" w:hAnsi="宋体" w:cs="宋体"/>
                <w:kern w:val="0"/>
              </w:rPr>
              <w:t>管理</w:t>
            </w:r>
          </w:p>
        </w:tc>
        <w:tc>
          <w:tcPr>
            <w:tcW w:w="697" w:type="dxa"/>
            <w:tcBorders>
              <w:top w:val="nil"/>
              <w:left w:val="nil"/>
              <w:bottom w:val="single" w:color="auto" w:sz="8"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76</w:t>
            </w:r>
          </w:p>
        </w:tc>
        <w:tc>
          <w:tcPr>
            <w:tcW w:w="6590" w:type="dxa"/>
            <w:tcBorders>
              <w:top w:val="nil"/>
              <w:left w:val="nil"/>
              <w:bottom w:val="single" w:color="auto" w:sz="8"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餐具及时消毒，消毒后存放于专用保洁柜内备用，整洁有序，保洁柜有明显标识。</w:t>
            </w:r>
          </w:p>
        </w:tc>
      </w:tr>
      <w:tr>
        <w:tblPrEx>
          <w:tblLayout w:type="fixed"/>
          <w:tblCellMar>
            <w:top w:w="0" w:type="dxa"/>
            <w:left w:w="108" w:type="dxa"/>
            <w:bottom w:w="0" w:type="dxa"/>
            <w:right w:w="108" w:type="dxa"/>
          </w:tblCellMar>
        </w:tblPrEx>
        <w:trPr>
          <w:trHeight w:val="502" w:hRule="exact"/>
        </w:trPr>
        <w:tc>
          <w:tcPr>
            <w:tcW w:w="1074" w:type="dxa"/>
            <w:vMerge w:val="continue"/>
            <w:tcBorders>
              <w:left w:val="single" w:color="auto" w:sz="4" w:space="0"/>
              <w:right w:val="single" w:color="auto" w:sz="4" w:space="0"/>
            </w:tcBorders>
            <w:vAlign w:val="center"/>
          </w:tcPr>
          <w:p>
            <w:pPr>
              <w:widowControl/>
              <w:jc w:val="left"/>
              <w:rPr>
                <w:rFonts w:ascii="宋体" w:hAnsi="宋体" w:cs="宋体"/>
                <w:kern w:val="0"/>
              </w:rPr>
            </w:pPr>
          </w:p>
        </w:tc>
        <w:tc>
          <w:tcPr>
            <w:tcW w:w="697" w:type="dxa"/>
            <w:tcBorders>
              <w:top w:val="nil"/>
              <w:left w:val="nil"/>
              <w:bottom w:val="single" w:color="auto" w:sz="8"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77</w:t>
            </w:r>
          </w:p>
        </w:tc>
        <w:tc>
          <w:tcPr>
            <w:tcW w:w="6590" w:type="dxa"/>
            <w:tcBorders>
              <w:top w:val="nil"/>
              <w:left w:val="nil"/>
              <w:bottom w:val="single" w:color="auto" w:sz="8"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保洁柜内无杂物、无油垢、整洁干净。</w:t>
            </w:r>
          </w:p>
        </w:tc>
      </w:tr>
      <w:tr>
        <w:tblPrEx>
          <w:tblLayout w:type="fixed"/>
          <w:tblCellMar>
            <w:top w:w="0" w:type="dxa"/>
            <w:left w:w="108" w:type="dxa"/>
            <w:bottom w:w="0" w:type="dxa"/>
            <w:right w:w="108" w:type="dxa"/>
          </w:tblCellMar>
        </w:tblPrEx>
        <w:trPr>
          <w:trHeight w:val="502" w:hRule="exact"/>
        </w:trPr>
        <w:tc>
          <w:tcPr>
            <w:tcW w:w="1074" w:type="dxa"/>
            <w:vMerge w:val="continue"/>
            <w:tcBorders>
              <w:left w:val="single" w:color="auto" w:sz="4" w:space="0"/>
              <w:right w:val="single" w:color="auto" w:sz="4" w:space="0"/>
            </w:tcBorders>
            <w:vAlign w:val="center"/>
          </w:tcPr>
          <w:p>
            <w:pPr>
              <w:widowControl/>
              <w:jc w:val="left"/>
              <w:rPr>
                <w:rFonts w:ascii="宋体" w:hAnsi="宋体" w:cs="宋体"/>
                <w:kern w:val="0"/>
              </w:rPr>
            </w:pPr>
          </w:p>
        </w:tc>
        <w:tc>
          <w:tcPr>
            <w:tcW w:w="697" w:type="dxa"/>
            <w:tcBorders>
              <w:top w:val="nil"/>
              <w:left w:val="nil"/>
              <w:bottom w:val="single" w:color="auto" w:sz="8"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78</w:t>
            </w:r>
          </w:p>
        </w:tc>
        <w:tc>
          <w:tcPr>
            <w:tcW w:w="6590" w:type="dxa"/>
            <w:tcBorders>
              <w:top w:val="nil"/>
              <w:left w:val="nil"/>
              <w:bottom w:val="single" w:color="auto" w:sz="8"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洗刷餐具的水池专用，不得在洗餐具池内冲洗拖把。</w:t>
            </w:r>
          </w:p>
        </w:tc>
      </w:tr>
      <w:tr>
        <w:tblPrEx>
          <w:tblLayout w:type="fixed"/>
          <w:tblCellMar>
            <w:top w:w="0" w:type="dxa"/>
            <w:left w:w="108" w:type="dxa"/>
            <w:bottom w:w="0" w:type="dxa"/>
            <w:right w:w="108" w:type="dxa"/>
          </w:tblCellMar>
        </w:tblPrEx>
        <w:trPr>
          <w:trHeight w:val="422" w:hRule="exact"/>
        </w:trPr>
        <w:tc>
          <w:tcPr>
            <w:tcW w:w="1074" w:type="dxa"/>
            <w:vMerge w:val="continue"/>
            <w:tcBorders>
              <w:left w:val="single" w:color="auto" w:sz="4" w:space="0"/>
              <w:bottom w:val="single" w:color="auto" w:sz="8" w:space="0"/>
              <w:right w:val="single" w:color="auto" w:sz="4" w:space="0"/>
            </w:tcBorders>
            <w:vAlign w:val="center"/>
          </w:tcPr>
          <w:p>
            <w:pPr>
              <w:widowControl/>
              <w:jc w:val="left"/>
              <w:rPr>
                <w:rFonts w:ascii="宋体" w:hAnsi="宋体" w:cs="宋体"/>
                <w:kern w:val="0"/>
              </w:rPr>
            </w:pPr>
          </w:p>
        </w:tc>
        <w:tc>
          <w:tcPr>
            <w:tcW w:w="697" w:type="dxa"/>
            <w:tcBorders>
              <w:top w:val="nil"/>
              <w:left w:val="nil"/>
              <w:bottom w:val="single" w:color="auto" w:sz="8"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79</w:t>
            </w:r>
          </w:p>
        </w:tc>
        <w:tc>
          <w:tcPr>
            <w:tcW w:w="6590" w:type="dxa"/>
            <w:tcBorders>
              <w:top w:val="nil"/>
              <w:left w:val="nil"/>
              <w:bottom w:val="single" w:color="auto" w:sz="8"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洗碗机、消毒柜每天清洗、保持干净，定期维护。</w:t>
            </w:r>
          </w:p>
        </w:tc>
      </w:tr>
      <w:tr>
        <w:tblPrEx>
          <w:tblLayout w:type="fixed"/>
          <w:tblCellMar>
            <w:top w:w="0" w:type="dxa"/>
            <w:left w:w="108" w:type="dxa"/>
            <w:bottom w:w="0" w:type="dxa"/>
            <w:right w:w="108" w:type="dxa"/>
          </w:tblCellMar>
        </w:tblPrEx>
        <w:trPr>
          <w:trHeight w:val="538" w:hRule="exact"/>
        </w:trPr>
        <w:tc>
          <w:tcPr>
            <w:tcW w:w="1074" w:type="dxa"/>
            <w:vMerge w:val="restart"/>
            <w:tcBorders>
              <w:top w:val="nil"/>
              <w:left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垃圾</w:t>
            </w:r>
          </w:p>
          <w:p>
            <w:pPr>
              <w:widowControl/>
              <w:jc w:val="center"/>
              <w:rPr>
                <w:rFonts w:ascii="宋体" w:hAnsi="宋体" w:cs="宋体"/>
                <w:kern w:val="0"/>
              </w:rPr>
            </w:pPr>
            <w:r>
              <w:rPr>
                <w:rFonts w:hint="eastAsia" w:ascii="宋体" w:hAnsi="宋体" w:cs="宋体"/>
                <w:kern w:val="0"/>
              </w:rPr>
              <w:t>管理</w:t>
            </w:r>
          </w:p>
        </w:tc>
        <w:tc>
          <w:tcPr>
            <w:tcW w:w="697" w:type="dxa"/>
            <w:tcBorders>
              <w:top w:val="nil"/>
              <w:left w:val="nil"/>
              <w:bottom w:val="single" w:color="auto" w:sz="8"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80</w:t>
            </w:r>
          </w:p>
        </w:tc>
        <w:tc>
          <w:tcPr>
            <w:tcW w:w="6590" w:type="dxa"/>
            <w:tcBorders>
              <w:top w:val="nil"/>
              <w:left w:val="nil"/>
              <w:bottom w:val="single" w:color="auto" w:sz="8"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垃圾桶必须使用垃圾袋，在指定地点放置回收。</w:t>
            </w:r>
          </w:p>
        </w:tc>
      </w:tr>
      <w:tr>
        <w:tblPrEx>
          <w:tblLayout w:type="fixed"/>
          <w:tblCellMar>
            <w:top w:w="0" w:type="dxa"/>
            <w:left w:w="108" w:type="dxa"/>
            <w:bottom w:w="0" w:type="dxa"/>
            <w:right w:w="108" w:type="dxa"/>
          </w:tblCellMar>
        </w:tblPrEx>
        <w:trPr>
          <w:trHeight w:val="475" w:hRule="exact"/>
        </w:trPr>
        <w:tc>
          <w:tcPr>
            <w:tcW w:w="107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rPr>
            </w:pPr>
          </w:p>
        </w:tc>
        <w:tc>
          <w:tcPr>
            <w:tcW w:w="6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81</w:t>
            </w:r>
          </w:p>
        </w:tc>
        <w:tc>
          <w:tcPr>
            <w:tcW w:w="6590" w:type="dxa"/>
            <w:tcBorders>
              <w:top w:val="nil"/>
              <w:left w:val="nil"/>
              <w:bottom w:val="single" w:color="auto" w:sz="4" w:space="0"/>
              <w:right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垃圾清理时间为每天上午10：30，下午4:30</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Layout w:type="fixed"/>
          <w:tblCellMar>
            <w:top w:w="0" w:type="dxa"/>
            <w:left w:w="108" w:type="dxa"/>
            <w:bottom w:w="0" w:type="dxa"/>
            <w:right w:w="108" w:type="dxa"/>
          </w:tblCellMar>
        </w:tblPrEx>
        <w:trPr>
          <w:trHeight w:val="544" w:hRule="exact"/>
        </w:trPr>
        <w:tc>
          <w:tcPr>
            <w:tcW w:w="1074" w:type="dxa"/>
            <w:vMerge w:val="restart"/>
            <w:tcBorders>
              <w:top w:val="single" w:color="auto" w:sz="4" w:space="0"/>
            </w:tcBorders>
            <w:vAlign w:val="center"/>
          </w:tcPr>
          <w:p>
            <w:pPr>
              <w:jc w:val="center"/>
              <w:rPr>
                <w:rFonts w:ascii="宋体" w:hAnsi="宋体" w:cs="宋体"/>
                <w:kern w:val="0"/>
              </w:rPr>
            </w:pPr>
            <w:r>
              <w:rPr>
                <w:rFonts w:hint="eastAsia" w:ascii="宋体" w:hAnsi="宋体" w:cs="宋体"/>
                <w:kern w:val="0"/>
              </w:rPr>
              <w:t>垃圾</w:t>
            </w:r>
          </w:p>
          <w:p>
            <w:pPr>
              <w:jc w:val="center"/>
              <w:rPr>
                <w:rFonts w:ascii="宋体" w:hAnsi="宋体"/>
              </w:rPr>
            </w:pPr>
            <w:r>
              <w:rPr>
                <w:rFonts w:hint="eastAsia" w:ascii="宋体" w:hAnsi="宋体" w:cs="宋体"/>
                <w:kern w:val="0"/>
              </w:rPr>
              <w:t>管理</w:t>
            </w:r>
          </w:p>
        </w:tc>
        <w:tc>
          <w:tcPr>
            <w:tcW w:w="697" w:type="dxa"/>
            <w:tcBorders>
              <w:top w:val="single" w:color="auto" w:sz="4" w:space="0"/>
            </w:tcBorders>
            <w:vAlign w:val="center"/>
          </w:tcPr>
          <w:p>
            <w:pPr>
              <w:widowControl/>
              <w:jc w:val="center"/>
              <w:rPr>
                <w:rFonts w:ascii="宋体" w:hAnsi="宋体" w:cs="宋体"/>
                <w:kern w:val="0"/>
              </w:rPr>
            </w:pPr>
            <w:r>
              <w:rPr>
                <w:rFonts w:hint="eastAsia" w:ascii="宋体" w:hAnsi="宋体" w:cs="宋体"/>
                <w:kern w:val="0"/>
              </w:rPr>
              <w:t>82</w:t>
            </w:r>
          </w:p>
        </w:tc>
        <w:tc>
          <w:tcPr>
            <w:tcW w:w="6590" w:type="dxa"/>
            <w:vAlign w:val="center"/>
          </w:tcPr>
          <w:p>
            <w:pPr>
              <w:widowControl/>
              <w:spacing w:line="340" w:lineRule="exact"/>
              <w:jc w:val="left"/>
              <w:rPr>
                <w:rFonts w:ascii="宋体" w:hAnsi="宋体" w:cs="宋体"/>
                <w:kern w:val="0"/>
              </w:rPr>
            </w:pPr>
            <w:r>
              <w:rPr>
                <w:rFonts w:hint="eastAsia" w:ascii="宋体" w:hAnsi="宋体" w:cs="宋体"/>
                <w:kern w:val="0"/>
              </w:rPr>
              <w:t>垃圾桶及时上盖，保持清洁。</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Layout w:type="fixed"/>
          <w:tblCellMar>
            <w:top w:w="0" w:type="dxa"/>
            <w:left w:w="108" w:type="dxa"/>
            <w:bottom w:w="0" w:type="dxa"/>
            <w:right w:w="108" w:type="dxa"/>
          </w:tblCellMar>
        </w:tblPrEx>
        <w:trPr>
          <w:trHeight w:val="755" w:hRule="exact"/>
        </w:trPr>
        <w:tc>
          <w:tcPr>
            <w:tcW w:w="1074" w:type="dxa"/>
            <w:vMerge w:val="continue"/>
            <w:vAlign w:val="center"/>
          </w:tcPr>
          <w:p>
            <w:pPr>
              <w:widowControl/>
              <w:jc w:val="left"/>
              <w:rPr>
                <w:rFonts w:ascii="宋体" w:hAnsi="宋体" w:cs="宋体"/>
                <w:kern w:val="0"/>
              </w:rPr>
            </w:pPr>
          </w:p>
        </w:tc>
        <w:tc>
          <w:tcPr>
            <w:tcW w:w="697" w:type="dxa"/>
            <w:vAlign w:val="center"/>
          </w:tcPr>
          <w:p>
            <w:pPr>
              <w:widowControl/>
              <w:jc w:val="center"/>
              <w:rPr>
                <w:rFonts w:ascii="宋体" w:hAnsi="宋体" w:cs="宋体"/>
                <w:kern w:val="0"/>
              </w:rPr>
            </w:pPr>
            <w:r>
              <w:rPr>
                <w:rFonts w:hint="eastAsia" w:ascii="宋体" w:hAnsi="宋体" w:cs="宋体"/>
                <w:kern w:val="0"/>
              </w:rPr>
              <w:t>83</w:t>
            </w:r>
          </w:p>
        </w:tc>
        <w:tc>
          <w:tcPr>
            <w:tcW w:w="6590" w:type="dxa"/>
            <w:vAlign w:val="center"/>
          </w:tcPr>
          <w:p>
            <w:pPr>
              <w:widowControl/>
              <w:spacing w:line="340" w:lineRule="exact"/>
              <w:jc w:val="left"/>
              <w:rPr>
                <w:rFonts w:ascii="宋体" w:hAnsi="宋体" w:cs="宋体"/>
                <w:kern w:val="0"/>
              </w:rPr>
            </w:pPr>
            <w:r>
              <w:rPr>
                <w:rFonts w:hint="eastAsia" w:ascii="宋体" w:hAnsi="宋体" w:cs="宋体"/>
                <w:kern w:val="0"/>
              </w:rPr>
              <w:t>垃圾外运过程中要求全部用垃圾袋装好扎口，严禁垃圾袋破损，污水外溢。</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Layout w:type="fixed"/>
          <w:tblCellMar>
            <w:top w:w="0" w:type="dxa"/>
            <w:left w:w="108" w:type="dxa"/>
            <w:bottom w:w="0" w:type="dxa"/>
            <w:right w:w="108" w:type="dxa"/>
          </w:tblCellMar>
        </w:tblPrEx>
        <w:trPr>
          <w:trHeight w:val="508" w:hRule="exact"/>
        </w:trPr>
        <w:tc>
          <w:tcPr>
            <w:tcW w:w="1074" w:type="dxa"/>
            <w:vMerge w:val="continue"/>
            <w:vAlign w:val="center"/>
          </w:tcPr>
          <w:p>
            <w:pPr>
              <w:widowControl/>
              <w:jc w:val="left"/>
              <w:rPr>
                <w:rFonts w:ascii="宋体" w:hAnsi="宋体" w:cs="宋体"/>
                <w:kern w:val="0"/>
              </w:rPr>
            </w:pPr>
          </w:p>
        </w:tc>
        <w:tc>
          <w:tcPr>
            <w:tcW w:w="697" w:type="dxa"/>
            <w:vAlign w:val="center"/>
          </w:tcPr>
          <w:p>
            <w:pPr>
              <w:widowControl/>
              <w:jc w:val="center"/>
              <w:rPr>
                <w:rFonts w:ascii="宋体" w:hAnsi="宋体" w:cs="宋体"/>
                <w:kern w:val="0"/>
              </w:rPr>
            </w:pPr>
            <w:r>
              <w:rPr>
                <w:rFonts w:hint="eastAsia" w:ascii="宋体" w:hAnsi="宋体" w:cs="宋体"/>
                <w:kern w:val="0"/>
              </w:rPr>
              <w:t>84</w:t>
            </w:r>
          </w:p>
        </w:tc>
        <w:tc>
          <w:tcPr>
            <w:tcW w:w="6590" w:type="dxa"/>
            <w:vAlign w:val="center"/>
          </w:tcPr>
          <w:p>
            <w:pPr>
              <w:widowControl/>
              <w:spacing w:line="340" w:lineRule="exact"/>
              <w:jc w:val="left"/>
              <w:rPr>
                <w:rFonts w:ascii="宋体" w:hAnsi="宋体" w:cs="宋体"/>
                <w:kern w:val="0"/>
              </w:rPr>
            </w:pPr>
            <w:r>
              <w:rPr>
                <w:rFonts w:hint="eastAsia" w:ascii="宋体" w:hAnsi="宋体" w:cs="宋体"/>
                <w:kern w:val="0"/>
              </w:rPr>
              <w:t>及时清理沿途污物，定点定时、整洁投放垃圾。</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Layout w:type="fixed"/>
          <w:tblCellMar>
            <w:top w:w="0" w:type="dxa"/>
            <w:left w:w="108" w:type="dxa"/>
            <w:bottom w:w="0" w:type="dxa"/>
            <w:right w:w="108" w:type="dxa"/>
          </w:tblCellMar>
        </w:tblPrEx>
        <w:trPr>
          <w:trHeight w:val="542" w:hRule="exact"/>
        </w:trPr>
        <w:tc>
          <w:tcPr>
            <w:tcW w:w="1074" w:type="dxa"/>
            <w:vMerge w:val="restart"/>
            <w:vAlign w:val="center"/>
          </w:tcPr>
          <w:p>
            <w:pPr>
              <w:widowControl/>
              <w:jc w:val="center"/>
              <w:rPr>
                <w:rFonts w:ascii="宋体" w:hAnsi="宋体" w:cs="宋体"/>
                <w:kern w:val="0"/>
              </w:rPr>
            </w:pPr>
            <w:r>
              <w:rPr>
                <w:rFonts w:hint="eastAsia" w:ascii="宋体" w:hAnsi="宋体" w:cs="宋体"/>
                <w:kern w:val="0"/>
              </w:rPr>
              <w:t>安全</w:t>
            </w:r>
          </w:p>
          <w:p>
            <w:pPr>
              <w:widowControl/>
              <w:jc w:val="center"/>
              <w:rPr>
                <w:rFonts w:ascii="宋体" w:hAnsi="宋体" w:cs="宋体"/>
                <w:kern w:val="0"/>
              </w:rPr>
            </w:pPr>
            <w:r>
              <w:rPr>
                <w:rFonts w:hint="eastAsia" w:ascii="宋体" w:hAnsi="宋体" w:cs="宋体"/>
                <w:kern w:val="0"/>
              </w:rPr>
              <w:t>管理</w:t>
            </w:r>
          </w:p>
        </w:tc>
        <w:tc>
          <w:tcPr>
            <w:tcW w:w="697" w:type="dxa"/>
            <w:vAlign w:val="center"/>
          </w:tcPr>
          <w:p>
            <w:pPr>
              <w:widowControl/>
              <w:jc w:val="center"/>
              <w:rPr>
                <w:rFonts w:ascii="宋体" w:hAnsi="宋体" w:cs="宋体"/>
                <w:kern w:val="0"/>
              </w:rPr>
            </w:pPr>
            <w:r>
              <w:rPr>
                <w:rFonts w:hint="eastAsia" w:ascii="宋体" w:hAnsi="宋体" w:cs="宋体"/>
                <w:kern w:val="0"/>
              </w:rPr>
              <w:t>85</w:t>
            </w:r>
          </w:p>
        </w:tc>
        <w:tc>
          <w:tcPr>
            <w:tcW w:w="6590" w:type="dxa"/>
            <w:vAlign w:val="center"/>
          </w:tcPr>
          <w:p>
            <w:pPr>
              <w:widowControl/>
              <w:spacing w:line="340" w:lineRule="exact"/>
              <w:jc w:val="left"/>
              <w:rPr>
                <w:rFonts w:ascii="宋体" w:hAnsi="宋体" w:cs="宋体"/>
                <w:kern w:val="0"/>
              </w:rPr>
            </w:pPr>
            <w:r>
              <w:rPr>
                <w:rFonts w:hint="eastAsia" w:ascii="宋体" w:hAnsi="宋体" w:cs="宋体"/>
                <w:kern w:val="0"/>
              </w:rPr>
              <w:t>食品处理区保持清洁，不得存放有毒、有害物品。</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Layout w:type="fixed"/>
          <w:tblCellMar>
            <w:top w:w="0" w:type="dxa"/>
            <w:left w:w="108" w:type="dxa"/>
            <w:bottom w:w="0" w:type="dxa"/>
            <w:right w:w="108" w:type="dxa"/>
          </w:tblCellMar>
        </w:tblPrEx>
        <w:trPr>
          <w:trHeight w:val="611" w:hRule="exact"/>
        </w:trPr>
        <w:tc>
          <w:tcPr>
            <w:tcW w:w="1074" w:type="dxa"/>
            <w:vMerge w:val="continue"/>
            <w:vAlign w:val="center"/>
          </w:tcPr>
          <w:p>
            <w:pPr>
              <w:widowControl/>
              <w:jc w:val="left"/>
              <w:rPr>
                <w:rFonts w:ascii="宋体" w:hAnsi="宋体" w:cs="宋体"/>
                <w:kern w:val="0"/>
              </w:rPr>
            </w:pPr>
          </w:p>
        </w:tc>
        <w:tc>
          <w:tcPr>
            <w:tcW w:w="697" w:type="dxa"/>
            <w:vAlign w:val="center"/>
          </w:tcPr>
          <w:p>
            <w:pPr>
              <w:widowControl/>
              <w:jc w:val="center"/>
              <w:rPr>
                <w:rFonts w:ascii="宋体" w:hAnsi="宋体" w:cs="宋体"/>
                <w:kern w:val="0"/>
              </w:rPr>
            </w:pPr>
            <w:r>
              <w:rPr>
                <w:rFonts w:hint="eastAsia" w:ascii="宋体" w:hAnsi="宋体" w:cs="宋体"/>
                <w:kern w:val="0"/>
              </w:rPr>
              <w:t>86</w:t>
            </w:r>
          </w:p>
        </w:tc>
        <w:tc>
          <w:tcPr>
            <w:tcW w:w="6590" w:type="dxa"/>
            <w:vAlign w:val="center"/>
          </w:tcPr>
          <w:p>
            <w:pPr>
              <w:widowControl/>
              <w:spacing w:line="320" w:lineRule="exact"/>
              <w:jc w:val="left"/>
              <w:rPr>
                <w:rFonts w:ascii="宋体" w:hAnsi="宋体" w:cs="宋体"/>
                <w:kern w:val="0"/>
              </w:rPr>
            </w:pPr>
            <w:r>
              <w:rPr>
                <w:rFonts w:hint="eastAsia" w:ascii="宋体" w:hAnsi="宋体" w:cs="宋体"/>
                <w:kern w:val="0"/>
              </w:rPr>
              <w:t>有毒有害物品要专人保管、专人使用、专人回收。不允许穿戴工作服进出卫生间和食堂室外出口。</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Layout w:type="fixed"/>
          <w:tblCellMar>
            <w:top w:w="0" w:type="dxa"/>
            <w:left w:w="108" w:type="dxa"/>
            <w:bottom w:w="0" w:type="dxa"/>
            <w:right w:w="108" w:type="dxa"/>
          </w:tblCellMar>
        </w:tblPrEx>
        <w:trPr>
          <w:trHeight w:val="527" w:hRule="exact"/>
        </w:trPr>
        <w:tc>
          <w:tcPr>
            <w:tcW w:w="1074" w:type="dxa"/>
            <w:vMerge w:val="continue"/>
            <w:vAlign w:val="center"/>
          </w:tcPr>
          <w:p>
            <w:pPr>
              <w:widowControl/>
              <w:jc w:val="left"/>
              <w:rPr>
                <w:rFonts w:ascii="宋体" w:hAnsi="宋体" w:cs="宋体"/>
                <w:kern w:val="0"/>
              </w:rPr>
            </w:pPr>
          </w:p>
        </w:tc>
        <w:tc>
          <w:tcPr>
            <w:tcW w:w="697" w:type="dxa"/>
            <w:vAlign w:val="center"/>
          </w:tcPr>
          <w:p>
            <w:pPr>
              <w:widowControl/>
              <w:jc w:val="center"/>
              <w:rPr>
                <w:rFonts w:ascii="宋体" w:hAnsi="宋体" w:cs="宋体"/>
                <w:kern w:val="0"/>
              </w:rPr>
            </w:pPr>
            <w:r>
              <w:rPr>
                <w:rFonts w:hint="eastAsia" w:ascii="宋体" w:hAnsi="宋体" w:cs="宋体"/>
                <w:kern w:val="0"/>
              </w:rPr>
              <w:t>87</w:t>
            </w:r>
          </w:p>
        </w:tc>
        <w:tc>
          <w:tcPr>
            <w:tcW w:w="6590" w:type="dxa"/>
            <w:vAlign w:val="center"/>
          </w:tcPr>
          <w:p>
            <w:pPr>
              <w:widowControl/>
              <w:spacing w:line="340" w:lineRule="exact"/>
              <w:jc w:val="left"/>
              <w:rPr>
                <w:rFonts w:ascii="宋体" w:hAnsi="宋体" w:cs="宋体"/>
                <w:kern w:val="0"/>
              </w:rPr>
            </w:pPr>
            <w:r>
              <w:rPr>
                <w:rFonts w:hint="eastAsia" w:ascii="宋体" w:hAnsi="宋体" w:cs="宋体"/>
                <w:kern w:val="0"/>
              </w:rPr>
              <w:t>素菜、混炒菜要求不隔夜，纯荤菜可隔夜规范冷藏。</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Layout w:type="fixed"/>
          <w:tblCellMar>
            <w:top w:w="0" w:type="dxa"/>
            <w:left w:w="108" w:type="dxa"/>
            <w:bottom w:w="0" w:type="dxa"/>
            <w:right w:w="108" w:type="dxa"/>
          </w:tblCellMar>
        </w:tblPrEx>
        <w:trPr>
          <w:trHeight w:val="494" w:hRule="exact"/>
        </w:trPr>
        <w:tc>
          <w:tcPr>
            <w:tcW w:w="1074" w:type="dxa"/>
            <w:vMerge w:val="continue"/>
            <w:vAlign w:val="center"/>
          </w:tcPr>
          <w:p>
            <w:pPr>
              <w:widowControl/>
              <w:jc w:val="left"/>
              <w:rPr>
                <w:rFonts w:ascii="宋体" w:hAnsi="宋体" w:cs="宋体"/>
                <w:kern w:val="0"/>
              </w:rPr>
            </w:pPr>
          </w:p>
        </w:tc>
        <w:tc>
          <w:tcPr>
            <w:tcW w:w="697" w:type="dxa"/>
            <w:vAlign w:val="center"/>
          </w:tcPr>
          <w:p>
            <w:pPr>
              <w:widowControl/>
              <w:jc w:val="center"/>
              <w:rPr>
                <w:rFonts w:ascii="宋体" w:hAnsi="宋体" w:cs="宋体"/>
                <w:kern w:val="0"/>
              </w:rPr>
            </w:pPr>
            <w:r>
              <w:rPr>
                <w:rFonts w:hint="eastAsia" w:ascii="宋体" w:hAnsi="宋体" w:cs="宋体"/>
                <w:kern w:val="0"/>
              </w:rPr>
              <w:t>88</w:t>
            </w:r>
          </w:p>
        </w:tc>
        <w:tc>
          <w:tcPr>
            <w:tcW w:w="6590" w:type="dxa"/>
            <w:vAlign w:val="center"/>
          </w:tcPr>
          <w:p>
            <w:pPr>
              <w:widowControl/>
              <w:spacing w:line="340" w:lineRule="exact"/>
              <w:jc w:val="left"/>
              <w:rPr>
                <w:rFonts w:ascii="宋体" w:hAnsi="宋体" w:cs="宋体"/>
                <w:kern w:val="0"/>
              </w:rPr>
            </w:pPr>
            <w:r>
              <w:rPr>
                <w:rFonts w:hint="eastAsia" w:ascii="宋体" w:hAnsi="宋体" w:cs="宋体"/>
                <w:kern w:val="0"/>
              </w:rPr>
              <w:t>剩米饭要晾凉摊平，存放于干爽的盘里通风保存，夏季必需冷藏。</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Layout w:type="fixed"/>
          <w:tblCellMar>
            <w:top w:w="0" w:type="dxa"/>
            <w:left w:w="108" w:type="dxa"/>
            <w:bottom w:w="0" w:type="dxa"/>
            <w:right w:w="108" w:type="dxa"/>
          </w:tblCellMar>
        </w:tblPrEx>
        <w:trPr>
          <w:trHeight w:val="520" w:hRule="exact"/>
        </w:trPr>
        <w:tc>
          <w:tcPr>
            <w:tcW w:w="1074" w:type="dxa"/>
            <w:vMerge w:val="continue"/>
            <w:vAlign w:val="center"/>
          </w:tcPr>
          <w:p>
            <w:pPr>
              <w:widowControl/>
              <w:jc w:val="left"/>
              <w:rPr>
                <w:rFonts w:ascii="宋体" w:hAnsi="宋体" w:cs="宋体"/>
                <w:kern w:val="0"/>
              </w:rPr>
            </w:pPr>
          </w:p>
        </w:tc>
        <w:tc>
          <w:tcPr>
            <w:tcW w:w="697" w:type="dxa"/>
            <w:vAlign w:val="center"/>
          </w:tcPr>
          <w:p>
            <w:pPr>
              <w:widowControl/>
              <w:jc w:val="center"/>
              <w:rPr>
                <w:rFonts w:ascii="宋体" w:hAnsi="宋体" w:cs="宋体"/>
                <w:kern w:val="0"/>
              </w:rPr>
            </w:pPr>
            <w:r>
              <w:rPr>
                <w:rFonts w:hint="eastAsia" w:ascii="宋体" w:hAnsi="宋体" w:cs="宋体"/>
                <w:kern w:val="0"/>
              </w:rPr>
              <w:t>89</w:t>
            </w:r>
          </w:p>
        </w:tc>
        <w:tc>
          <w:tcPr>
            <w:tcW w:w="6590" w:type="dxa"/>
            <w:vAlign w:val="center"/>
          </w:tcPr>
          <w:p>
            <w:pPr>
              <w:widowControl/>
              <w:spacing w:line="340" w:lineRule="exact"/>
              <w:jc w:val="left"/>
              <w:rPr>
                <w:rFonts w:ascii="宋体" w:hAnsi="宋体" w:cs="宋体"/>
                <w:kern w:val="0"/>
              </w:rPr>
            </w:pPr>
            <w:r>
              <w:rPr>
                <w:rFonts w:hint="eastAsia" w:ascii="宋体" w:hAnsi="宋体" w:cs="宋体"/>
                <w:kern w:val="0"/>
              </w:rPr>
              <w:t>剩余的豆制品菜肴和番茄炒鸡蛋当日晚餐处理完毕，次日不能再销售。</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Layout w:type="fixed"/>
          <w:tblCellMar>
            <w:top w:w="0" w:type="dxa"/>
            <w:left w:w="108" w:type="dxa"/>
            <w:bottom w:w="0" w:type="dxa"/>
            <w:right w:w="108" w:type="dxa"/>
          </w:tblCellMar>
        </w:tblPrEx>
        <w:trPr>
          <w:trHeight w:val="747" w:hRule="exact"/>
        </w:trPr>
        <w:tc>
          <w:tcPr>
            <w:tcW w:w="1074" w:type="dxa"/>
            <w:vMerge w:val="continue"/>
            <w:vAlign w:val="center"/>
          </w:tcPr>
          <w:p>
            <w:pPr>
              <w:widowControl/>
              <w:jc w:val="left"/>
              <w:rPr>
                <w:rFonts w:ascii="宋体" w:hAnsi="宋体" w:cs="宋体"/>
                <w:kern w:val="0"/>
              </w:rPr>
            </w:pPr>
          </w:p>
        </w:tc>
        <w:tc>
          <w:tcPr>
            <w:tcW w:w="697" w:type="dxa"/>
            <w:vAlign w:val="center"/>
          </w:tcPr>
          <w:p>
            <w:pPr>
              <w:widowControl/>
              <w:jc w:val="center"/>
              <w:rPr>
                <w:rFonts w:ascii="宋体" w:hAnsi="宋体" w:cs="宋体"/>
                <w:kern w:val="0"/>
              </w:rPr>
            </w:pPr>
            <w:r>
              <w:rPr>
                <w:rFonts w:hint="eastAsia" w:ascii="宋体" w:hAnsi="宋体" w:cs="宋体"/>
                <w:kern w:val="0"/>
              </w:rPr>
              <w:t>90</w:t>
            </w:r>
          </w:p>
        </w:tc>
        <w:tc>
          <w:tcPr>
            <w:tcW w:w="6590" w:type="dxa"/>
            <w:vAlign w:val="center"/>
          </w:tcPr>
          <w:p>
            <w:pPr>
              <w:widowControl/>
              <w:spacing w:line="340" w:lineRule="exact"/>
              <w:jc w:val="left"/>
              <w:rPr>
                <w:rFonts w:ascii="宋体" w:hAnsi="宋体" w:cs="宋体"/>
                <w:kern w:val="0"/>
              </w:rPr>
            </w:pPr>
            <w:r>
              <w:rPr>
                <w:rFonts w:hint="eastAsia" w:ascii="宋体" w:hAnsi="宋体" w:cs="宋体"/>
                <w:kern w:val="0"/>
              </w:rPr>
              <w:t>剩菜回锅处理必须烧熟煮透（中心温度达到70度以上），出售前由班长以上管理人员进行质量鉴定后方可售卖。</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Layout w:type="fixed"/>
          <w:tblCellMar>
            <w:top w:w="0" w:type="dxa"/>
            <w:left w:w="108" w:type="dxa"/>
            <w:bottom w:w="0" w:type="dxa"/>
            <w:right w:w="108" w:type="dxa"/>
          </w:tblCellMar>
        </w:tblPrEx>
        <w:trPr>
          <w:trHeight w:val="449" w:hRule="exact"/>
        </w:trPr>
        <w:tc>
          <w:tcPr>
            <w:tcW w:w="1074" w:type="dxa"/>
            <w:vMerge w:val="continue"/>
            <w:vAlign w:val="center"/>
          </w:tcPr>
          <w:p>
            <w:pPr>
              <w:widowControl/>
              <w:jc w:val="left"/>
              <w:rPr>
                <w:rFonts w:ascii="宋体" w:hAnsi="宋体" w:cs="宋体"/>
                <w:kern w:val="0"/>
              </w:rPr>
            </w:pPr>
          </w:p>
        </w:tc>
        <w:tc>
          <w:tcPr>
            <w:tcW w:w="697" w:type="dxa"/>
            <w:vAlign w:val="center"/>
          </w:tcPr>
          <w:p>
            <w:pPr>
              <w:widowControl/>
              <w:jc w:val="center"/>
              <w:rPr>
                <w:rFonts w:ascii="宋体" w:hAnsi="宋体" w:cs="宋体"/>
                <w:kern w:val="0"/>
              </w:rPr>
            </w:pPr>
            <w:r>
              <w:rPr>
                <w:rFonts w:hint="eastAsia" w:ascii="宋体" w:hAnsi="宋体" w:cs="宋体"/>
                <w:kern w:val="0"/>
              </w:rPr>
              <w:t>91</w:t>
            </w:r>
          </w:p>
        </w:tc>
        <w:tc>
          <w:tcPr>
            <w:tcW w:w="6590" w:type="dxa"/>
            <w:vAlign w:val="center"/>
          </w:tcPr>
          <w:p>
            <w:pPr>
              <w:widowControl/>
              <w:spacing w:line="340" w:lineRule="exact"/>
              <w:jc w:val="left"/>
              <w:rPr>
                <w:rFonts w:ascii="宋体" w:hAnsi="宋体" w:cs="宋体"/>
                <w:kern w:val="0"/>
              </w:rPr>
            </w:pPr>
            <w:r>
              <w:rPr>
                <w:rFonts w:hint="eastAsia" w:ascii="宋体" w:hAnsi="宋体" w:cs="宋体"/>
                <w:kern w:val="0"/>
              </w:rPr>
              <w:t>每餐结束及时关闭水、电、天然气阀门，并做好记录。</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Layout w:type="fixed"/>
          <w:tblCellMar>
            <w:top w:w="0" w:type="dxa"/>
            <w:left w:w="108" w:type="dxa"/>
            <w:bottom w:w="0" w:type="dxa"/>
            <w:right w:w="108" w:type="dxa"/>
          </w:tblCellMar>
        </w:tblPrEx>
        <w:trPr>
          <w:trHeight w:val="523" w:hRule="exact"/>
        </w:trPr>
        <w:tc>
          <w:tcPr>
            <w:tcW w:w="1074" w:type="dxa"/>
            <w:vMerge w:val="continue"/>
            <w:vAlign w:val="center"/>
          </w:tcPr>
          <w:p>
            <w:pPr>
              <w:widowControl/>
              <w:jc w:val="left"/>
              <w:rPr>
                <w:rFonts w:ascii="宋体" w:hAnsi="宋体" w:cs="宋体"/>
                <w:kern w:val="0"/>
              </w:rPr>
            </w:pPr>
          </w:p>
        </w:tc>
        <w:tc>
          <w:tcPr>
            <w:tcW w:w="697" w:type="dxa"/>
            <w:vAlign w:val="center"/>
          </w:tcPr>
          <w:p>
            <w:pPr>
              <w:widowControl/>
              <w:jc w:val="center"/>
              <w:rPr>
                <w:rFonts w:ascii="宋体" w:hAnsi="宋体" w:cs="宋体"/>
                <w:kern w:val="0"/>
              </w:rPr>
            </w:pPr>
            <w:r>
              <w:rPr>
                <w:rFonts w:hint="eastAsia" w:ascii="宋体" w:hAnsi="宋体" w:cs="宋体"/>
                <w:kern w:val="0"/>
              </w:rPr>
              <w:t>92</w:t>
            </w:r>
          </w:p>
        </w:tc>
        <w:tc>
          <w:tcPr>
            <w:tcW w:w="6590" w:type="dxa"/>
            <w:vAlign w:val="center"/>
          </w:tcPr>
          <w:p>
            <w:pPr>
              <w:widowControl/>
              <w:spacing w:line="340" w:lineRule="exact"/>
              <w:jc w:val="left"/>
              <w:rPr>
                <w:rFonts w:ascii="宋体" w:hAnsi="宋体" w:cs="宋体"/>
                <w:kern w:val="0"/>
              </w:rPr>
            </w:pPr>
            <w:r>
              <w:rPr>
                <w:rFonts w:hint="eastAsia" w:ascii="宋体" w:hAnsi="宋体" w:cs="宋体"/>
                <w:kern w:val="0"/>
              </w:rPr>
              <w:t>每周对消防器材进行检查并填写记录。</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Layout w:type="fixed"/>
          <w:tblCellMar>
            <w:top w:w="0" w:type="dxa"/>
            <w:left w:w="108" w:type="dxa"/>
            <w:bottom w:w="0" w:type="dxa"/>
            <w:right w:w="108" w:type="dxa"/>
          </w:tblCellMar>
        </w:tblPrEx>
        <w:trPr>
          <w:trHeight w:val="514" w:hRule="exact"/>
        </w:trPr>
        <w:tc>
          <w:tcPr>
            <w:tcW w:w="1074" w:type="dxa"/>
            <w:vMerge w:val="restart"/>
            <w:vAlign w:val="center"/>
          </w:tcPr>
          <w:p>
            <w:pPr>
              <w:widowControl/>
              <w:jc w:val="center"/>
              <w:rPr>
                <w:rFonts w:ascii="宋体" w:hAnsi="宋体" w:cs="宋体"/>
                <w:kern w:val="0"/>
              </w:rPr>
            </w:pPr>
            <w:r>
              <w:rPr>
                <w:rFonts w:hint="eastAsia" w:ascii="宋体" w:hAnsi="宋体" w:cs="宋体"/>
                <w:kern w:val="0"/>
              </w:rPr>
              <w:t>台账</w:t>
            </w:r>
          </w:p>
          <w:p>
            <w:pPr>
              <w:widowControl/>
              <w:jc w:val="center"/>
              <w:rPr>
                <w:rFonts w:ascii="宋体" w:hAnsi="宋体" w:cs="宋体"/>
                <w:kern w:val="0"/>
              </w:rPr>
            </w:pPr>
            <w:r>
              <w:rPr>
                <w:rFonts w:hint="eastAsia" w:ascii="宋体" w:hAnsi="宋体" w:cs="宋体"/>
                <w:kern w:val="0"/>
              </w:rPr>
              <w:t>管理</w:t>
            </w:r>
          </w:p>
        </w:tc>
        <w:tc>
          <w:tcPr>
            <w:tcW w:w="697" w:type="dxa"/>
            <w:vAlign w:val="center"/>
          </w:tcPr>
          <w:p>
            <w:pPr>
              <w:widowControl/>
              <w:jc w:val="center"/>
              <w:rPr>
                <w:rFonts w:ascii="宋体" w:hAnsi="宋体" w:cs="宋体"/>
                <w:kern w:val="0"/>
              </w:rPr>
            </w:pPr>
            <w:r>
              <w:rPr>
                <w:rFonts w:hint="eastAsia" w:ascii="宋体" w:hAnsi="宋体" w:cs="宋体"/>
                <w:kern w:val="0"/>
              </w:rPr>
              <w:t>93</w:t>
            </w:r>
          </w:p>
        </w:tc>
        <w:tc>
          <w:tcPr>
            <w:tcW w:w="6590" w:type="dxa"/>
            <w:vAlign w:val="center"/>
          </w:tcPr>
          <w:p>
            <w:pPr>
              <w:widowControl/>
              <w:spacing w:line="340" w:lineRule="exact"/>
              <w:jc w:val="left"/>
              <w:rPr>
                <w:rFonts w:ascii="宋体" w:hAnsi="宋体" w:cs="宋体"/>
                <w:kern w:val="0"/>
              </w:rPr>
            </w:pPr>
            <w:r>
              <w:rPr>
                <w:rFonts w:hint="eastAsia" w:ascii="宋体" w:hAnsi="宋体" w:cs="宋体"/>
                <w:kern w:val="0"/>
              </w:rPr>
              <w:t>食堂餐饮经营许可证、量化分级公示牌放于就餐场所的醒目位置。</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Layout w:type="fixed"/>
          <w:tblCellMar>
            <w:top w:w="0" w:type="dxa"/>
            <w:left w:w="108" w:type="dxa"/>
            <w:bottom w:w="0" w:type="dxa"/>
            <w:right w:w="108" w:type="dxa"/>
          </w:tblCellMar>
        </w:tblPrEx>
        <w:trPr>
          <w:trHeight w:val="401" w:hRule="exact"/>
        </w:trPr>
        <w:tc>
          <w:tcPr>
            <w:tcW w:w="1074" w:type="dxa"/>
            <w:vMerge w:val="continue"/>
            <w:vAlign w:val="center"/>
          </w:tcPr>
          <w:p>
            <w:pPr>
              <w:widowControl/>
              <w:jc w:val="left"/>
              <w:rPr>
                <w:rFonts w:ascii="宋体" w:hAnsi="宋体" w:cs="宋体"/>
                <w:kern w:val="0"/>
              </w:rPr>
            </w:pPr>
          </w:p>
        </w:tc>
        <w:tc>
          <w:tcPr>
            <w:tcW w:w="697" w:type="dxa"/>
            <w:vAlign w:val="center"/>
          </w:tcPr>
          <w:p>
            <w:pPr>
              <w:widowControl/>
              <w:jc w:val="center"/>
              <w:rPr>
                <w:rFonts w:ascii="宋体" w:hAnsi="宋体" w:cs="宋体"/>
                <w:kern w:val="0"/>
              </w:rPr>
            </w:pPr>
            <w:r>
              <w:rPr>
                <w:rFonts w:hint="eastAsia" w:ascii="宋体" w:hAnsi="宋体" w:cs="宋体"/>
                <w:kern w:val="0"/>
              </w:rPr>
              <w:t>94</w:t>
            </w:r>
          </w:p>
        </w:tc>
        <w:tc>
          <w:tcPr>
            <w:tcW w:w="6590" w:type="dxa"/>
            <w:vAlign w:val="center"/>
          </w:tcPr>
          <w:p>
            <w:pPr>
              <w:widowControl/>
              <w:spacing w:line="340" w:lineRule="exact"/>
              <w:jc w:val="left"/>
              <w:rPr>
                <w:rFonts w:ascii="宋体" w:hAnsi="宋体" w:cs="宋体"/>
                <w:kern w:val="0"/>
              </w:rPr>
            </w:pPr>
            <w:r>
              <w:rPr>
                <w:rFonts w:hint="eastAsia" w:ascii="宋体" w:hAnsi="宋体" w:cs="宋体"/>
                <w:spacing w:val="-10"/>
                <w:kern w:val="0"/>
              </w:rPr>
              <w:t>建立从业人员档案，留存身份证复印件及健康、培训档案</w:t>
            </w:r>
            <w:r>
              <w:rPr>
                <w:rFonts w:hint="eastAsia" w:ascii="宋体" w:hAnsi="宋体" w:cs="宋体"/>
                <w:kern w:val="0"/>
              </w:rPr>
              <w:t>。</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Layout w:type="fixed"/>
          <w:tblCellMar>
            <w:top w:w="0" w:type="dxa"/>
            <w:left w:w="108" w:type="dxa"/>
            <w:bottom w:w="0" w:type="dxa"/>
            <w:right w:w="108" w:type="dxa"/>
          </w:tblCellMar>
        </w:tblPrEx>
        <w:trPr>
          <w:trHeight w:val="967" w:hRule="exact"/>
        </w:trPr>
        <w:tc>
          <w:tcPr>
            <w:tcW w:w="1074" w:type="dxa"/>
            <w:vMerge w:val="continue"/>
            <w:vAlign w:val="center"/>
          </w:tcPr>
          <w:p>
            <w:pPr>
              <w:widowControl/>
              <w:jc w:val="left"/>
              <w:rPr>
                <w:rFonts w:ascii="宋体" w:hAnsi="宋体" w:cs="宋体"/>
                <w:kern w:val="0"/>
              </w:rPr>
            </w:pPr>
          </w:p>
        </w:tc>
        <w:tc>
          <w:tcPr>
            <w:tcW w:w="697" w:type="dxa"/>
            <w:vAlign w:val="center"/>
          </w:tcPr>
          <w:p>
            <w:pPr>
              <w:widowControl/>
              <w:jc w:val="center"/>
              <w:rPr>
                <w:rFonts w:ascii="宋体" w:hAnsi="宋体" w:cs="宋体"/>
                <w:kern w:val="0"/>
              </w:rPr>
            </w:pPr>
            <w:r>
              <w:rPr>
                <w:rFonts w:hint="eastAsia" w:ascii="宋体" w:hAnsi="宋体" w:cs="宋体"/>
                <w:kern w:val="0"/>
              </w:rPr>
              <w:t>95</w:t>
            </w:r>
          </w:p>
        </w:tc>
        <w:tc>
          <w:tcPr>
            <w:tcW w:w="6590" w:type="dxa"/>
            <w:vAlign w:val="center"/>
          </w:tcPr>
          <w:p>
            <w:pPr>
              <w:widowControl/>
              <w:spacing w:line="320" w:lineRule="exact"/>
              <w:jc w:val="left"/>
              <w:rPr>
                <w:rFonts w:ascii="宋体" w:hAnsi="宋体" w:cs="宋体"/>
                <w:kern w:val="0"/>
              </w:rPr>
            </w:pPr>
            <w:r>
              <w:rPr>
                <w:rFonts w:hint="eastAsia" w:ascii="宋体" w:hAnsi="宋体" w:cs="宋体"/>
                <w:kern w:val="0"/>
              </w:rPr>
              <w:t>规范完整填写餐具消毒记录、员工晨检记录、消防设备检查记录、购进原料索证记录、出入库记录等质量管理文件记录，以及政府监督部门要求填写保存的其他工作记录。</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Layout w:type="fixed"/>
          <w:tblCellMar>
            <w:top w:w="0" w:type="dxa"/>
            <w:left w:w="108" w:type="dxa"/>
            <w:bottom w:w="0" w:type="dxa"/>
            <w:right w:w="108" w:type="dxa"/>
          </w:tblCellMar>
        </w:tblPrEx>
        <w:trPr>
          <w:trHeight w:val="529" w:hRule="exact"/>
        </w:trPr>
        <w:tc>
          <w:tcPr>
            <w:tcW w:w="1074" w:type="dxa"/>
            <w:vMerge w:val="restart"/>
            <w:vAlign w:val="center"/>
          </w:tcPr>
          <w:p>
            <w:pPr>
              <w:widowControl/>
              <w:jc w:val="center"/>
              <w:rPr>
                <w:rFonts w:ascii="宋体" w:hAnsi="宋体" w:cs="宋体"/>
                <w:kern w:val="0"/>
              </w:rPr>
            </w:pPr>
            <w:r>
              <w:rPr>
                <w:rFonts w:hint="eastAsia" w:ascii="宋体" w:hAnsi="宋体" w:cs="宋体"/>
                <w:kern w:val="0"/>
              </w:rPr>
              <w:t>其他</w:t>
            </w:r>
            <w:r>
              <w:rPr>
                <w:rFonts w:hint="eastAsia" w:ascii="宋体" w:hAnsi="宋体"/>
              </w:rPr>
              <w:br w:type="page"/>
            </w:r>
          </w:p>
        </w:tc>
        <w:tc>
          <w:tcPr>
            <w:tcW w:w="697" w:type="dxa"/>
            <w:vAlign w:val="center"/>
          </w:tcPr>
          <w:p>
            <w:pPr>
              <w:widowControl/>
              <w:jc w:val="center"/>
              <w:rPr>
                <w:rFonts w:ascii="宋体" w:hAnsi="宋体" w:cs="宋体"/>
                <w:kern w:val="0"/>
              </w:rPr>
            </w:pPr>
            <w:r>
              <w:rPr>
                <w:rFonts w:hint="eastAsia" w:ascii="宋体" w:hAnsi="宋体" w:cs="宋体"/>
                <w:kern w:val="0"/>
              </w:rPr>
              <w:t>96</w:t>
            </w:r>
          </w:p>
        </w:tc>
        <w:tc>
          <w:tcPr>
            <w:tcW w:w="6590" w:type="dxa"/>
            <w:vAlign w:val="center"/>
          </w:tcPr>
          <w:p>
            <w:pPr>
              <w:widowControl/>
              <w:spacing w:line="320" w:lineRule="exact"/>
              <w:jc w:val="left"/>
              <w:rPr>
                <w:rFonts w:ascii="宋体" w:hAnsi="宋体" w:cs="宋体"/>
                <w:kern w:val="0"/>
              </w:rPr>
            </w:pPr>
            <w:r>
              <w:rPr>
                <w:rFonts w:hint="eastAsia" w:ascii="宋体" w:hAnsi="宋体" w:cs="宋体"/>
                <w:kern w:val="0"/>
              </w:rPr>
              <w:t>食堂所有经营窗口禁止收取现金。</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Layout w:type="fixed"/>
          <w:tblCellMar>
            <w:top w:w="0" w:type="dxa"/>
            <w:left w:w="108" w:type="dxa"/>
            <w:bottom w:w="0" w:type="dxa"/>
            <w:right w:w="108" w:type="dxa"/>
          </w:tblCellMar>
        </w:tblPrEx>
        <w:trPr>
          <w:trHeight w:val="755" w:hRule="exact"/>
        </w:trPr>
        <w:tc>
          <w:tcPr>
            <w:tcW w:w="1074" w:type="dxa"/>
            <w:vMerge w:val="continue"/>
            <w:vAlign w:val="center"/>
          </w:tcPr>
          <w:p>
            <w:pPr>
              <w:jc w:val="left"/>
              <w:rPr>
                <w:rFonts w:ascii="宋体" w:hAnsi="宋体" w:cs="宋体"/>
                <w:kern w:val="0"/>
              </w:rPr>
            </w:pPr>
          </w:p>
        </w:tc>
        <w:tc>
          <w:tcPr>
            <w:tcW w:w="697" w:type="dxa"/>
            <w:vAlign w:val="center"/>
          </w:tcPr>
          <w:p>
            <w:pPr>
              <w:widowControl/>
              <w:jc w:val="center"/>
              <w:rPr>
                <w:rFonts w:ascii="宋体" w:hAnsi="宋体" w:cs="宋体"/>
                <w:kern w:val="0"/>
              </w:rPr>
            </w:pPr>
            <w:r>
              <w:rPr>
                <w:rFonts w:hint="eastAsia" w:ascii="宋体" w:hAnsi="宋体" w:cs="宋体"/>
                <w:kern w:val="0"/>
              </w:rPr>
              <w:t>97</w:t>
            </w:r>
          </w:p>
        </w:tc>
        <w:tc>
          <w:tcPr>
            <w:tcW w:w="6590" w:type="dxa"/>
            <w:vAlign w:val="center"/>
          </w:tcPr>
          <w:p>
            <w:pPr>
              <w:widowControl/>
              <w:spacing w:line="340" w:lineRule="exact"/>
              <w:jc w:val="left"/>
              <w:rPr>
                <w:rFonts w:ascii="宋体" w:hAnsi="宋体" w:cs="宋体"/>
                <w:kern w:val="0"/>
              </w:rPr>
            </w:pPr>
            <w:r>
              <w:rPr>
                <w:rFonts w:hint="eastAsia" w:ascii="宋体" w:hAnsi="宋体" w:cs="宋体"/>
                <w:kern w:val="0"/>
              </w:rPr>
              <w:t>禁止私自采购食品原材料。无论是现场发现，还是分析数据发现，均按标准处收违约金。</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Layout w:type="fixed"/>
          <w:tblCellMar>
            <w:top w:w="0" w:type="dxa"/>
            <w:left w:w="108" w:type="dxa"/>
            <w:bottom w:w="0" w:type="dxa"/>
            <w:right w:w="108" w:type="dxa"/>
          </w:tblCellMar>
        </w:tblPrEx>
        <w:trPr>
          <w:trHeight w:val="680" w:hRule="exact"/>
        </w:trPr>
        <w:tc>
          <w:tcPr>
            <w:tcW w:w="1074" w:type="dxa"/>
            <w:vMerge w:val="continue"/>
            <w:vAlign w:val="center"/>
          </w:tcPr>
          <w:p>
            <w:pPr>
              <w:widowControl/>
              <w:jc w:val="left"/>
              <w:rPr>
                <w:rFonts w:ascii="宋体" w:hAnsi="宋体" w:cs="宋体"/>
                <w:kern w:val="0"/>
              </w:rPr>
            </w:pPr>
          </w:p>
        </w:tc>
        <w:tc>
          <w:tcPr>
            <w:tcW w:w="697" w:type="dxa"/>
            <w:vAlign w:val="center"/>
          </w:tcPr>
          <w:p>
            <w:pPr>
              <w:widowControl/>
              <w:jc w:val="center"/>
              <w:rPr>
                <w:rFonts w:ascii="宋体" w:hAnsi="宋体" w:cs="宋体"/>
                <w:kern w:val="0"/>
              </w:rPr>
            </w:pPr>
            <w:r>
              <w:rPr>
                <w:rFonts w:hint="eastAsia" w:ascii="宋体" w:hAnsi="宋体" w:cs="宋体"/>
                <w:kern w:val="0"/>
              </w:rPr>
              <w:t>98</w:t>
            </w:r>
          </w:p>
        </w:tc>
        <w:tc>
          <w:tcPr>
            <w:tcW w:w="6590" w:type="dxa"/>
            <w:vAlign w:val="center"/>
          </w:tcPr>
          <w:p>
            <w:pPr>
              <w:widowControl/>
              <w:spacing w:line="340" w:lineRule="exact"/>
              <w:jc w:val="left"/>
              <w:rPr>
                <w:rFonts w:ascii="宋体" w:hAnsi="宋体" w:cs="宋体"/>
                <w:kern w:val="0"/>
              </w:rPr>
            </w:pPr>
            <w:r>
              <w:rPr>
                <w:rFonts w:hint="eastAsia" w:ascii="宋体" w:hAnsi="宋体" w:cs="宋体"/>
                <w:kern w:val="0"/>
              </w:rPr>
              <w:t>禁止窗口未经允许私自乱涨价。禁止出现服务质量差等问题造成恶劣影响的师生投诉。</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Layout w:type="fixed"/>
          <w:tblCellMar>
            <w:top w:w="0" w:type="dxa"/>
            <w:left w:w="108" w:type="dxa"/>
            <w:bottom w:w="0" w:type="dxa"/>
            <w:right w:w="108" w:type="dxa"/>
          </w:tblCellMar>
        </w:tblPrEx>
        <w:trPr>
          <w:trHeight w:val="401" w:hRule="exact"/>
        </w:trPr>
        <w:tc>
          <w:tcPr>
            <w:tcW w:w="1074" w:type="dxa"/>
            <w:vMerge w:val="continue"/>
            <w:vAlign w:val="center"/>
          </w:tcPr>
          <w:p>
            <w:pPr>
              <w:widowControl/>
              <w:jc w:val="left"/>
              <w:rPr>
                <w:rFonts w:ascii="宋体" w:hAnsi="宋体" w:cs="宋体"/>
                <w:kern w:val="0"/>
              </w:rPr>
            </w:pPr>
          </w:p>
        </w:tc>
        <w:tc>
          <w:tcPr>
            <w:tcW w:w="697" w:type="dxa"/>
            <w:vAlign w:val="center"/>
          </w:tcPr>
          <w:p>
            <w:pPr>
              <w:widowControl/>
              <w:jc w:val="center"/>
              <w:rPr>
                <w:rFonts w:ascii="宋体" w:hAnsi="宋体" w:cs="宋体"/>
                <w:kern w:val="0"/>
              </w:rPr>
            </w:pPr>
            <w:r>
              <w:rPr>
                <w:rFonts w:hint="eastAsia" w:ascii="宋体" w:hAnsi="宋体" w:cs="宋体"/>
                <w:kern w:val="0"/>
              </w:rPr>
              <w:t>99</w:t>
            </w:r>
          </w:p>
        </w:tc>
        <w:tc>
          <w:tcPr>
            <w:tcW w:w="6590" w:type="dxa"/>
            <w:vAlign w:val="center"/>
          </w:tcPr>
          <w:p>
            <w:pPr>
              <w:widowControl/>
              <w:spacing w:line="340" w:lineRule="exact"/>
              <w:jc w:val="left"/>
              <w:rPr>
                <w:rFonts w:ascii="宋体" w:hAnsi="宋体" w:cs="宋体"/>
                <w:kern w:val="0"/>
              </w:rPr>
            </w:pPr>
            <w:r>
              <w:rPr>
                <w:rFonts w:hint="eastAsia" w:ascii="宋体" w:hAnsi="宋体" w:cs="宋体"/>
                <w:kern w:val="0"/>
              </w:rPr>
              <w:t>窗口之间有矛盾或发生冲突。</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Layout w:type="fixed"/>
          <w:tblCellMar>
            <w:top w:w="0" w:type="dxa"/>
            <w:left w:w="108" w:type="dxa"/>
            <w:bottom w:w="0" w:type="dxa"/>
            <w:right w:w="108" w:type="dxa"/>
          </w:tblCellMar>
        </w:tblPrEx>
        <w:trPr>
          <w:trHeight w:val="440" w:hRule="exact"/>
        </w:trPr>
        <w:tc>
          <w:tcPr>
            <w:tcW w:w="1074" w:type="dxa"/>
            <w:vMerge w:val="continue"/>
            <w:tcBorders>
              <w:bottom w:val="single" w:color="auto" w:sz="4" w:space="0"/>
            </w:tcBorders>
            <w:vAlign w:val="center"/>
          </w:tcPr>
          <w:p>
            <w:pPr>
              <w:widowControl/>
              <w:jc w:val="left"/>
              <w:rPr>
                <w:rFonts w:ascii="宋体" w:hAnsi="宋体" w:cs="宋体"/>
                <w:kern w:val="0"/>
              </w:rPr>
            </w:pPr>
          </w:p>
        </w:tc>
        <w:tc>
          <w:tcPr>
            <w:tcW w:w="697" w:type="dxa"/>
            <w:tcBorders>
              <w:bottom w:val="single" w:color="auto" w:sz="4" w:space="0"/>
            </w:tcBorders>
            <w:vAlign w:val="center"/>
          </w:tcPr>
          <w:p>
            <w:pPr>
              <w:widowControl/>
              <w:jc w:val="center"/>
              <w:rPr>
                <w:rFonts w:ascii="宋体" w:hAnsi="宋体" w:cs="宋体"/>
                <w:kern w:val="0"/>
              </w:rPr>
            </w:pPr>
            <w:r>
              <w:rPr>
                <w:rFonts w:hint="eastAsia" w:ascii="宋体" w:hAnsi="宋体" w:cs="宋体"/>
                <w:kern w:val="0"/>
              </w:rPr>
              <w:t>100</w:t>
            </w:r>
          </w:p>
        </w:tc>
        <w:tc>
          <w:tcPr>
            <w:tcW w:w="6590" w:type="dxa"/>
            <w:tcBorders>
              <w:bottom w:val="single" w:color="auto" w:sz="4" w:space="0"/>
            </w:tcBorders>
            <w:vAlign w:val="center"/>
          </w:tcPr>
          <w:p>
            <w:pPr>
              <w:widowControl/>
              <w:spacing w:line="340" w:lineRule="exact"/>
              <w:jc w:val="left"/>
              <w:rPr>
                <w:rFonts w:ascii="宋体" w:hAnsi="宋体" w:cs="宋体"/>
                <w:kern w:val="0"/>
              </w:rPr>
            </w:pPr>
            <w:r>
              <w:rPr>
                <w:rFonts w:hint="eastAsia" w:ascii="宋体" w:hAnsi="宋体" w:cs="宋体"/>
                <w:kern w:val="0"/>
              </w:rPr>
              <w:t>每餐按计划生产，及时做好申购工作。</w:t>
            </w:r>
          </w:p>
        </w:tc>
      </w:tr>
    </w:tbl>
    <w:p>
      <w:pPr>
        <w:pStyle w:val="17"/>
        <w:ind w:firstLine="420"/>
        <w:rPr>
          <w:rFonts w:ascii="宋体" w:hAnsi="宋体" w:eastAsia="宋体" w:cs="宋体"/>
          <w:kern w:val="0"/>
          <w:sz w:val="21"/>
          <w:szCs w:val="21"/>
        </w:rPr>
      </w:pPr>
      <w:r>
        <w:rPr>
          <w:rFonts w:hint="eastAsia" w:ascii="宋体" w:hAnsi="宋体" w:eastAsia="宋体" w:cs="宋体"/>
          <w:kern w:val="0"/>
          <w:sz w:val="21"/>
          <w:szCs w:val="21"/>
        </w:rPr>
        <w:t>注：生活服务中心、学生伙管部成立检查组，每月至少2次到各食堂检查考核，严格按《实施细则》现场打分，并现场录像取证。生活服务中心管理员每天巡查食堂，依据《实施细则》督促食堂改进安全生产工作。</w:t>
      </w:r>
    </w:p>
    <w:p>
      <w:pPr>
        <w:jc w:val="center"/>
        <w:rPr>
          <w:b/>
          <w:sz w:val="32"/>
          <w:szCs w:val="32"/>
        </w:rPr>
      </w:pPr>
    </w:p>
    <w:p>
      <w:pPr>
        <w:jc w:val="center"/>
        <w:rPr>
          <w:b/>
          <w:sz w:val="32"/>
          <w:szCs w:val="32"/>
        </w:rPr>
      </w:pPr>
    </w:p>
    <w:p>
      <w:pPr>
        <w:jc w:val="center"/>
        <w:rPr>
          <w:b/>
          <w:sz w:val="32"/>
          <w:szCs w:val="32"/>
        </w:rPr>
      </w:pPr>
    </w:p>
    <w:p>
      <w:pPr>
        <w:pStyle w:val="2"/>
        <w:rPr>
          <w:b/>
          <w:color w:val="auto"/>
          <w:sz w:val="32"/>
          <w:szCs w:val="32"/>
        </w:rPr>
      </w:pPr>
    </w:p>
    <w:p>
      <w:pPr>
        <w:rPr>
          <w:b/>
          <w:sz w:val="32"/>
          <w:szCs w:val="32"/>
        </w:rPr>
      </w:pPr>
    </w:p>
    <w:p>
      <w:pPr>
        <w:jc w:val="left"/>
        <w:rPr>
          <w:b/>
          <w:sz w:val="32"/>
          <w:szCs w:val="32"/>
        </w:rPr>
      </w:pPr>
      <w:r>
        <w:rPr>
          <w:rFonts w:hint="eastAsia"/>
          <w:b/>
          <w:sz w:val="32"/>
          <w:szCs w:val="32"/>
        </w:rPr>
        <w:t>附件3        盐城幼专食堂饮食安全卫生责任书</w:t>
      </w:r>
    </w:p>
    <w:p>
      <w:pPr>
        <w:spacing w:line="480" w:lineRule="exact"/>
        <w:rPr>
          <w:b/>
          <w:bCs/>
          <w:sz w:val="24"/>
        </w:rPr>
      </w:pPr>
      <w:r>
        <w:rPr>
          <w:rFonts w:hint="eastAsia"/>
          <w:b/>
          <w:bCs/>
          <w:sz w:val="24"/>
        </w:rPr>
        <w:t>甲方：</w:t>
      </w:r>
    </w:p>
    <w:p>
      <w:pPr>
        <w:spacing w:line="480" w:lineRule="exact"/>
        <w:rPr>
          <w:b/>
          <w:bCs/>
          <w:sz w:val="24"/>
        </w:rPr>
      </w:pPr>
      <w:r>
        <w:rPr>
          <w:rFonts w:hint="eastAsia"/>
          <w:b/>
          <w:bCs/>
          <w:sz w:val="24"/>
        </w:rPr>
        <w:t>乙方：</w:t>
      </w:r>
    </w:p>
    <w:p>
      <w:pPr>
        <w:spacing w:line="460" w:lineRule="exact"/>
        <w:rPr>
          <w:sz w:val="24"/>
        </w:rPr>
      </w:pPr>
      <w:r>
        <w:rPr>
          <w:rFonts w:hint="eastAsia"/>
          <w:sz w:val="24"/>
        </w:rPr>
        <w:t xml:space="preserve">   为了保障学生身心健康，保证正常教育教学秩序， 根据《食品安全法》和省政府办公厅《关于切实加强对学校食品及餐饮管理》的要求，结合食堂餐饮服务外包协议书和实际情况，特签订如下责任书：</w:t>
      </w:r>
    </w:p>
    <w:p>
      <w:pPr>
        <w:spacing w:line="460" w:lineRule="exact"/>
        <w:ind w:firstLine="480" w:firstLineChars="200"/>
        <w:rPr>
          <w:rFonts w:ascii="黑体" w:eastAsia="黑体"/>
          <w:b/>
          <w:sz w:val="24"/>
        </w:rPr>
      </w:pPr>
      <w:r>
        <w:rPr>
          <w:rFonts w:hint="eastAsia" w:ascii="黑体" w:eastAsia="黑体"/>
          <w:b/>
          <w:sz w:val="24"/>
        </w:rPr>
        <w:t>一、卫生要求</w:t>
      </w:r>
    </w:p>
    <w:p>
      <w:pPr>
        <w:numPr>
          <w:ilvl w:val="0"/>
          <w:numId w:val="5"/>
        </w:numPr>
        <w:spacing w:line="460" w:lineRule="exact"/>
        <w:rPr>
          <w:rFonts w:ascii="黑体" w:eastAsia="黑体"/>
          <w:b/>
          <w:sz w:val="24"/>
        </w:rPr>
      </w:pPr>
      <w:r>
        <w:rPr>
          <w:rFonts w:hint="eastAsia" w:ascii="黑体" w:eastAsia="黑体"/>
          <w:b/>
          <w:sz w:val="24"/>
        </w:rPr>
        <w:t>食品卫生</w:t>
      </w:r>
    </w:p>
    <w:p>
      <w:pPr>
        <w:numPr>
          <w:ilvl w:val="0"/>
          <w:numId w:val="6"/>
        </w:numPr>
        <w:spacing w:line="460" w:lineRule="exact"/>
        <w:ind w:firstLine="480" w:firstLineChars="200"/>
        <w:rPr>
          <w:sz w:val="24"/>
        </w:rPr>
      </w:pPr>
      <w:r>
        <w:rPr>
          <w:rFonts w:hint="eastAsia"/>
          <w:sz w:val="24"/>
        </w:rPr>
        <w:t>禁止采购腐烂变质蔬菜、发芽土豆、四季豆等易发生食物中毒的原料；禁止采购无检疫印花猪肉、私宰肉或病死猪肉及其它质量低劣食物原料；禁止采购亚硝酸盐及其他非食品添加剂。禁止使用过期变质食品原料；禁止采购使用无厂名、无厂址、无生产日期保质期食品原料；禁止采购有毒、有害、无正规厂家生产的粮油等。肉、粮、油、盐、调味品等主要食品采购，乙方必须从甲方组织的供应商处定点采购。</w:t>
      </w:r>
    </w:p>
    <w:p>
      <w:pPr>
        <w:numPr>
          <w:ilvl w:val="0"/>
          <w:numId w:val="6"/>
        </w:numPr>
        <w:spacing w:line="460" w:lineRule="exact"/>
        <w:ind w:firstLine="480" w:firstLineChars="200"/>
        <w:rPr>
          <w:sz w:val="24"/>
        </w:rPr>
      </w:pPr>
      <w:r>
        <w:rPr>
          <w:rFonts w:hint="eastAsia"/>
          <w:sz w:val="24"/>
        </w:rPr>
        <w:t>严格执行食品原料索证制度，并要求供应商提供有效营业执照、卫生许可证、食品流通许可证明，每期原料检验检测证明等。</w:t>
      </w:r>
    </w:p>
    <w:p>
      <w:pPr>
        <w:spacing w:line="460" w:lineRule="exact"/>
        <w:ind w:firstLine="480" w:firstLineChars="200"/>
        <w:rPr>
          <w:sz w:val="24"/>
        </w:rPr>
      </w:pPr>
      <w:r>
        <w:rPr>
          <w:rFonts w:hint="eastAsia"/>
          <w:sz w:val="24"/>
        </w:rPr>
        <w:t>3、严格执行留样制度，坚持餐餐留样并如实登记。</w:t>
      </w:r>
    </w:p>
    <w:p>
      <w:pPr>
        <w:spacing w:line="460" w:lineRule="exact"/>
        <w:ind w:firstLine="480" w:firstLineChars="200"/>
        <w:rPr>
          <w:sz w:val="24"/>
        </w:rPr>
      </w:pPr>
      <w:r>
        <w:rPr>
          <w:rFonts w:hint="eastAsia"/>
          <w:sz w:val="24"/>
        </w:rPr>
        <w:t>4、制作过程中要做到捡净、洗清、无泥沙、无黄叶、死叶、无杂草等，苞心菜、青菜在菜池中必须浸泡30分钟以上；肉制品要用温水清洗后方可加工；荤素分区制作、存放。</w:t>
      </w:r>
    </w:p>
    <w:p>
      <w:pPr>
        <w:spacing w:line="460" w:lineRule="exact"/>
        <w:ind w:firstLine="480" w:firstLineChars="200"/>
        <w:rPr>
          <w:sz w:val="24"/>
        </w:rPr>
      </w:pPr>
      <w:r>
        <w:rPr>
          <w:rFonts w:hint="eastAsia"/>
          <w:sz w:val="24"/>
        </w:rPr>
        <w:t>5、正确处理好剩余饭菜，严禁出售隔餐、过夜、变质饭菜。</w:t>
      </w:r>
    </w:p>
    <w:p>
      <w:pPr>
        <w:spacing w:line="460" w:lineRule="exact"/>
        <w:ind w:firstLine="480" w:firstLineChars="200"/>
        <w:rPr>
          <w:rFonts w:ascii="黑体" w:eastAsia="黑体"/>
          <w:b/>
          <w:sz w:val="24"/>
        </w:rPr>
      </w:pPr>
      <w:r>
        <w:rPr>
          <w:rFonts w:hint="eastAsia" w:ascii="黑体" w:eastAsia="黑体"/>
          <w:b/>
          <w:sz w:val="24"/>
        </w:rPr>
        <w:t>(二) 厨具卫生</w:t>
      </w:r>
    </w:p>
    <w:p>
      <w:pPr>
        <w:spacing w:line="460" w:lineRule="exact"/>
        <w:ind w:firstLine="480" w:firstLineChars="200"/>
        <w:rPr>
          <w:sz w:val="24"/>
        </w:rPr>
      </w:pPr>
      <w:r>
        <w:rPr>
          <w:rFonts w:hint="eastAsia"/>
          <w:sz w:val="24"/>
        </w:rPr>
        <w:t>6、厨食具及就餐碗筷要每餐消毒（高温清洗、消毒），饭铲、粥勺、食品夹入池消毒，公用碗筷必须洗净、消毒、保洁。</w:t>
      </w:r>
    </w:p>
    <w:p>
      <w:pPr>
        <w:spacing w:line="460" w:lineRule="exact"/>
        <w:ind w:firstLine="480" w:firstLineChars="200"/>
        <w:rPr>
          <w:sz w:val="24"/>
        </w:rPr>
      </w:pPr>
      <w:r>
        <w:rPr>
          <w:rFonts w:hint="eastAsia"/>
          <w:sz w:val="24"/>
        </w:rPr>
        <w:t>7、冷藏冰柜必须经常整理清霜、刀具砧板及时清洗消毒，做到生熟分开、荤素分开，保持干净整洁，有明显标识，凡因制作过剩的菜肴疏菜不得隔餐，荤菜不得隔宿。隔餐荤菜必须放入冰箱，时间不得超过1天，馅心（料）冷藏（冻）时间不得超过两天，冰箱要求每周彻底清洗一次，否则予以相应的处罚。</w:t>
      </w:r>
    </w:p>
    <w:p>
      <w:pPr>
        <w:spacing w:line="460" w:lineRule="exact"/>
        <w:ind w:firstLine="480" w:firstLineChars="200"/>
        <w:rPr>
          <w:rFonts w:ascii="黑体" w:eastAsia="黑体"/>
          <w:b/>
          <w:sz w:val="24"/>
        </w:rPr>
      </w:pPr>
      <w:r>
        <w:rPr>
          <w:rFonts w:hint="eastAsia" w:ascii="黑体" w:eastAsia="黑体"/>
          <w:b/>
          <w:sz w:val="24"/>
        </w:rPr>
        <w:t>（三）个人卫生</w:t>
      </w:r>
    </w:p>
    <w:p>
      <w:pPr>
        <w:spacing w:line="460" w:lineRule="exact"/>
        <w:ind w:firstLine="480" w:firstLineChars="200"/>
        <w:rPr>
          <w:sz w:val="24"/>
        </w:rPr>
      </w:pPr>
      <w:r>
        <w:rPr>
          <w:rFonts w:hint="eastAsia"/>
          <w:sz w:val="24"/>
        </w:rPr>
        <w:t>8、从业人员不得留胡须、不得留长指甲、不留长头发、不戴戒指、不涂口红、售饭时必须穿戴整洁工作衣帽和口罩，工作前手要冲洗消毒。</w:t>
      </w:r>
    </w:p>
    <w:p>
      <w:pPr>
        <w:spacing w:line="460" w:lineRule="exact"/>
        <w:ind w:firstLine="480" w:firstLineChars="200"/>
        <w:rPr>
          <w:sz w:val="24"/>
        </w:rPr>
      </w:pPr>
      <w:r>
        <w:rPr>
          <w:rFonts w:hint="eastAsia"/>
          <w:sz w:val="24"/>
        </w:rPr>
        <w:t>9、加工作业区域，从业人员不准吃口香糖或其他食物。从业人员不得在备餐间用餐。</w:t>
      </w:r>
    </w:p>
    <w:p>
      <w:pPr>
        <w:spacing w:line="460" w:lineRule="exact"/>
        <w:ind w:firstLine="480" w:firstLineChars="200"/>
        <w:rPr>
          <w:sz w:val="24"/>
        </w:rPr>
      </w:pPr>
      <w:r>
        <w:rPr>
          <w:rFonts w:hint="eastAsia"/>
          <w:sz w:val="24"/>
        </w:rPr>
        <w:t>10、从业人员必须办理健康证。</w:t>
      </w:r>
    </w:p>
    <w:p>
      <w:pPr>
        <w:spacing w:line="460" w:lineRule="exact"/>
        <w:ind w:firstLine="480" w:firstLineChars="200"/>
        <w:rPr>
          <w:rFonts w:ascii="黑体" w:eastAsia="黑体"/>
          <w:b/>
          <w:sz w:val="24"/>
        </w:rPr>
      </w:pPr>
      <w:r>
        <w:rPr>
          <w:rFonts w:hint="eastAsia" w:ascii="黑体" w:eastAsia="黑体"/>
          <w:b/>
          <w:sz w:val="24"/>
        </w:rPr>
        <w:t>（四）环境卫生</w:t>
      </w:r>
    </w:p>
    <w:p>
      <w:pPr>
        <w:spacing w:line="460" w:lineRule="exact"/>
        <w:ind w:firstLine="480" w:firstLineChars="200"/>
        <w:rPr>
          <w:sz w:val="24"/>
        </w:rPr>
      </w:pPr>
      <w:r>
        <w:rPr>
          <w:rFonts w:hint="eastAsia"/>
          <w:sz w:val="24"/>
        </w:rPr>
        <w:t>11、餐厅、各功能间内外、营业区的前厅、楼梯及门厅，保持无垃圾、无杂物、无灰尘无蜘蛛网等，做到窗明地净，物品摆放整齐有序。</w:t>
      </w:r>
    </w:p>
    <w:p>
      <w:pPr>
        <w:spacing w:line="460" w:lineRule="exact"/>
        <w:ind w:firstLine="480" w:firstLineChars="200"/>
        <w:rPr>
          <w:sz w:val="24"/>
        </w:rPr>
      </w:pPr>
      <w:r>
        <w:rPr>
          <w:rFonts w:hint="eastAsia"/>
          <w:sz w:val="24"/>
        </w:rPr>
        <w:t>12、配合做好防蝇、灭鼠、灭蟑螂工作，发现及时报告。</w:t>
      </w:r>
    </w:p>
    <w:p>
      <w:pPr>
        <w:spacing w:line="460" w:lineRule="exact"/>
        <w:ind w:firstLine="480" w:firstLineChars="200"/>
        <w:rPr>
          <w:sz w:val="24"/>
        </w:rPr>
      </w:pPr>
      <w:r>
        <w:rPr>
          <w:rFonts w:hint="eastAsia"/>
          <w:sz w:val="24"/>
        </w:rPr>
        <w:t>二、安全要求</w:t>
      </w:r>
    </w:p>
    <w:p>
      <w:pPr>
        <w:spacing w:line="460" w:lineRule="exact"/>
        <w:ind w:firstLine="480" w:firstLineChars="200"/>
        <w:rPr>
          <w:sz w:val="24"/>
        </w:rPr>
      </w:pPr>
      <w:r>
        <w:rPr>
          <w:rFonts w:hint="eastAsia"/>
          <w:sz w:val="24"/>
        </w:rPr>
        <w:t>13、人员安全管理：乙方应每天召开晨会，通过询问与观察等方式对在岗员工健康状况例行检查，如实填写《员工晨检表》、《食堂晨会》记录；严禁无关人员随意进出后场；严禁从业人员带未成年人进入食堂。</w:t>
      </w:r>
    </w:p>
    <w:p>
      <w:pPr>
        <w:spacing w:line="460" w:lineRule="exact"/>
        <w:ind w:firstLine="480" w:firstLineChars="200"/>
        <w:rPr>
          <w:sz w:val="24"/>
        </w:rPr>
      </w:pPr>
      <w:r>
        <w:rPr>
          <w:rFonts w:hint="eastAsia"/>
          <w:sz w:val="24"/>
        </w:rPr>
        <w:t>14、环境安全管理：乙方应每天巡查建筑安全隐患，及时维修。</w:t>
      </w:r>
    </w:p>
    <w:p>
      <w:pPr>
        <w:spacing w:line="460" w:lineRule="exact"/>
        <w:ind w:firstLine="480" w:firstLineChars="200"/>
        <w:rPr>
          <w:sz w:val="24"/>
        </w:rPr>
      </w:pPr>
      <w:r>
        <w:rPr>
          <w:rFonts w:hint="eastAsia"/>
          <w:sz w:val="24"/>
        </w:rPr>
        <w:t>15、水电气安全：乙方应按照规范要求使用合格材料，进行安装，一机一插；每餐结束及时关闭水、电、天然气阀门，并做好记录。</w:t>
      </w:r>
    </w:p>
    <w:p>
      <w:pPr>
        <w:spacing w:line="460" w:lineRule="exact"/>
        <w:ind w:firstLine="480" w:firstLineChars="200"/>
        <w:rPr>
          <w:sz w:val="24"/>
        </w:rPr>
      </w:pPr>
      <w:r>
        <w:rPr>
          <w:rFonts w:hint="eastAsia"/>
          <w:sz w:val="24"/>
        </w:rPr>
        <w:t>16、生产安全：乙方应加强机械设备使用、维护、保养管理，责任到人，张贴责任人标识，操作规范张贴在相关设备附近，设备运转出现异常，设备责任人应第一时间拉闸断电，及时报修，并挂出“设备异常、暂停使用”的公告牌；灶火操作期间，必须切断火源后方可离开灶台；消防灭火设备设施定期巡查，及时维修更换；排烟罩、挡火板责任到人，定期清积，保持干净；食堂区域内，不得吸烟。</w:t>
      </w:r>
    </w:p>
    <w:p>
      <w:pPr>
        <w:spacing w:line="460" w:lineRule="exact"/>
        <w:ind w:firstLine="480" w:firstLineChars="200"/>
        <w:rPr>
          <w:rFonts w:ascii="黑体" w:eastAsia="黑体"/>
          <w:b/>
          <w:sz w:val="24"/>
        </w:rPr>
      </w:pPr>
      <w:r>
        <w:rPr>
          <w:rFonts w:hint="eastAsia" w:ascii="黑体" w:eastAsia="黑体"/>
          <w:b/>
          <w:sz w:val="24"/>
        </w:rPr>
        <w:t>二、处罚规定</w:t>
      </w:r>
    </w:p>
    <w:p>
      <w:pPr>
        <w:spacing w:line="460" w:lineRule="exact"/>
        <w:ind w:firstLine="480" w:firstLineChars="200"/>
        <w:rPr>
          <w:sz w:val="24"/>
        </w:rPr>
      </w:pPr>
      <w:r>
        <w:rPr>
          <w:rFonts w:hint="eastAsia"/>
          <w:sz w:val="24"/>
        </w:rPr>
        <w:t>17、凡违反第1条款的，罚款2</w:t>
      </w:r>
      <w:r>
        <w:rPr>
          <w:rFonts w:hint="eastAsia" w:ascii="黑体" w:eastAsia="黑体"/>
          <w:b/>
          <w:sz w:val="24"/>
        </w:rPr>
        <w:t>000-5000</w:t>
      </w:r>
      <w:r>
        <w:rPr>
          <w:rFonts w:hint="eastAsia"/>
          <w:sz w:val="24"/>
        </w:rPr>
        <w:t>元/次。</w:t>
      </w:r>
    </w:p>
    <w:p>
      <w:pPr>
        <w:spacing w:line="460" w:lineRule="exact"/>
        <w:ind w:firstLine="480" w:firstLineChars="200"/>
        <w:rPr>
          <w:sz w:val="24"/>
        </w:rPr>
      </w:pPr>
      <w:r>
        <w:rPr>
          <w:rFonts w:hint="eastAsia"/>
          <w:sz w:val="24"/>
        </w:rPr>
        <w:t>18、凡违反第2条款的，罚款200--</w:t>
      </w:r>
      <w:r>
        <w:rPr>
          <w:rFonts w:hint="eastAsia" w:ascii="黑体" w:eastAsia="黑体"/>
          <w:b/>
          <w:sz w:val="24"/>
        </w:rPr>
        <w:t>1000</w:t>
      </w:r>
      <w:r>
        <w:rPr>
          <w:rFonts w:hint="eastAsia"/>
          <w:sz w:val="24"/>
        </w:rPr>
        <w:t>元/次。</w:t>
      </w:r>
    </w:p>
    <w:p>
      <w:pPr>
        <w:spacing w:line="460" w:lineRule="exact"/>
        <w:ind w:firstLine="480" w:firstLineChars="200"/>
        <w:rPr>
          <w:sz w:val="24"/>
        </w:rPr>
      </w:pPr>
      <w:r>
        <w:rPr>
          <w:rFonts w:hint="eastAsia"/>
          <w:sz w:val="24"/>
        </w:rPr>
        <w:t>19、凡违反第3条款的，罚款200--</w:t>
      </w:r>
      <w:r>
        <w:rPr>
          <w:rFonts w:hint="eastAsia" w:ascii="黑体" w:eastAsia="黑体"/>
          <w:b/>
          <w:sz w:val="24"/>
        </w:rPr>
        <w:t>500</w:t>
      </w:r>
      <w:r>
        <w:rPr>
          <w:rFonts w:hint="eastAsia"/>
          <w:sz w:val="24"/>
        </w:rPr>
        <w:t>元/次。</w:t>
      </w:r>
    </w:p>
    <w:p>
      <w:pPr>
        <w:spacing w:line="460" w:lineRule="exact"/>
        <w:ind w:firstLine="480" w:firstLineChars="200"/>
        <w:rPr>
          <w:sz w:val="24"/>
        </w:rPr>
      </w:pPr>
      <w:r>
        <w:rPr>
          <w:rFonts w:hint="eastAsia"/>
          <w:sz w:val="24"/>
        </w:rPr>
        <w:t>20、凡违反第4条款的，罚款50--</w:t>
      </w:r>
      <w:r>
        <w:rPr>
          <w:rFonts w:hint="eastAsia" w:ascii="黑体" w:eastAsia="黑体"/>
          <w:b/>
          <w:sz w:val="24"/>
        </w:rPr>
        <w:t>200</w:t>
      </w:r>
      <w:r>
        <w:rPr>
          <w:rFonts w:hint="eastAsia"/>
          <w:sz w:val="24"/>
        </w:rPr>
        <w:t>元/次。</w:t>
      </w:r>
    </w:p>
    <w:p>
      <w:pPr>
        <w:spacing w:line="460" w:lineRule="exact"/>
        <w:ind w:firstLine="480" w:firstLineChars="200"/>
        <w:rPr>
          <w:sz w:val="24"/>
        </w:rPr>
      </w:pPr>
      <w:r>
        <w:rPr>
          <w:rFonts w:hint="eastAsia"/>
          <w:sz w:val="24"/>
        </w:rPr>
        <w:t>21、凡违反第5条款的，罚款500--2</w:t>
      </w:r>
      <w:r>
        <w:rPr>
          <w:rFonts w:hint="eastAsia" w:ascii="黑体" w:eastAsia="黑体"/>
          <w:b/>
          <w:sz w:val="24"/>
        </w:rPr>
        <w:t>000</w:t>
      </w:r>
      <w:r>
        <w:rPr>
          <w:rFonts w:hint="eastAsia"/>
          <w:sz w:val="24"/>
        </w:rPr>
        <w:t>元/次。</w:t>
      </w:r>
    </w:p>
    <w:p>
      <w:pPr>
        <w:spacing w:line="460" w:lineRule="exact"/>
        <w:ind w:firstLine="480" w:firstLineChars="200"/>
        <w:rPr>
          <w:sz w:val="24"/>
        </w:rPr>
      </w:pPr>
      <w:r>
        <w:rPr>
          <w:rFonts w:hint="eastAsia"/>
          <w:sz w:val="24"/>
        </w:rPr>
        <w:t>22、凡违反第6条款的，罚款50--</w:t>
      </w:r>
      <w:r>
        <w:rPr>
          <w:rFonts w:hint="eastAsia" w:ascii="黑体" w:eastAsia="黑体"/>
          <w:b/>
          <w:sz w:val="24"/>
        </w:rPr>
        <w:t>200</w:t>
      </w:r>
      <w:r>
        <w:rPr>
          <w:rFonts w:hint="eastAsia"/>
          <w:sz w:val="24"/>
        </w:rPr>
        <w:t>元/次。</w:t>
      </w:r>
    </w:p>
    <w:p>
      <w:pPr>
        <w:spacing w:line="460" w:lineRule="exact"/>
        <w:ind w:firstLine="480" w:firstLineChars="200"/>
        <w:rPr>
          <w:sz w:val="24"/>
        </w:rPr>
      </w:pPr>
      <w:r>
        <w:rPr>
          <w:rFonts w:hint="eastAsia"/>
          <w:sz w:val="24"/>
        </w:rPr>
        <w:t>23、凡违反第7条款的，罚款</w:t>
      </w:r>
      <w:r>
        <w:rPr>
          <w:rFonts w:hint="eastAsia" w:ascii="黑体" w:eastAsia="黑体"/>
          <w:b/>
          <w:sz w:val="24"/>
        </w:rPr>
        <w:t>200</w:t>
      </w:r>
      <w:r>
        <w:rPr>
          <w:rFonts w:hint="eastAsia"/>
          <w:sz w:val="24"/>
        </w:rPr>
        <w:t>元/次；超过一周的，罚款</w:t>
      </w:r>
      <w:r>
        <w:rPr>
          <w:rFonts w:hint="eastAsia" w:ascii="黑体" w:eastAsia="黑体"/>
          <w:b/>
          <w:sz w:val="24"/>
        </w:rPr>
        <w:t>400</w:t>
      </w:r>
      <w:r>
        <w:rPr>
          <w:rFonts w:hint="eastAsia"/>
          <w:sz w:val="24"/>
        </w:rPr>
        <w:t>元/次。</w:t>
      </w:r>
    </w:p>
    <w:p>
      <w:pPr>
        <w:spacing w:line="460" w:lineRule="exact"/>
        <w:ind w:firstLine="480" w:firstLineChars="200"/>
        <w:rPr>
          <w:sz w:val="24"/>
        </w:rPr>
      </w:pPr>
      <w:r>
        <w:rPr>
          <w:rFonts w:hint="eastAsia"/>
          <w:sz w:val="24"/>
        </w:rPr>
        <w:t>24、凡违反第8条款的，罚款50--</w:t>
      </w:r>
      <w:r>
        <w:rPr>
          <w:rFonts w:hint="eastAsia" w:ascii="黑体" w:eastAsia="黑体"/>
          <w:b/>
          <w:sz w:val="24"/>
        </w:rPr>
        <w:t>200</w:t>
      </w:r>
      <w:r>
        <w:rPr>
          <w:rFonts w:hint="eastAsia"/>
          <w:sz w:val="24"/>
        </w:rPr>
        <w:t>元/次/人。</w:t>
      </w:r>
    </w:p>
    <w:p>
      <w:pPr>
        <w:spacing w:line="460" w:lineRule="exact"/>
        <w:ind w:firstLine="480" w:firstLineChars="200"/>
        <w:rPr>
          <w:sz w:val="24"/>
        </w:rPr>
      </w:pPr>
      <w:r>
        <w:rPr>
          <w:rFonts w:hint="eastAsia"/>
          <w:sz w:val="24"/>
        </w:rPr>
        <w:t>25、凡违反第9条款的，罚款50--</w:t>
      </w:r>
      <w:r>
        <w:rPr>
          <w:rFonts w:hint="eastAsia" w:ascii="黑体" w:eastAsia="黑体"/>
          <w:b/>
          <w:sz w:val="24"/>
        </w:rPr>
        <w:t>200</w:t>
      </w:r>
      <w:r>
        <w:rPr>
          <w:rFonts w:hint="eastAsia"/>
          <w:sz w:val="24"/>
        </w:rPr>
        <w:t>元/次/人。</w:t>
      </w:r>
    </w:p>
    <w:p>
      <w:pPr>
        <w:spacing w:line="460" w:lineRule="exact"/>
        <w:ind w:firstLine="480" w:firstLineChars="200"/>
        <w:rPr>
          <w:sz w:val="24"/>
        </w:rPr>
      </w:pPr>
      <w:r>
        <w:rPr>
          <w:rFonts w:hint="eastAsia"/>
          <w:sz w:val="24"/>
        </w:rPr>
        <w:t>26、凡违反第10条款的，罚款</w:t>
      </w:r>
      <w:r>
        <w:rPr>
          <w:rFonts w:hint="eastAsia" w:ascii="黑体" w:eastAsia="黑体"/>
          <w:b/>
          <w:sz w:val="24"/>
        </w:rPr>
        <w:t>500--2000</w:t>
      </w:r>
      <w:r>
        <w:rPr>
          <w:rFonts w:hint="eastAsia"/>
          <w:sz w:val="24"/>
        </w:rPr>
        <w:t>元/次。</w:t>
      </w:r>
    </w:p>
    <w:p>
      <w:pPr>
        <w:spacing w:line="460" w:lineRule="exact"/>
        <w:ind w:firstLine="480" w:firstLineChars="200"/>
        <w:rPr>
          <w:sz w:val="24"/>
        </w:rPr>
      </w:pPr>
      <w:r>
        <w:rPr>
          <w:rFonts w:hint="eastAsia"/>
          <w:sz w:val="24"/>
        </w:rPr>
        <w:t>27、凡违反第11条款的，罚款20--100元/次。</w:t>
      </w:r>
    </w:p>
    <w:p>
      <w:pPr>
        <w:spacing w:line="460" w:lineRule="exact"/>
        <w:ind w:firstLine="480" w:firstLineChars="200"/>
        <w:rPr>
          <w:sz w:val="24"/>
        </w:rPr>
      </w:pPr>
      <w:r>
        <w:rPr>
          <w:rFonts w:hint="eastAsia"/>
          <w:sz w:val="24"/>
        </w:rPr>
        <w:t>28、凡违反第12条款的，罚款</w:t>
      </w:r>
      <w:r>
        <w:rPr>
          <w:rFonts w:hint="eastAsia" w:ascii="黑体" w:eastAsia="黑体"/>
          <w:b/>
          <w:sz w:val="24"/>
        </w:rPr>
        <w:t>20--100</w:t>
      </w:r>
      <w:r>
        <w:rPr>
          <w:rFonts w:hint="eastAsia"/>
          <w:sz w:val="24"/>
        </w:rPr>
        <w:t>元/次。</w:t>
      </w:r>
    </w:p>
    <w:p>
      <w:pPr>
        <w:spacing w:line="460" w:lineRule="exact"/>
        <w:ind w:firstLine="480" w:firstLineChars="200"/>
        <w:rPr>
          <w:sz w:val="24"/>
        </w:rPr>
      </w:pPr>
      <w:r>
        <w:rPr>
          <w:rFonts w:hint="eastAsia"/>
          <w:sz w:val="24"/>
        </w:rPr>
        <w:t>29、凡违反第13条款的，罚款</w:t>
      </w:r>
      <w:r>
        <w:rPr>
          <w:rFonts w:hint="eastAsia" w:ascii="黑体" w:eastAsia="黑体"/>
          <w:b/>
          <w:sz w:val="24"/>
        </w:rPr>
        <w:t>20--100</w:t>
      </w:r>
      <w:r>
        <w:rPr>
          <w:rFonts w:hint="eastAsia"/>
          <w:sz w:val="24"/>
        </w:rPr>
        <w:t>元/次。</w:t>
      </w:r>
    </w:p>
    <w:p>
      <w:pPr>
        <w:spacing w:line="460" w:lineRule="exact"/>
        <w:ind w:firstLine="480" w:firstLineChars="200"/>
        <w:rPr>
          <w:sz w:val="24"/>
        </w:rPr>
      </w:pPr>
      <w:r>
        <w:rPr>
          <w:rFonts w:hint="eastAsia"/>
          <w:sz w:val="24"/>
        </w:rPr>
        <w:t>30、凡违反第14条款的，罚款</w:t>
      </w:r>
      <w:r>
        <w:rPr>
          <w:rFonts w:hint="eastAsia" w:ascii="黑体" w:eastAsia="黑体"/>
          <w:b/>
          <w:sz w:val="24"/>
        </w:rPr>
        <w:t>100--500</w:t>
      </w:r>
      <w:r>
        <w:rPr>
          <w:rFonts w:hint="eastAsia"/>
          <w:sz w:val="24"/>
        </w:rPr>
        <w:t>元/次。</w:t>
      </w:r>
    </w:p>
    <w:p>
      <w:pPr>
        <w:spacing w:line="460" w:lineRule="exact"/>
        <w:ind w:firstLine="480" w:firstLineChars="200"/>
        <w:rPr>
          <w:sz w:val="24"/>
        </w:rPr>
      </w:pPr>
      <w:r>
        <w:rPr>
          <w:rFonts w:hint="eastAsia"/>
          <w:sz w:val="24"/>
        </w:rPr>
        <w:t>31、凡违反第15条款的，罚款</w:t>
      </w:r>
      <w:r>
        <w:rPr>
          <w:rFonts w:hint="eastAsia" w:ascii="黑体" w:eastAsia="黑体"/>
          <w:b/>
          <w:sz w:val="24"/>
        </w:rPr>
        <w:t>200--1000</w:t>
      </w:r>
      <w:r>
        <w:rPr>
          <w:rFonts w:hint="eastAsia"/>
          <w:sz w:val="24"/>
        </w:rPr>
        <w:t>元/次。</w:t>
      </w:r>
    </w:p>
    <w:p>
      <w:pPr>
        <w:spacing w:line="460" w:lineRule="exact"/>
        <w:ind w:firstLine="480" w:firstLineChars="200"/>
        <w:rPr>
          <w:sz w:val="24"/>
        </w:rPr>
      </w:pPr>
      <w:r>
        <w:rPr>
          <w:rFonts w:hint="eastAsia"/>
          <w:sz w:val="24"/>
        </w:rPr>
        <w:t>32、凡违反第16条款的，罚款</w:t>
      </w:r>
      <w:r>
        <w:rPr>
          <w:rFonts w:hint="eastAsia" w:ascii="黑体" w:eastAsia="黑体"/>
          <w:b/>
          <w:sz w:val="24"/>
        </w:rPr>
        <w:t>500--2000</w:t>
      </w:r>
      <w:r>
        <w:rPr>
          <w:rFonts w:hint="eastAsia"/>
          <w:sz w:val="24"/>
        </w:rPr>
        <w:t>元/次。</w:t>
      </w:r>
    </w:p>
    <w:p>
      <w:pPr>
        <w:spacing w:line="460" w:lineRule="exact"/>
        <w:ind w:firstLine="480" w:firstLineChars="200"/>
        <w:rPr>
          <w:rFonts w:ascii="黑体" w:eastAsia="黑体"/>
          <w:b/>
          <w:sz w:val="24"/>
        </w:rPr>
      </w:pPr>
      <w:r>
        <w:rPr>
          <w:rFonts w:hint="eastAsia" w:ascii="黑体" w:eastAsia="黑体"/>
          <w:b/>
          <w:sz w:val="24"/>
        </w:rPr>
        <w:t>三、责任处罚。</w:t>
      </w:r>
    </w:p>
    <w:p>
      <w:pPr>
        <w:spacing w:line="460" w:lineRule="exact"/>
        <w:ind w:firstLine="480" w:firstLineChars="200"/>
        <w:rPr>
          <w:sz w:val="24"/>
        </w:rPr>
      </w:pPr>
      <w:r>
        <w:rPr>
          <w:rFonts w:hint="eastAsia"/>
          <w:sz w:val="24"/>
        </w:rPr>
        <w:t>33、乙方应严格执行《食品安全法》和国家、省、市关于食品安全的各项规定，坚决杜绝食物中毒事故的发生。发生食物安全事故的，由其引发的一切费用如医疗费、护理费、营养费以及学生家长的误工费、差旅费等由所经营的乙方全部承担，情节严重的按照《食品安全法》的有关规定追究其法律责任。同时学校将依据合同，视为乙方严重违约，立即取消合作经营服务资格，无条件退场。</w:t>
      </w:r>
    </w:p>
    <w:p>
      <w:pPr>
        <w:spacing w:line="460" w:lineRule="exact"/>
        <w:ind w:firstLine="480" w:firstLineChars="200"/>
        <w:rPr>
          <w:sz w:val="24"/>
        </w:rPr>
      </w:pPr>
      <w:r>
        <w:rPr>
          <w:rFonts w:hint="eastAsia"/>
          <w:sz w:val="24"/>
        </w:rPr>
        <w:t>34、乙方在毎一个承包周期期间，如果发生消防或用火或用电或用气等安全事故，一律视为乙方严重违约，立即取消合作经营服务资格，无条件退场。</w:t>
      </w:r>
    </w:p>
    <w:p>
      <w:pPr>
        <w:spacing w:line="460" w:lineRule="exact"/>
        <w:ind w:firstLine="480" w:firstLineChars="200"/>
        <w:rPr>
          <w:sz w:val="24"/>
        </w:rPr>
      </w:pPr>
      <w:r>
        <w:rPr>
          <w:rFonts w:hint="eastAsia"/>
          <w:sz w:val="24"/>
        </w:rPr>
        <w:t>35、乙方必须使用甲方的校园一卡通系统进行销售结算，乙方不得收取现金或使用非甲方指定的方式进行结算（比如微信、支付宝等），否则发现一次罚款10</w:t>
      </w:r>
      <w:r>
        <w:rPr>
          <w:rFonts w:hint="eastAsia" w:ascii="黑体" w:eastAsia="黑体"/>
          <w:b/>
          <w:sz w:val="24"/>
        </w:rPr>
        <w:t>00--5000</w:t>
      </w:r>
      <w:r>
        <w:rPr>
          <w:rFonts w:hint="eastAsia"/>
          <w:sz w:val="24"/>
        </w:rPr>
        <w:t>元。第一次按照要求进行罚款，如发现第二次立即停业整顿至甲方验收合格。</w:t>
      </w:r>
    </w:p>
    <w:p>
      <w:pPr>
        <w:spacing w:line="460" w:lineRule="exact"/>
        <w:ind w:firstLine="480" w:firstLineChars="200"/>
        <w:rPr>
          <w:sz w:val="24"/>
        </w:rPr>
      </w:pPr>
      <w:r>
        <w:rPr>
          <w:rFonts w:hint="eastAsia"/>
          <w:sz w:val="24"/>
        </w:rPr>
        <w:t>36、因各种原因，乙方被甲方处罚的情况将作为乙方履约的主要考核内容，在第二个合作经营服务期签约前作为主要考核依据。甲方有权不与被处罚三次及以上的乙方签署下一个合作周期合同。</w:t>
      </w:r>
    </w:p>
    <w:p>
      <w:pPr>
        <w:spacing w:line="460" w:lineRule="exact"/>
        <w:ind w:firstLine="480" w:firstLineChars="200"/>
        <w:rPr>
          <w:rFonts w:ascii="黑体" w:eastAsia="黑体"/>
          <w:b/>
          <w:sz w:val="24"/>
        </w:rPr>
      </w:pPr>
      <w:r>
        <w:rPr>
          <w:rFonts w:hint="eastAsia" w:ascii="黑体" w:eastAsia="黑体"/>
          <w:b/>
          <w:sz w:val="24"/>
        </w:rPr>
        <w:t>四、本责任书从签订之日起执行。</w:t>
      </w:r>
    </w:p>
    <w:p>
      <w:pPr>
        <w:pStyle w:val="2"/>
        <w:rPr>
          <w:rFonts w:ascii="黑体" w:eastAsia="黑体"/>
          <w:b/>
          <w:color w:val="auto"/>
        </w:rPr>
      </w:pPr>
    </w:p>
    <w:p>
      <w:pPr>
        <w:spacing w:line="420" w:lineRule="exact"/>
        <w:ind w:firstLine="480" w:firstLineChars="200"/>
        <w:rPr>
          <w:sz w:val="24"/>
        </w:rPr>
      </w:pPr>
      <w:r>
        <w:rPr>
          <w:rFonts w:hint="eastAsia"/>
          <w:sz w:val="24"/>
        </w:rPr>
        <w:t xml:space="preserve">甲方后勤管理处（盖章）                  具体负责人（签字） ： </w:t>
      </w:r>
    </w:p>
    <w:p>
      <w:pPr>
        <w:spacing w:line="420" w:lineRule="exact"/>
        <w:ind w:firstLine="480" w:firstLineChars="200"/>
        <w:rPr>
          <w:sz w:val="24"/>
        </w:rPr>
      </w:pPr>
    </w:p>
    <w:p>
      <w:pPr>
        <w:spacing w:line="420" w:lineRule="exact"/>
        <w:ind w:firstLine="480" w:firstLineChars="200"/>
        <w:rPr>
          <w:color w:val="auto"/>
        </w:rPr>
      </w:pPr>
      <w:r>
        <w:rPr>
          <w:rFonts w:hint="eastAsia"/>
          <w:sz w:val="24"/>
        </w:rPr>
        <w:t xml:space="preserve">乙方（盖章）                          项目负责人（签字）：  </w:t>
      </w:r>
    </w:p>
    <w:p>
      <w:pPr>
        <w:pStyle w:val="47"/>
        <w:rPr>
          <w:rFonts w:hint="eastAsia"/>
          <w:sz w:val="24"/>
        </w:rPr>
      </w:pPr>
      <w:r>
        <w:rPr>
          <w:rFonts w:hint="eastAsia"/>
          <w:sz w:val="24"/>
        </w:rPr>
        <w:t xml:space="preserve">                                               </w:t>
      </w:r>
      <w:r>
        <w:rPr>
          <w:rFonts w:hint="eastAsia" w:ascii="Times New Roman" w:hAnsi="Times New Roman" w:eastAsia="宋体" w:cs="Times New Roman"/>
          <w:b w:val="0"/>
          <w:bCs w:val="0"/>
          <w:kern w:val="2"/>
          <w:sz w:val="24"/>
          <w:szCs w:val="21"/>
          <w:lang w:val="en-US" w:eastAsia="zh-CN" w:bidi="ar-SA"/>
        </w:rPr>
        <w:t xml:space="preserve">2021年    月   日 </w:t>
      </w:r>
      <w:r>
        <w:rPr>
          <w:rFonts w:hint="eastAsia"/>
          <w:sz w:val="24"/>
        </w:rPr>
        <w:t xml:space="preserve"> </w:t>
      </w:r>
    </w:p>
    <w:p>
      <w:pPr>
        <w:pStyle w:val="47"/>
        <w:rPr>
          <w:rFonts w:asciiTheme="majorHAnsi"/>
        </w:rPr>
      </w:pPr>
      <w:r>
        <w:rPr>
          <w:rFonts w:hint="eastAsia" w:asciiTheme="majorHAnsi"/>
        </w:rPr>
        <w:t>第四章 项目需求</w:t>
      </w:r>
    </w:p>
    <w:bookmarkEnd w:id="0"/>
    <w:p>
      <w:pPr>
        <w:spacing w:line="480" w:lineRule="exact"/>
        <w:ind w:firstLine="480" w:firstLineChars="200"/>
        <w:jc w:val="left"/>
        <w:rPr>
          <w:rFonts w:ascii="宋体" w:hAnsi="宋体"/>
          <w:b/>
          <w:sz w:val="24"/>
        </w:rPr>
      </w:pPr>
      <w:r>
        <w:rPr>
          <w:rFonts w:hint="eastAsia" w:ascii="宋体" w:hAnsi="宋体"/>
          <w:b/>
          <w:sz w:val="24"/>
        </w:rPr>
        <w:t>一、环境提升总体要求</w:t>
      </w:r>
    </w:p>
    <w:p>
      <w:pPr>
        <w:spacing w:line="480" w:lineRule="exact"/>
        <w:ind w:firstLine="480" w:firstLineChars="200"/>
        <w:jc w:val="left"/>
        <w:rPr>
          <w:rFonts w:ascii="宋体" w:hAnsi="宋体"/>
          <w:sz w:val="24"/>
          <w:szCs w:val="24"/>
        </w:rPr>
      </w:pPr>
      <w:r>
        <w:rPr>
          <w:rFonts w:hint="eastAsia" w:ascii="宋体" w:hAnsi="宋体"/>
          <w:sz w:val="24"/>
          <w:szCs w:val="24"/>
        </w:rPr>
        <w:t>1.投标人按照各标段确定的基本大伙和经营风味特色餐饮窗口比例进行提升，提升后的食堂须符合《</w:t>
      </w:r>
      <w:r>
        <w:rPr>
          <w:rFonts w:ascii="宋体" w:hAnsi="宋体"/>
          <w:sz w:val="24"/>
          <w:szCs w:val="24"/>
        </w:rPr>
        <w:t>餐饮服务食品安全操作规范</w:t>
      </w:r>
      <w:r>
        <w:rPr>
          <w:rFonts w:hint="eastAsia" w:ascii="宋体" w:hAnsi="宋体"/>
          <w:sz w:val="24"/>
          <w:szCs w:val="24"/>
        </w:rPr>
        <w:t>》（国家市场监督管理总局[2018]12号）的要求，符合食品安全、消防安全、施工等国家规范要求，如因提升导致消防安全检查不过关的，均由中标人自行投入整改到位，否则责任由中标人承担。</w:t>
      </w:r>
    </w:p>
    <w:p>
      <w:pPr>
        <w:spacing w:line="480" w:lineRule="exact"/>
        <w:ind w:firstLine="480" w:firstLineChars="200"/>
        <w:jc w:val="left"/>
        <w:rPr>
          <w:rFonts w:ascii="宋体" w:hAnsi="宋体"/>
          <w:sz w:val="24"/>
          <w:szCs w:val="24"/>
        </w:rPr>
      </w:pPr>
      <w:r>
        <w:rPr>
          <w:rFonts w:hint="eastAsia" w:ascii="宋体" w:hAnsi="宋体"/>
          <w:sz w:val="24"/>
          <w:szCs w:val="24"/>
        </w:rPr>
        <w:t>2.提升投入范围包括但不限于食堂就餐区和后场所有功能间（包括但不限于备餐间、厨房、仓库等所有方面），及各类功能系统【包括但不限于强（弱）电系统、给排水系统、空调系统、监控系统、门禁系统等所有方面）】进行提升，以及必要的设备设施投入（包括但不限于餐厅吸顶空调、冰箱、炉灶、长龙式商用洗消烘一体机、各类机械设备等等）。</w:t>
      </w:r>
    </w:p>
    <w:p>
      <w:pPr>
        <w:spacing w:line="480" w:lineRule="exact"/>
        <w:ind w:firstLine="480" w:firstLineChars="200"/>
        <w:jc w:val="left"/>
        <w:rPr>
          <w:rFonts w:ascii="宋体" w:hAnsi="宋体"/>
          <w:sz w:val="24"/>
          <w:szCs w:val="24"/>
        </w:rPr>
      </w:pPr>
      <w:r>
        <w:rPr>
          <w:rFonts w:hint="eastAsia" w:ascii="宋体" w:hAnsi="宋体"/>
          <w:sz w:val="24"/>
          <w:szCs w:val="24"/>
        </w:rPr>
        <w:t>3.签订合同前，中标人须向招标人报送详细的提升施工图和预算清单，以及设备设施投入预算清单。提升预算和安装预算按一般计税方式，执行《建设工程工程量清单计价规范》（GB50500-2013）及配套的《工程量计算规范》、2014年《江苏省建筑与装饰工程计价定额》、《江苏省安装工程计价定额》、2014年《江苏省建设工程费用定额》、关于营改增后工程计价依据调整内容（苏建价[2016]154号）及省住房城乡建设厅关于建筑业增值税计价政策调整的通知（苏建函价[2018]298号）及相关计价文件的规定，并充分征求招标人意见后，招标人方与中标人签订合同。</w:t>
      </w:r>
    </w:p>
    <w:p>
      <w:pPr>
        <w:spacing w:line="480" w:lineRule="exact"/>
        <w:ind w:firstLine="480" w:firstLineChars="200"/>
        <w:jc w:val="left"/>
        <w:rPr>
          <w:rFonts w:ascii="宋体" w:hAnsi="宋体"/>
          <w:b/>
          <w:sz w:val="24"/>
          <w:szCs w:val="24"/>
        </w:rPr>
      </w:pPr>
      <w:r>
        <w:rPr>
          <w:rFonts w:hint="eastAsia" w:ascii="宋体" w:hAnsi="宋体"/>
          <w:b/>
          <w:sz w:val="24"/>
          <w:szCs w:val="24"/>
        </w:rPr>
        <w:t>二、食堂就餐区</w:t>
      </w:r>
      <w:r>
        <w:rPr>
          <w:rFonts w:hint="eastAsia" w:ascii="宋体" w:hAnsi="宋体" w:cs="宋体"/>
          <w:b/>
          <w:sz w:val="24"/>
          <w:szCs w:val="24"/>
        </w:rPr>
        <w:t>提升</w:t>
      </w:r>
      <w:r>
        <w:rPr>
          <w:rFonts w:hint="eastAsia" w:ascii="宋体" w:hAnsi="宋体"/>
          <w:b/>
          <w:sz w:val="24"/>
          <w:szCs w:val="24"/>
        </w:rPr>
        <w:t>要求</w:t>
      </w:r>
    </w:p>
    <w:p>
      <w:pPr>
        <w:spacing w:line="480" w:lineRule="exact"/>
        <w:ind w:firstLine="480" w:firstLineChars="200"/>
        <w:jc w:val="left"/>
        <w:rPr>
          <w:rFonts w:ascii="宋体" w:hAnsi="宋体"/>
          <w:sz w:val="24"/>
          <w:szCs w:val="24"/>
        </w:rPr>
      </w:pPr>
      <w:r>
        <w:rPr>
          <w:rFonts w:hint="eastAsia" w:ascii="宋体" w:hAnsi="宋体"/>
          <w:b/>
          <w:sz w:val="24"/>
          <w:szCs w:val="24"/>
        </w:rPr>
        <w:t>1．功能及布局要求：</w:t>
      </w:r>
      <w:r>
        <w:rPr>
          <w:rFonts w:hint="eastAsia" w:ascii="宋体" w:hAnsi="宋体"/>
          <w:sz w:val="24"/>
          <w:szCs w:val="24"/>
        </w:rPr>
        <w:t>以满足学生就餐、小型社团活动、阅读休闲等多样化需求，设置功能分区；结合餐厅规模、档次、经营风格等因素谋划空间设计，使得各功能区比例恰当、布局合理、实现环境协调和经营实用相统一；配备与各区域功能相适应的桌椅。</w:t>
      </w:r>
    </w:p>
    <w:p>
      <w:pPr>
        <w:spacing w:line="480" w:lineRule="exact"/>
        <w:ind w:firstLine="480" w:firstLineChars="200"/>
        <w:jc w:val="left"/>
        <w:rPr>
          <w:rFonts w:ascii="宋体" w:hAnsi="宋体"/>
          <w:sz w:val="24"/>
          <w:szCs w:val="24"/>
        </w:rPr>
      </w:pPr>
      <w:r>
        <w:rPr>
          <w:rFonts w:hint="eastAsia" w:ascii="宋体" w:hAnsi="宋体"/>
          <w:b/>
          <w:sz w:val="24"/>
          <w:szCs w:val="24"/>
        </w:rPr>
        <w:t>2．设计风格要求：</w:t>
      </w:r>
      <w:r>
        <w:rPr>
          <w:rFonts w:hint="eastAsia" w:ascii="宋体" w:hAnsi="宋体"/>
          <w:sz w:val="24"/>
          <w:szCs w:val="24"/>
        </w:rPr>
        <w:t>餐厅</w:t>
      </w:r>
      <w:r>
        <w:rPr>
          <w:rFonts w:hint="eastAsia" w:ascii="宋体" w:hAnsi="宋体" w:cs="宋体"/>
          <w:bCs/>
          <w:sz w:val="24"/>
          <w:szCs w:val="24"/>
        </w:rPr>
        <w:t>整体格局整洁、明快，文化软环境布置</w:t>
      </w:r>
      <w:r>
        <w:rPr>
          <w:rFonts w:hint="eastAsia" w:ascii="宋体" w:hAnsi="宋体"/>
          <w:sz w:val="24"/>
          <w:szCs w:val="24"/>
        </w:rPr>
        <w:t>体现我校办学特色和文化内涵（如历史传承、办学特色、菜系文化、地方文化等）。</w:t>
      </w:r>
    </w:p>
    <w:p>
      <w:pPr>
        <w:spacing w:line="480" w:lineRule="exact"/>
        <w:ind w:firstLine="480" w:firstLineChars="200"/>
        <w:jc w:val="left"/>
        <w:rPr>
          <w:rFonts w:ascii="宋体" w:hAnsi="宋体" w:cs="宋体"/>
          <w:bCs/>
          <w:sz w:val="24"/>
          <w:szCs w:val="24"/>
        </w:rPr>
      </w:pPr>
      <w:r>
        <w:rPr>
          <w:rFonts w:hint="eastAsia" w:ascii="宋体" w:hAnsi="宋体" w:cs="宋体"/>
          <w:b/>
          <w:bCs/>
          <w:sz w:val="24"/>
          <w:szCs w:val="24"/>
        </w:rPr>
        <w:t>3．功能系统要求：</w:t>
      </w:r>
      <w:r>
        <w:rPr>
          <w:rFonts w:hint="eastAsia" w:ascii="宋体" w:hAnsi="宋体" w:cs="宋体"/>
          <w:bCs/>
          <w:sz w:val="24"/>
          <w:szCs w:val="24"/>
        </w:rPr>
        <w:t>安装监控系统（包含明厨亮灶工程、重点位置、无死角全方位）、空调系统（含风扇）、音（视）频系统、无线网、照明（插座）系统等功能系统及相关设备。存储器要求存储时间一个月。</w:t>
      </w:r>
    </w:p>
    <w:p>
      <w:pPr>
        <w:spacing w:line="480" w:lineRule="exact"/>
        <w:ind w:firstLine="480" w:firstLineChars="200"/>
        <w:jc w:val="left"/>
        <w:rPr>
          <w:rFonts w:ascii="宋体" w:hAnsi="宋体"/>
          <w:bCs/>
          <w:sz w:val="24"/>
          <w:szCs w:val="24"/>
        </w:rPr>
      </w:pPr>
      <w:r>
        <w:rPr>
          <w:rFonts w:hint="eastAsia" w:ascii="宋体" w:hAnsi="宋体" w:cs="宋体"/>
          <w:b/>
          <w:bCs/>
          <w:sz w:val="24"/>
          <w:szCs w:val="24"/>
        </w:rPr>
        <w:t>4．重点部位要求：</w:t>
      </w:r>
      <w:r>
        <w:rPr>
          <w:rFonts w:hint="eastAsia" w:ascii="宋体" w:hAnsi="宋体" w:cs="宋体"/>
          <w:bCs/>
          <w:sz w:val="24"/>
          <w:szCs w:val="24"/>
        </w:rPr>
        <w:t>设置专门收餐柜、餐桌椅更换、地面材料根据需要可设计大理石或瓷砖(分区设计</w:t>
      </w:r>
      <w:r>
        <w:rPr>
          <w:rFonts w:hint="eastAsia" w:ascii="宋体" w:hAnsi="宋体"/>
          <w:bCs/>
          <w:sz w:val="24"/>
          <w:szCs w:val="24"/>
        </w:rPr>
        <w:t>)、墙壁乳胶漆、顶面创意吊顶；更换门窗、设置宣传栏、隔断分区。</w:t>
      </w:r>
    </w:p>
    <w:p>
      <w:pPr>
        <w:spacing w:line="480" w:lineRule="exact"/>
        <w:ind w:firstLine="480" w:firstLineChars="200"/>
        <w:jc w:val="left"/>
        <w:rPr>
          <w:rFonts w:ascii="宋体" w:hAnsi="宋体" w:cs="宋体"/>
          <w:b/>
          <w:sz w:val="24"/>
          <w:szCs w:val="24"/>
        </w:rPr>
      </w:pPr>
      <w:r>
        <w:rPr>
          <w:rFonts w:hint="eastAsia" w:ascii="宋体" w:hAnsi="宋体" w:cs="宋体"/>
          <w:b/>
          <w:sz w:val="24"/>
          <w:szCs w:val="24"/>
        </w:rPr>
        <w:t>三、后场功能间提升要求</w:t>
      </w:r>
    </w:p>
    <w:p>
      <w:pPr>
        <w:spacing w:line="480" w:lineRule="exact"/>
        <w:ind w:firstLine="480" w:firstLineChars="200"/>
        <w:jc w:val="left"/>
        <w:rPr>
          <w:rFonts w:ascii="宋体" w:hAnsi="宋体" w:cs="宋体"/>
          <w:sz w:val="24"/>
          <w:szCs w:val="24"/>
        </w:rPr>
      </w:pPr>
      <w:r>
        <w:rPr>
          <w:rFonts w:hint="eastAsia" w:ascii="宋体" w:hAnsi="宋体"/>
          <w:b/>
          <w:sz w:val="24"/>
          <w:szCs w:val="24"/>
        </w:rPr>
        <w:t>1．功能间合理规范。</w:t>
      </w:r>
      <w:r>
        <w:rPr>
          <w:rFonts w:hint="eastAsia" w:ascii="宋体" w:hAnsi="宋体"/>
          <w:sz w:val="24"/>
          <w:szCs w:val="24"/>
        </w:rPr>
        <w:t>设置包含但不限于冷库间（冰箱间）、男女更衣间（含一次、二次更衣间）、主食仓库、副食仓库、荤菜加工间、蔬菜加工间、水产加工、面食加工间、蒸煮间、烹饪间、炸烤加工间、洗碗间、备餐间、办公室等各类功能间。风味窗口独立设置加</w:t>
      </w:r>
      <w:r>
        <w:rPr>
          <w:rFonts w:hint="eastAsia" w:ascii="宋体" w:hAnsi="宋体" w:cs="宋体"/>
          <w:sz w:val="24"/>
          <w:szCs w:val="24"/>
        </w:rPr>
        <w:t>工间。</w:t>
      </w:r>
    </w:p>
    <w:p>
      <w:pPr>
        <w:spacing w:line="480" w:lineRule="exact"/>
        <w:ind w:firstLine="480" w:firstLineChars="200"/>
        <w:jc w:val="left"/>
        <w:rPr>
          <w:rFonts w:ascii="宋体" w:hAnsi="宋体" w:cs="宋体"/>
          <w:bCs/>
          <w:sz w:val="24"/>
          <w:szCs w:val="24"/>
        </w:rPr>
      </w:pPr>
      <w:r>
        <w:rPr>
          <w:rFonts w:hint="eastAsia" w:ascii="宋体" w:hAnsi="宋体" w:cs="宋体"/>
          <w:b/>
          <w:bCs/>
          <w:sz w:val="24"/>
          <w:szCs w:val="24"/>
        </w:rPr>
        <w:t>2．设备齐全且安装到位。</w:t>
      </w:r>
      <w:r>
        <w:rPr>
          <w:rFonts w:hint="eastAsia" w:ascii="宋体" w:hAnsi="宋体" w:cs="宋体"/>
          <w:bCs/>
          <w:sz w:val="24"/>
          <w:szCs w:val="24"/>
        </w:rPr>
        <w:t>添置功能齐全的各类设备，按照既定的功能间面积，以及各类设备名称、型号、尺寸等因素，设计合理设备布置平面图并按规范安装到位。</w:t>
      </w:r>
    </w:p>
    <w:p>
      <w:pPr>
        <w:spacing w:line="480" w:lineRule="exact"/>
        <w:ind w:firstLine="480" w:firstLineChars="200"/>
        <w:jc w:val="left"/>
        <w:rPr>
          <w:rFonts w:ascii="宋体" w:hAnsi="宋体" w:cs="宋体"/>
          <w:bCs/>
          <w:sz w:val="24"/>
          <w:szCs w:val="24"/>
        </w:rPr>
      </w:pPr>
      <w:r>
        <w:rPr>
          <w:rFonts w:hint="eastAsia" w:ascii="宋体" w:hAnsi="宋体" w:cs="宋体"/>
          <w:b/>
          <w:bCs/>
          <w:sz w:val="24"/>
          <w:szCs w:val="24"/>
        </w:rPr>
        <w:t>3．功能系统要求</w:t>
      </w:r>
      <w:r>
        <w:rPr>
          <w:rFonts w:hint="eastAsia" w:ascii="宋体" w:hAnsi="宋体" w:cs="宋体"/>
          <w:bCs/>
          <w:sz w:val="24"/>
          <w:szCs w:val="24"/>
        </w:rPr>
        <w:t>。安装强电系统、弱电系统（含监控系统（接入安保处总控室、符合明厨亮灶要求）、一卡通系统（由学校安装到位）、供水系统、排水系统（室内不锈钢排水沟及盖板）、排油烟系统（含油烟净化器）、排风系统、新风系统（局部无自然通风的功能间）、消防系统、天燃气系统(维修校方燃气报警装置)、门禁系统等必要功能系统及相关设备。</w:t>
      </w:r>
    </w:p>
    <w:p>
      <w:pPr>
        <w:spacing w:line="480" w:lineRule="exact"/>
        <w:ind w:firstLine="480" w:firstLineChars="200"/>
        <w:jc w:val="left"/>
        <w:rPr>
          <w:rFonts w:ascii="宋体" w:hAnsi="宋体" w:cs="宋体"/>
          <w:bCs/>
          <w:sz w:val="24"/>
          <w:szCs w:val="24"/>
        </w:rPr>
      </w:pPr>
      <w:r>
        <w:rPr>
          <w:rFonts w:hint="eastAsia" w:ascii="宋体" w:hAnsi="宋体" w:cs="宋体"/>
          <w:b/>
          <w:bCs/>
          <w:sz w:val="24"/>
          <w:szCs w:val="24"/>
        </w:rPr>
        <w:t>4．重点部位要求。</w:t>
      </w:r>
      <w:r>
        <w:rPr>
          <w:rFonts w:hint="eastAsia" w:ascii="宋体" w:hAnsi="宋体" w:cs="宋体"/>
          <w:bCs/>
          <w:sz w:val="24"/>
          <w:szCs w:val="24"/>
        </w:rPr>
        <w:t>地面材料防湿滑、墙壁贴瓷砖至吊顶部位、顶面吊顶；照明（插座）系统、功能间吊扇、局部无自然通风的功能间需安装排风系统、更换门窗。</w:t>
      </w:r>
    </w:p>
    <w:p>
      <w:pPr>
        <w:pStyle w:val="17"/>
        <w:spacing w:line="480" w:lineRule="exact"/>
        <w:ind w:firstLine="480"/>
        <w:rPr>
          <w:rFonts w:ascii="宋体" w:hAnsi="宋体" w:eastAsia="宋体" w:cs="宋体"/>
          <w:b/>
          <w:bCs/>
          <w:sz w:val="24"/>
          <w:szCs w:val="24"/>
        </w:rPr>
      </w:pPr>
      <w:r>
        <w:rPr>
          <w:rFonts w:hint="eastAsia" w:ascii="宋体" w:hAnsi="宋体" w:eastAsia="宋体" w:cs="宋体"/>
          <w:b/>
          <w:bCs/>
          <w:sz w:val="24"/>
          <w:szCs w:val="24"/>
        </w:rPr>
        <w:t>四、强电线路提升要求</w:t>
      </w:r>
    </w:p>
    <w:p>
      <w:pPr>
        <w:pStyle w:val="17"/>
        <w:spacing w:line="480" w:lineRule="exact"/>
        <w:ind w:firstLine="480"/>
        <w:rPr>
          <w:rFonts w:ascii="宋体" w:hAnsi="宋体" w:eastAsia="宋体" w:cs="宋体"/>
          <w:bCs/>
          <w:sz w:val="24"/>
          <w:szCs w:val="24"/>
        </w:rPr>
      </w:pPr>
      <w:r>
        <w:rPr>
          <w:rFonts w:hint="eastAsia" w:ascii="宋体" w:hAnsi="宋体" w:eastAsia="宋体" w:cs="宋体"/>
          <w:bCs/>
          <w:sz w:val="24"/>
          <w:szCs w:val="24"/>
        </w:rPr>
        <w:t>1.如需进行用电线路提升，增加用电负荷，必须事先自行了解负荷情况、拟增设备负荷、安装方案等，提交书面申请（包含但不限于平面布置图、用电设施设备清单明细表、电力线路基本信息、动力图），经招标人书面确认后方可进行改造；否则责任自负，招标人有权要求中标人免费拆除，造成的损失、责任全部由中标人承担。用电设施设备安装，必须符合国家电力安装规范；否则责任自负，招标人有权要求中标人免费拆除，造成的损失、责任全部由中标人承担。</w:t>
      </w:r>
    </w:p>
    <w:p>
      <w:pPr>
        <w:pStyle w:val="17"/>
        <w:spacing w:line="480" w:lineRule="exact"/>
        <w:ind w:firstLine="480"/>
        <w:rPr>
          <w:rFonts w:ascii="宋体" w:hAnsi="宋体" w:eastAsia="宋体" w:cs="宋体"/>
          <w:bCs/>
          <w:sz w:val="24"/>
          <w:szCs w:val="24"/>
        </w:rPr>
      </w:pPr>
      <w:r>
        <w:rPr>
          <w:rFonts w:hint="eastAsia" w:ascii="宋体" w:hAnsi="宋体" w:eastAsia="宋体" w:cs="宋体"/>
          <w:bCs/>
          <w:sz w:val="24"/>
          <w:szCs w:val="24"/>
        </w:rPr>
        <w:t>2.招标人提供用电线路到服务场所内配电箱（含主控开），其余电气元件电缆电线管材等材料、材料或设备安装及线路施工等均由中标人负责实施。</w:t>
      </w:r>
    </w:p>
    <w:p>
      <w:pPr>
        <w:pStyle w:val="17"/>
        <w:spacing w:line="480" w:lineRule="exact"/>
        <w:ind w:firstLine="480"/>
        <w:rPr>
          <w:rFonts w:ascii="宋体" w:hAnsi="宋体" w:eastAsia="宋体" w:cs="宋体"/>
          <w:bCs/>
          <w:sz w:val="24"/>
          <w:szCs w:val="24"/>
        </w:rPr>
      </w:pPr>
      <w:r>
        <w:rPr>
          <w:rFonts w:hint="eastAsia" w:ascii="宋体" w:hAnsi="宋体" w:eastAsia="宋体" w:cs="宋体"/>
          <w:bCs/>
          <w:sz w:val="24"/>
          <w:szCs w:val="24"/>
        </w:rPr>
        <w:t>3.必须按照本服务项目所有用电设施设备全部处于使用状态进行统计、核算用电负荷，不得按照所谓的错峰使用进行统计、核算用电负荷。</w:t>
      </w:r>
    </w:p>
    <w:p>
      <w:pPr>
        <w:pStyle w:val="17"/>
        <w:spacing w:line="480" w:lineRule="exact"/>
        <w:ind w:firstLine="480"/>
        <w:rPr>
          <w:rFonts w:ascii="宋体" w:hAnsi="宋体" w:eastAsia="宋体" w:cs="宋体"/>
          <w:bCs/>
          <w:sz w:val="24"/>
          <w:szCs w:val="24"/>
        </w:rPr>
      </w:pPr>
      <w:r>
        <w:rPr>
          <w:rFonts w:hint="eastAsia" w:ascii="宋体" w:hAnsi="宋体" w:eastAsia="宋体" w:cs="宋体"/>
          <w:bCs/>
          <w:sz w:val="24"/>
          <w:szCs w:val="24"/>
        </w:rPr>
        <w:t>4.在服务项目场所内的某一个相对独立的空间内，必须设立且只能设立一个配电箱；中标人必须根据本空间内计划使用的用电设备情况规划配电箱内的电气元件数量、规格，坚持一机一插原则，要求控开数量为计划使用用电设备的N+2个，上下口电缆或电线规格必须满足使用安全需要。</w:t>
      </w:r>
    </w:p>
    <w:p>
      <w:pPr>
        <w:pStyle w:val="17"/>
        <w:spacing w:line="480" w:lineRule="exact"/>
        <w:ind w:firstLine="480"/>
        <w:rPr>
          <w:rFonts w:ascii="宋体" w:hAnsi="宋体" w:eastAsia="宋体" w:cs="宋体"/>
          <w:bCs/>
          <w:sz w:val="24"/>
          <w:szCs w:val="24"/>
        </w:rPr>
      </w:pPr>
      <w:r>
        <w:rPr>
          <w:rFonts w:hint="eastAsia" w:ascii="宋体" w:hAnsi="宋体" w:eastAsia="宋体" w:cs="宋体"/>
          <w:bCs/>
          <w:sz w:val="24"/>
          <w:szCs w:val="24"/>
        </w:rPr>
        <w:t>5.必须使用符合国家标准的合格产品，不得使用行标、企标产品，使用的用电设备和电气元件、电缆电线管材等主辅材料必须提供产品合格证，有能效要求的设备必须同时提供合格的能效证明材料（比如冰箱、空调等）；用电设施设备与电箱的连接线，必须采用国标阻燃电缆电线须提供产品合格证。</w:t>
      </w:r>
    </w:p>
    <w:p>
      <w:pPr>
        <w:pStyle w:val="17"/>
        <w:spacing w:line="480" w:lineRule="exact"/>
        <w:ind w:firstLine="480"/>
        <w:rPr>
          <w:rFonts w:ascii="宋体" w:hAnsi="宋体" w:eastAsia="宋体" w:cs="宋体"/>
          <w:bCs/>
          <w:sz w:val="24"/>
          <w:szCs w:val="24"/>
        </w:rPr>
      </w:pPr>
      <w:r>
        <w:rPr>
          <w:rFonts w:hint="eastAsia" w:ascii="宋体" w:hAnsi="宋体" w:eastAsia="宋体" w:cs="宋体"/>
          <w:bCs/>
          <w:sz w:val="24"/>
          <w:szCs w:val="24"/>
        </w:rPr>
        <w:t>6.用电线路安装工艺要求：原则上必须暗装、墙面开槽、电线穿管；无法暗装，必须明装部分要求横平竖直，采用线槽覆盖（不是圆管）；私拉乱接部分必须拆除整改；配电箱内电缆电线安装必须设置合理，安装时横平竖直，不得彼此交叉重叠，固定强度好，铜芯裸露长度满足安全要求，线路接口规范包裹。</w:t>
      </w:r>
    </w:p>
    <w:p>
      <w:pPr>
        <w:pStyle w:val="17"/>
        <w:spacing w:line="480" w:lineRule="exact"/>
        <w:ind w:firstLine="480"/>
        <w:rPr>
          <w:rFonts w:ascii="宋体" w:hAnsi="宋体" w:eastAsia="宋体" w:cs="宋体"/>
          <w:bCs/>
          <w:sz w:val="24"/>
          <w:szCs w:val="24"/>
        </w:rPr>
      </w:pPr>
      <w:r>
        <w:rPr>
          <w:rFonts w:hint="eastAsia" w:ascii="宋体" w:hAnsi="宋体" w:eastAsia="宋体" w:cs="宋体"/>
          <w:bCs/>
          <w:sz w:val="24"/>
          <w:szCs w:val="24"/>
        </w:rPr>
        <w:t>7.用电设施设备必须使用漏电保护器，安装在配电箱内，箱盖不得缺失、不得在使用时拆除，使用正常，经常检查漏电保护器。</w:t>
      </w:r>
    </w:p>
    <w:p>
      <w:pPr>
        <w:pStyle w:val="17"/>
        <w:spacing w:line="480" w:lineRule="exact"/>
        <w:ind w:firstLine="480"/>
        <w:rPr>
          <w:rFonts w:ascii="宋体" w:hAnsi="宋体" w:eastAsia="宋体" w:cs="宋体"/>
          <w:bCs/>
          <w:sz w:val="24"/>
          <w:szCs w:val="24"/>
        </w:rPr>
      </w:pPr>
      <w:r>
        <w:rPr>
          <w:rFonts w:hint="eastAsia" w:ascii="宋体" w:hAnsi="宋体" w:eastAsia="宋体" w:cs="宋体"/>
          <w:bCs/>
          <w:sz w:val="24"/>
          <w:szCs w:val="24"/>
        </w:rPr>
        <w:t>潮湿区域用电设施设备必须符合国家消防验收标准，使用国标合格的防爆灯具，开关、插座装设防水盖，插座高度不得低于1.5米。</w:t>
      </w:r>
    </w:p>
    <w:p>
      <w:pPr>
        <w:pStyle w:val="17"/>
        <w:spacing w:line="480" w:lineRule="exact"/>
        <w:ind w:firstLine="480"/>
        <w:rPr>
          <w:rFonts w:ascii="宋体" w:hAnsi="宋体" w:eastAsia="宋体" w:cs="宋体"/>
          <w:bCs/>
          <w:sz w:val="24"/>
          <w:szCs w:val="24"/>
        </w:rPr>
      </w:pPr>
      <w:r>
        <w:rPr>
          <w:rFonts w:hint="eastAsia" w:ascii="宋体" w:hAnsi="宋体" w:eastAsia="宋体" w:cs="宋体"/>
          <w:bCs/>
          <w:sz w:val="24"/>
          <w:szCs w:val="24"/>
        </w:rPr>
        <w:t>用电设施设备，必须采用重复接地的方式，一端链接在用电设施设备的金属外壳上，一端连接在配电箱的公共接地端；多个设备一起接地时，必须使用铜板或镀锌扁铁焊接，采用35铜芯线和镀锌角钢在室外接地。</w:t>
      </w:r>
    </w:p>
    <w:p>
      <w:pPr>
        <w:pStyle w:val="17"/>
        <w:spacing w:line="480" w:lineRule="exact"/>
        <w:ind w:firstLine="480"/>
        <w:rPr>
          <w:rFonts w:ascii="宋体" w:hAnsi="宋体" w:eastAsia="宋体" w:cs="宋体"/>
          <w:bCs/>
          <w:sz w:val="24"/>
          <w:szCs w:val="24"/>
        </w:rPr>
      </w:pPr>
      <w:r>
        <w:rPr>
          <w:rFonts w:hint="eastAsia" w:ascii="宋体" w:hAnsi="宋体" w:eastAsia="宋体" w:cs="宋体"/>
          <w:bCs/>
          <w:sz w:val="24"/>
          <w:szCs w:val="24"/>
        </w:rPr>
        <w:t>8.投标人负责安排专人管理用电设备、线路，具备一定的安全用电知识、技能；负责每天巡查用电设施设备线路使用情况，巡查发现的问题，及时整改，确保安全使用；负责台账资料记录工作。</w:t>
      </w:r>
    </w:p>
    <w:p>
      <w:pPr>
        <w:spacing w:line="480" w:lineRule="exact"/>
        <w:ind w:firstLine="480" w:firstLineChars="200"/>
        <w:jc w:val="left"/>
        <w:rPr>
          <w:rFonts w:ascii="宋体" w:hAnsi="宋体"/>
          <w:b/>
          <w:sz w:val="24"/>
          <w:szCs w:val="24"/>
        </w:rPr>
      </w:pPr>
      <w:r>
        <w:rPr>
          <w:rFonts w:hint="eastAsia" w:ascii="宋体" w:hAnsi="宋体"/>
          <w:b/>
          <w:sz w:val="24"/>
          <w:szCs w:val="24"/>
        </w:rPr>
        <w:t>五、投标人投标时须提供食堂提升方案、平面布置图，以及拟投入的设备设施清单（包括设备设施名称、型号、主要技术参数、数量、价格等）。</w:t>
      </w:r>
    </w:p>
    <w:p>
      <w:pPr>
        <w:spacing w:line="480" w:lineRule="exact"/>
        <w:ind w:firstLine="480" w:firstLineChars="200"/>
        <w:jc w:val="left"/>
        <w:rPr>
          <w:rFonts w:ascii="宋体" w:hAnsi="宋体"/>
          <w:sz w:val="24"/>
          <w:szCs w:val="24"/>
        </w:rPr>
      </w:pPr>
      <w:r>
        <w:rPr>
          <w:rFonts w:hint="eastAsia" w:ascii="宋体" w:hAnsi="宋体"/>
          <w:b/>
          <w:sz w:val="24"/>
          <w:szCs w:val="24"/>
        </w:rPr>
        <w:t>1．关于投入资金要求：</w:t>
      </w:r>
      <w:r>
        <w:rPr>
          <w:rFonts w:hint="eastAsia" w:ascii="宋体" w:hAnsi="宋体"/>
          <w:sz w:val="24"/>
          <w:szCs w:val="24"/>
        </w:rPr>
        <w:t>中标人必须按投标文件承诺的该项目提升含设备设施添置）资金数足额投入。</w:t>
      </w:r>
    </w:p>
    <w:p>
      <w:pPr>
        <w:spacing w:line="480" w:lineRule="exact"/>
        <w:ind w:firstLine="480" w:firstLineChars="200"/>
        <w:jc w:val="left"/>
        <w:rPr>
          <w:rFonts w:ascii="宋体" w:hAnsi="宋体"/>
          <w:sz w:val="24"/>
          <w:szCs w:val="24"/>
        </w:rPr>
      </w:pPr>
      <w:r>
        <w:rPr>
          <w:rFonts w:hint="eastAsia" w:ascii="宋体" w:hAnsi="宋体"/>
          <w:b/>
          <w:sz w:val="24"/>
          <w:szCs w:val="24"/>
        </w:rPr>
        <w:t>2．关于设计、施工和验收要求：</w:t>
      </w:r>
      <w:r>
        <w:rPr>
          <w:rFonts w:hint="eastAsia" w:ascii="宋体" w:hAnsi="宋体"/>
          <w:sz w:val="24"/>
          <w:szCs w:val="24"/>
        </w:rPr>
        <w:t>中标人聘请的设计单位、施工单位应符合国家相关资质要求，并按与招标人（以及招标人邀请的行业主管部门）充分沟通过的图纸组织施工，加强施工现场管理，施工过程中出现安全事故，均由中标人负责，与招标人无涉。工程竣工后，中标人须报送完整的竣工图纸、设备设施清单、工程费用结算书等相关成套资料，并书面提请招标人验收。招标人按国家规范标准进行验收。中标人对招标人验收提出的中标人没有完成本招标文件项目需求规定的必要提升和设备投入的有关项目，以及其他施工缺陷须及时进行整改（中标人自行清理施工过程中产生的废弃物运出校园）。</w:t>
      </w:r>
    </w:p>
    <w:p>
      <w:pPr>
        <w:spacing w:line="480" w:lineRule="exact"/>
        <w:ind w:firstLine="480" w:firstLineChars="200"/>
        <w:jc w:val="left"/>
        <w:rPr>
          <w:rFonts w:ascii="宋体" w:hAnsi="宋体"/>
          <w:sz w:val="24"/>
          <w:szCs w:val="24"/>
        </w:rPr>
      </w:pPr>
      <w:r>
        <w:rPr>
          <w:rFonts w:hint="eastAsia" w:ascii="宋体" w:hAnsi="宋体"/>
          <w:b/>
          <w:sz w:val="24"/>
          <w:szCs w:val="24"/>
        </w:rPr>
        <w:t>3．结算审计规定：</w:t>
      </w:r>
      <w:r>
        <w:rPr>
          <w:rFonts w:hint="eastAsia" w:ascii="宋体" w:hAnsi="宋体"/>
          <w:sz w:val="24"/>
          <w:szCs w:val="24"/>
        </w:rPr>
        <w:t>工程验收合格后，由招标人委托第三方审计事务所对中标人出具的提升工程（含设备设施投入）结算书进行结算审计，该结算审计报告为最终审计结果，中标人必须无条件接受招标人结算审计结果，不得以任何理由要求重新审计。结算审计规则是：</w:t>
      </w:r>
    </w:p>
    <w:p>
      <w:pPr>
        <w:spacing w:line="480" w:lineRule="exact"/>
        <w:ind w:firstLine="480" w:firstLineChars="200"/>
        <w:jc w:val="left"/>
        <w:rPr>
          <w:rFonts w:ascii="宋体" w:hAnsi="宋体"/>
          <w:sz w:val="24"/>
          <w:szCs w:val="24"/>
        </w:rPr>
      </w:pPr>
      <w:r>
        <w:rPr>
          <w:rFonts w:hint="eastAsia" w:ascii="宋体" w:hAnsi="宋体"/>
          <w:sz w:val="24"/>
          <w:szCs w:val="24"/>
        </w:rPr>
        <w:t>3.1清单项审核规则：凡执行国家预算定额取费的清单项（清单和安装清单）</w:t>
      </w:r>
      <w:r>
        <w:rPr>
          <w:rFonts w:hint="eastAsia" w:ascii="宋体" w:hAnsi="宋体"/>
          <w:b/>
          <w:bCs/>
          <w:sz w:val="24"/>
          <w:szCs w:val="24"/>
        </w:rPr>
        <w:t>下浮15%，</w:t>
      </w:r>
      <w:r>
        <w:rPr>
          <w:rFonts w:hint="eastAsia" w:ascii="宋体" w:hAnsi="宋体"/>
          <w:sz w:val="24"/>
          <w:szCs w:val="24"/>
        </w:rPr>
        <w:t>其他项按市场价审定。</w:t>
      </w:r>
    </w:p>
    <w:p>
      <w:pPr>
        <w:spacing w:line="480" w:lineRule="exact"/>
        <w:ind w:firstLine="480" w:firstLineChars="200"/>
        <w:jc w:val="left"/>
        <w:rPr>
          <w:rFonts w:ascii="宋体" w:hAnsi="宋体"/>
          <w:sz w:val="24"/>
          <w:szCs w:val="24"/>
        </w:rPr>
      </w:pPr>
      <w:r>
        <w:rPr>
          <w:rFonts w:hint="eastAsia" w:ascii="宋体" w:hAnsi="宋体"/>
          <w:sz w:val="24"/>
          <w:szCs w:val="24"/>
        </w:rPr>
        <w:t>3.2设备设施按中标人提供的订货合同、送货凭证、购货凭证、付款凭证等相关凭证资料，结合市场价审定。</w:t>
      </w:r>
    </w:p>
    <w:p>
      <w:pPr>
        <w:spacing w:line="480" w:lineRule="exact"/>
        <w:ind w:firstLine="480" w:firstLineChars="200"/>
        <w:jc w:val="left"/>
        <w:rPr>
          <w:rFonts w:ascii="宋体" w:hAnsi="宋体"/>
          <w:sz w:val="24"/>
          <w:szCs w:val="24"/>
        </w:rPr>
      </w:pPr>
      <w:r>
        <w:rPr>
          <w:rFonts w:hint="eastAsia" w:ascii="宋体" w:hAnsi="宋体"/>
          <w:sz w:val="24"/>
          <w:szCs w:val="24"/>
        </w:rPr>
        <w:t>3.3工程结算编制和审核依据：</w:t>
      </w:r>
    </w:p>
    <w:p>
      <w:pPr>
        <w:spacing w:line="480" w:lineRule="exact"/>
        <w:ind w:firstLine="480" w:firstLineChars="200"/>
        <w:jc w:val="left"/>
        <w:rPr>
          <w:rFonts w:ascii="宋体" w:hAnsi="宋体"/>
          <w:sz w:val="24"/>
          <w:szCs w:val="24"/>
        </w:rPr>
      </w:pPr>
      <w:r>
        <w:rPr>
          <w:rFonts w:hint="eastAsia" w:ascii="宋体" w:hAnsi="宋体"/>
          <w:sz w:val="24"/>
          <w:szCs w:val="24"/>
        </w:rPr>
        <w:t>3.4工程量按实际完成工程量计算。</w:t>
      </w:r>
    </w:p>
    <w:p>
      <w:pPr>
        <w:spacing w:line="480" w:lineRule="exact"/>
        <w:ind w:firstLine="480" w:firstLineChars="200"/>
        <w:jc w:val="left"/>
        <w:rPr>
          <w:rFonts w:ascii="宋体" w:hAnsi="宋体"/>
          <w:sz w:val="24"/>
          <w:szCs w:val="24"/>
        </w:rPr>
      </w:pPr>
      <w:r>
        <w:rPr>
          <w:rFonts w:hint="eastAsia" w:ascii="宋体" w:hAnsi="宋体"/>
          <w:sz w:val="24"/>
          <w:szCs w:val="24"/>
        </w:rPr>
        <w:t>3.5工程量清单及定额套用：执行《建设工程工程量清单计价规范》（GB50500-2013）及配套的《房屋建筑与装饰工程工程量计算规范》（GB50854-2013）和2014年《江苏省建筑与装饰工程计价定额》、2014年《江苏省建设工程费用定额》、关于营改增后工程计价依据调整内容（苏建价[2016]154号）及省住房城乡建设厅关于建筑业增值税计价政策调整的通知（苏建函价[2018]298号）、相关计价文件的规定。</w:t>
      </w:r>
    </w:p>
    <w:p>
      <w:pPr>
        <w:shd w:val="clear" w:color="auto" w:fill="FFFFFF"/>
        <w:spacing w:line="480" w:lineRule="exact"/>
        <w:ind w:firstLine="420"/>
        <w:rPr>
          <w:rFonts w:ascii="宋体" w:hAnsi="宋体"/>
          <w:sz w:val="24"/>
          <w:szCs w:val="24"/>
        </w:rPr>
      </w:pPr>
      <w:r>
        <w:rPr>
          <w:rFonts w:hint="eastAsia" w:ascii="宋体" w:hAnsi="宋体"/>
          <w:sz w:val="24"/>
          <w:szCs w:val="24"/>
        </w:rPr>
        <w:t>其中措施项目费仅计取如下费用：</w:t>
      </w:r>
    </w:p>
    <w:p>
      <w:pPr>
        <w:shd w:val="clear" w:color="auto" w:fill="FFFFFF"/>
        <w:spacing w:line="480" w:lineRule="exact"/>
        <w:ind w:firstLine="420"/>
        <w:rPr>
          <w:rFonts w:ascii="宋体" w:hAnsi="宋体"/>
          <w:sz w:val="24"/>
          <w:szCs w:val="24"/>
        </w:rPr>
      </w:pPr>
      <w:r>
        <w:rPr>
          <w:rFonts w:hint="eastAsia" w:ascii="宋体" w:hAnsi="宋体"/>
          <w:sz w:val="24"/>
          <w:szCs w:val="24"/>
        </w:rPr>
        <w:t>3.6总价措施费：</w:t>
      </w:r>
    </w:p>
    <w:p>
      <w:pPr>
        <w:shd w:val="clear" w:color="auto" w:fill="FFFFFF"/>
        <w:spacing w:line="480" w:lineRule="exact"/>
        <w:ind w:firstLine="420"/>
        <w:rPr>
          <w:rFonts w:ascii="宋体" w:hAnsi="宋体"/>
          <w:sz w:val="24"/>
          <w:szCs w:val="24"/>
        </w:rPr>
      </w:pPr>
      <w:r>
        <w:rPr>
          <w:rFonts w:hint="eastAsia" w:ascii="宋体" w:hAnsi="宋体"/>
          <w:sz w:val="24"/>
          <w:szCs w:val="24"/>
        </w:rPr>
        <w:t>3.6.1现场安全文明施工措施费：根据市、县（市）工程造价管理机构核定费率计算。未经核定，不予计算。</w:t>
      </w:r>
    </w:p>
    <w:p>
      <w:pPr>
        <w:shd w:val="clear" w:color="auto" w:fill="FFFFFF"/>
        <w:spacing w:line="480" w:lineRule="exact"/>
        <w:ind w:firstLine="420"/>
        <w:rPr>
          <w:rFonts w:ascii="宋体" w:hAnsi="宋体"/>
          <w:sz w:val="24"/>
          <w:szCs w:val="24"/>
        </w:rPr>
      </w:pPr>
      <w:r>
        <w:rPr>
          <w:rFonts w:hint="eastAsia" w:ascii="宋体" w:hAnsi="宋体"/>
          <w:sz w:val="24"/>
          <w:szCs w:val="24"/>
        </w:rPr>
        <w:t>3.6.2临时设施费：费率取中。</w:t>
      </w:r>
    </w:p>
    <w:p>
      <w:pPr>
        <w:shd w:val="clear" w:color="auto" w:fill="FFFFFF"/>
        <w:spacing w:line="480" w:lineRule="exact"/>
        <w:ind w:firstLine="420"/>
        <w:rPr>
          <w:rFonts w:ascii="宋体" w:hAnsi="宋体"/>
          <w:sz w:val="24"/>
          <w:szCs w:val="24"/>
        </w:rPr>
      </w:pPr>
      <w:r>
        <w:rPr>
          <w:rFonts w:hint="eastAsia" w:ascii="宋体" w:hAnsi="宋体"/>
          <w:sz w:val="24"/>
          <w:szCs w:val="24"/>
        </w:rPr>
        <w:t>3.7单价措施费：按实结算。</w:t>
      </w:r>
    </w:p>
    <w:p>
      <w:pPr>
        <w:shd w:val="clear" w:color="auto" w:fill="FFFFFF"/>
        <w:spacing w:line="480" w:lineRule="exact"/>
        <w:ind w:firstLine="420"/>
        <w:rPr>
          <w:rFonts w:ascii="宋体" w:hAnsi="宋体"/>
          <w:sz w:val="24"/>
          <w:szCs w:val="24"/>
        </w:rPr>
      </w:pPr>
      <w:r>
        <w:rPr>
          <w:rFonts w:hint="eastAsia" w:ascii="宋体" w:hAnsi="宋体"/>
          <w:sz w:val="24"/>
          <w:szCs w:val="24"/>
        </w:rPr>
        <w:t>3.8人工工资单价执行施工期间政策性文件（其中装修工程人工取中值）。</w:t>
      </w:r>
    </w:p>
    <w:p>
      <w:pPr>
        <w:shd w:val="clear" w:color="auto" w:fill="FFFFFF"/>
        <w:spacing w:line="480" w:lineRule="exact"/>
        <w:ind w:firstLine="420"/>
        <w:rPr>
          <w:rFonts w:ascii="宋体" w:hAnsi="宋体"/>
          <w:sz w:val="24"/>
          <w:szCs w:val="24"/>
        </w:rPr>
      </w:pPr>
      <w:r>
        <w:rPr>
          <w:rFonts w:hint="eastAsia" w:ascii="宋体" w:hAnsi="宋体"/>
          <w:sz w:val="24"/>
          <w:szCs w:val="24"/>
        </w:rPr>
        <w:t>3.9材料和工程设备单价、机械单价中燃料费、水电费单价执行施工期间《盐城工程造价》市场指导价或市场信息价的平均价，缺项的执行发包人签证价，签证价及其规费和税金不下浮。</w:t>
      </w:r>
    </w:p>
    <w:p>
      <w:pPr>
        <w:shd w:val="clear" w:color="auto" w:fill="FFFFFF"/>
        <w:spacing w:line="480" w:lineRule="exact"/>
        <w:ind w:firstLine="420"/>
        <w:rPr>
          <w:rFonts w:ascii="宋体" w:hAnsi="宋体"/>
          <w:sz w:val="24"/>
          <w:szCs w:val="24"/>
        </w:rPr>
      </w:pPr>
      <w:r>
        <w:rPr>
          <w:rFonts w:hint="eastAsia" w:ascii="宋体" w:hAnsi="宋体"/>
          <w:sz w:val="24"/>
          <w:szCs w:val="24"/>
        </w:rPr>
        <w:t>3.10规费：执行施工期间政策性文件。</w:t>
      </w:r>
    </w:p>
    <w:p>
      <w:pPr>
        <w:shd w:val="clear" w:color="auto" w:fill="FFFFFF"/>
        <w:spacing w:line="480" w:lineRule="exact"/>
        <w:ind w:firstLine="420"/>
        <w:rPr>
          <w:rFonts w:ascii="宋体" w:hAnsi="宋体"/>
          <w:sz w:val="24"/>
          <w:szCs w:val="24"/>
        </w:rPr>
      </w:pPr>
      <w:r>
        <w:rPr>
          <w:rFonts w:hint="eastAsia" w:ascii="宋体" w:hAnsi="宋体"/>
          <w:sz w:val="24"/>
          <w:szCs w:val="24"/>
        </w:rPr>
        <w:t>3.11税金：执行施工期间政策性文件。</w:t>
      </w:r>
    </w:p>
    <w:p>
      <w:pPr>
        <w:pStyle w:val="17"/>
        <w:spacing w:line="480" w:lineRule="exact"/>
        <w:ind w:firstLine="480"/>
        <w:rPr>
          <w:rFonts w:ascii="宋体" w:hAnsi="宋体" w:eastAsia="宋体"/>
          <w:b/>
          <w:sz w:val="24"/>
          <w:szCs w:val="24"/>
        </w:rPr>
      </w:pPr>
      <w:r>
        <w:rPr>
          <w:rFonts w:hint="eastAsia" w:ascii="宋体" w:hAnsi="宋体" w:eastAsia="宋体"/>
          <w:b/>
          <w:sz w:val="24"/>
          <w:szCs w:val="24"/>
        </w:rPr>
        <w:t>4.审计结果运用</w:t>
      </w:r>
    </w:p>
    <w:p>
      <w:pPr>
        <w:spacing w:line="480" w:lineRule="exact"/>
        <w:ind w:firstLine="480" w:firstLineChars="200"/>
        <w:jc w:val="left"/>
        <w:rPr>
          <w:rFonts w:ascii="宋体" w:hAnsi="宋体"/>
          <w:sz w:val="24"/>
          <w:szCs w:val="24"/>
        </w:rPr>
      </w:pPr>
      <w:r>
        <w:rPr>
          <w:rFonts w:hint="eastAsia" w:ascii="宋体" w:hAnsi="宋体"/>
          <w:sz w:val="24"/>
          <w:szCs w:val="24"/>
        </w:rPr>
        <w:t>按本招标文件规定，招标人审定的投标人工程竣工结算数总额（含设备设施投入）小于中标人承诺投入总额的，由中标人向招标人财务部门缴纳相关费用或由招标人直接从中标人履行合同起的每月营业收入2</w:t>
      </w:r>
      <w:r>
        <w:rPr>
          <w:rFonts w:ascii="宋体" w:hAnsi="宋体"/>
          <w:sz w:val="24"/>
          <w:szCs w:val="24"/>
        </w:rPr>
        <w:t>0%</w:t>
      </w:r>
      <w:r>
        <w:rPr>
          <w:rFonts w:hint="eastAsia" w:ascii="宋体" w:hAnsi="宋体"/>
          <w:sz w:val="24"/>
          <w:szCs w:val="24"/>
        </w:rPr>
        <w:t>的额度内逐月扣除相关费用，直至扣足为止。</w:t>
      </w:r>
    </w:p>
    <w:p>
      <w:pPr>
        <w:pStyle w:val="17"/>
        <w:spacing w:line="480" w:lineRule="exact"/>
        <w:ind w:firstLine="425" w:firstLineChars="0"/>
        <w:rPr>
          <w:rFonts w:ascii="宋体" w:hAnsi="宋体" w:eastAsia="宋体"/>
          <w:sz w:val="24"/>
          <w:szCs w:val="24"/>
        </w:rPr>
      </w:pPr>
      <w:r>
        <w:rPr>
          <w:rFonts w:hint="eastAsia" w:ascii="宋体" w:hAnsi="宋体" w:eastAsia="宋体"/>
          <w:sz w:val="24"/>
          <w:szCs w:val="24"/>
        </w:rPr>
        <w:t>相关费用=中标人承诺投入总额*90%-工程竣工结算数总额（含设备设施投入）</w:t>
      </w:r>
    </w:p>
    <w:p>
      <w:pPr>
        <w:spacing w:line="480" w:lineRule="exact"/>
        <w:ind w:firstLine="480" w:firstLineChars="200"/>
        <w:jc w:val="left"/>
        <w:rPr>
          <w:rFonts w:ascii="宋体" w:hAnsi="宋体"/>
          <w:sz w:val="24"/>
          <w:szCs w:val="24"/>
        </w:rPr>
      </w:pPr>
      <w:r>
        <w:rPr>
          <w:rFonts w:hint="eastAsia" w:ascii="宋体" w:hAnsi="宋体"/>
          <w:sz w:val="24"/>
          <w:szCs w:val="24"/>
        </w:rPr>
        <w:t>七、招标人现有部分餐厅设施设备（详见附件），可以无偿供中标人使用，中标人进场施工时办理交接手续，合同期结束时交还招标人。招标人郑重申明不保证移交设备设施的功能和安全性符合中标人要求，能否使用由中标人自行考虑选择；投标人承诺，用于改善餐厅就餐环境及相关设备投入合同到期后无偿捐赠给招标人。</w:t>
      </w:r>
    </w:p>
    <w:p>
      <w:pPr>
        <w:spacing w:line="480" w:lineRule="exact"/>
        <w:ind w:firstLine="480" w:firstLineChars="200"/>
        <w:jc w:val="left"/>
        <w:rPr>
          <w:rFonts w:ascii="宋体" w:hAnsi="宋体"/>
          <w:sz w:val="24"/>
          <w:szCs w:val="24"/>
        </w:rPr>
      </w:pPr>
      <w:r>
        <w:rPr>
          <w:rFonts w:hint="eastAsia" w:ascii="宋体" w:hAnsi="宋体"/>
          <w:sz w:val="24"/>
          <w:szCs w:val="24"/>
        </w:rPr>
        <w:t>八、为确保秋学期开学食堂正常启用，中标人在确保工程质量的前提下，必须在2021年8月25日前完成验收，投入使用，每延迟一天招标人有权在其履约保证金中按每天5000元扣收违约金。根据实际情况，如时间不允许，经招标人许可，中标人可以先保证食堂正常营业，待寒假进行装修。</w:t>
      </w:r>
      <w:bookmarkStart w:id="5" w:name="_Toc516030481"/>
    </w:p>
    <w:bookmarkEnd w:id="5"/>
    <w:p>
      <w:pPr>
        <w:spacing w:line="480" w:lineRule="exact"/>
        <w:ind w:firstLine="480" w:firstLineChars="200"/>
        <w:jc w:val="left"/>
        <w:rPr>
          <w:rFonts w:ascii="宋体" w:hAnsi="宋体"/>
          <w:b/>
          <w:sz w:val="24"/>
          <w:szCs w:val="24"/>
        </w:rPr>
      </w:pPr>
      <w:r>
        <w:rPr>
          <w:rFonts w:hint="eastAsia" w:ascii="宋体" w:hAnsi="宋体"/>
          <w:b/>
          <w:sz w:val="24"/>
          <w:szCs w:val="24"/>
        </w:rPr>
        <w:t>六、其他要求：详见合同。</w:t>
      </w:r>
    </w:p>
    <w:p>
      <w:pPr>
        <w:spacing w:line="520" w:lineRule="exact"/>
        <w:jc w:val="left"/>
        <w:rPr>
          <w:rFonts w:asciiTheme="minorEastAsia" w:hAnsiTheme="minorEastAsia" w:eastAsiaTheme="minorEastAsia"/>
          <w:b/>
          <w:w w:val="80"/>
          <w:sz w:val="30"/>
          <w:szCs w:val="30"/>
        </w:rPr>
      </w:pPr>
    </w:p>
    <w:p>
      <w:pPr>
        <w:spacing w:line="520" w:lineRule="exact"/>
        <w:jc w:val="left"/>
        <w:rPr>
          <w:rFonts w:hint="eastAsia" w:asciiTheme="minorEastAsia" w:hAnsiTheme="minorEastAsia" w:eastAsiaTheme="minorEastAsia"/>
          <w:b/>
          <w:w w:val="80"/>
          <w:sz w:val="30"/>
          <w:szCs w:val="30"/>
        </w:rPr>
      </w:pPr>
    </w:p>
    <w:p>
      <w:pPr>
        <w:spacing w:line="520" w:lineRule="exact"/>
        <w:jc w:val="left"/>
        <w:rPr>
          <w:rFonts w:hint="eastAsia" w:asciiTheme="minorEastAsia" w:hAnsiTheme="minorEastAsia" w:eastAsiaTheme="minorEastAsia"/>
          <w:b/>
          <w:w w:val="80"/>
          <w:sz w:val="30"/>
          <w:szCs w:val="30"/>
        </w:rPr>
      </w:pPr>
    </w:p>
    <w:p>
      <w:pPr>
        <w:spacing w:line="520" w:lineRule="exact"/>
        <w:jc w:val="left"/>
        <w:rPr>
          <w:rFonts w:hint="eastAsia" w:asciiTheme="minorEastAsia" w:hAnsiTheme="minorEastAsia" w:eastAsiaTheme="minorEastAsia"/>
          <w:b/>
          <w:w w:val="80"/>
          <w:sz w:val="30"/>
          <w:szCs w:val="30"/>
        </w:rPr>
      </w:pPr>
    </w:p>
    <w:p>
      <w:pPr>
        <w:spacing w:line="520" w:lineRule="exact"/>
        <w:jc w:val="left"/>
        <w:rPr>
          <w:rFonts w:asciiTheme="minorEastAsia" w:hAnsiTheme="minorEastAsia" w:eastAsiaTheme="minorEastAsia"/>
          <w:b/>
          <w:w w:val="80"/>
          <w:sz w:val="30"/>
          <w:szCs w:val="30"/>
        </w:rPr>
      </w:pPr>
      <w:r>
        <w:rPr>
          <w:rFonts w:hint="eastAsia" w:asciiTheme="minorEastAsia" w:hAnsiTheme="minorEastAsia" w:eastAsiaTheme="minorEastAsia"/>
          <w:b/>
          <w:w w:val="80"/>
          <w:sz w:val="30"/>
          <w:szCs w:val="30"/>
        </w:rPr>
        <w:t>附件</w:t>
      </w:r>
    </w:p>
    <w:p>
      <w:pPr>
        <w:widowControl/>
        <w:shd w:val="clear" w:color="auto" w:fill="FFFFFF"/>
        <w:spacing w:line="450" w:lineRule="atLeast"/>
        <w:jc w:val="center"/>
        <w:rPr>
          <w:rFonts w:ascii="仿宋" w:hAnsi="仿宋" w:eastAsia="仿宋" w:cs="宋体"/>
          <w:kern w:val="0"/>
          <w:sz w:val="32"/>
          <w:szCs w:val="32"/>
        </w:rPr>
      </w:pPr>
      <w:r>
        <w:rPr>
          <w:rFonts w:hint="eastAsia" w:ascii="仿宋" w:hAnsi="仿宋" w:eastAsia="仿宋" w:cs="宋体"/>
          <w:kern w:val="0"/>
          <w:sz w:val="32"/>
          <w:szCs w:val="32"/>
        </w:rPr>
        <w:t>盐城幼儿师范高等专科学校</w:t>
      </w:r>
    </w:p>
    <w:p>
      <w:pPr>
        <w:widowControl/>
        <w:shd w:val="clear" w:color="auto" w:fill="FFFFFF"/>
        <w:spacing w:line="450" w:lineRule="atLeast"/>
        <w:jc w:val="center"/>
        <w:rPr>
          <w:rFonts w:ascii="仿宋" w:hAnsi="仿宋" w:eastAsia="仿宋" w:cs="宋体"/>
          <w:kern w:val="0"/>
          <w:sz w:val="32"/>
          <w:szCs w:val="32"/>
        </w:rPr>
      </w:pPr>
      <w:r>
        <w:rPr>
          <w:rFonts w:hint="eastAsia" w:ascii="仿宋" w:hAnsi="仿宋" w:eastAsia="仿宋" w:cs="宋体"/>
          <w:kern w:val="0"/>
          <w:sz w:val="32"/>
          <w:szCs w:val="32"/>
        </w:rPr>
        <w:t>服务外包项目管理办法</w:t>
      </w:r>
    </w:p>
    <w:p>
      <w:pPr>
        <w:widowControl/>
        <w:shd w:val="clear" w:color="auto" w:fill="FFFFFF"/>
        <w:spacing w:line="450" w:lineRule="atLeast"/>
        <w:jc w:val="center"/>
        <w:rPr>
          <w:rFonts w:ascii="仿宋" w:hAnsi="仿宋" w:eastAsia="仿宋" w:cs="宋体"/>
          <w:b/>
          <w:kern w:val="0"/>
          <w:sz w:val="28"/>
          <w:szCs w:val="28"/>
        </w:rPr>
      </w:pPr>
      <w:r>
        <w:rPr>
          <w:rFonts w:hint="eastAsia" w:ascii="仿宋" w:hAnsi="仿宋" w:eastAsia="仿宋" w:cs="宋体"/>
          <w:b/>
          <w:kern w:val="0"/>
          <w:sz w:val="28"/>
          <w:szCs w:val="28"/>
        </w:rPr>
        <w:t>第一章总则</w:t>
      </w:r>
    </w:p>
    <w:p>
      <w:pPr>
        <w:widowControl/>
        <w:shd w:val="clear" w:color="auto" w:fill="FFFFFF"/>
        <w:spacing w:line="480" w:lineRule="exact"/>
        <w:jc w:val="left"/>
        <w:rPr>
          <w:rFonts w:ascii="仿宋" w:hAnsi="仿宋" w:eastAsia="仿宋" w:cs="宋体"/>
          <w:kern w:val="0"/>
          <w:sz w:val="28"/>
          <w:szCs w:val="28"/>
        </w:rPr>
      </w:pPr>
      <w:r>
        <w:rPr>
          <w:rFonts w:hint="eastAsia" w:ascii="仿宋" w:hAnsi="仿宋" w:eastAsia="仿宋" w:cs="宋体"/>
          <w:kern w:val="0"/>
          <w:sz w:val="28"/>
          <w:szCs w:val="28"/>
        </w:rPr>
        <w:t>第一条</w:t>
      </w:r>
      <w:r>
        <w:rPr>
          <w:rFonts w:hint="eastAsia" w:ascii="宋体" w:hAnsi="宋体" w:cs="宋体"/>
          <w:kern w:val="0"/>
          <w:sz w:val="28"/>
          <w:szCs w:val="28"/>
        </w:rPr>
        <w:t> </w:t>
      </w:r>
      <w:r>
        <w:rPr>
          <w:rFonts w:hint="eastAsia" w:ascii="仿宋" w:hAnsi="仿宋" w:eastAsia="仿宋" w:cs="宋体"/>
          <w:kern w:val="0"/>
          <w:sz w:val="28"/>
          <w:szCs w:val="28"/>
        </w:rPr>
        <w:t>为进一步规范后勤服务外包项目采购、签约、监督管理工作，提高学校后勤服务保障能力和水平，特制定本办法。</w:t>
      </w:r>
    </w:p>
    <w:p>
      <w:pPr>
        <w:widowControl/>
        <w:shd w:val="clear" w:color="auto" w:fill="FFFFFF"/>
        <w:spacing w:line="480" w:lineRule="exact"/>
        <w:jc w:val="left"/>
        <w:rPr>
          <w:rFonts w:ascii="仿宋" w:hAnsi="仿宋" w:eastAsia="仿宋" w:cs="宋体"/>
          <w:kern w:val="0"/>
          <w:sz w:val="28"/>
          <w:szCs w:val="28"/>
        </w:rPr>
      </w:pPr>
      <w:r>
        <w:rPr>
          <w:rFonts w:hint="eastAsia" w:ascii="仿宋" w:hAnsi="仿宋" w:eastAsia="仿宋" w:cs="宋体"/>
          <w:kern w:val="0"/>
          <w:sz w:val="28"/>
          <w:szCs w:val="28"/>
        </w:rPr>
        <w:t>第二条</w:t>
      </w:r>
      <w:r>
        <w:rPr>
          <w:rFonts w:hint="eastAsia" w:ascii="宋体" w:hAnsi="宋体" w:cs="宋体"/>
          <w:kern w:val="0"/>
          <w:sz w:val="28"/>
          <w:szCs w:val="28"/>
        </w:rPr>
        <w:t> </w:t>
      </w:r>
      <w:r>
        <w:rPr>
          <w:rFonts w:hint="eastAsia" w:ascii="仿宋" w:hAnsi="仿宋" w:eastAsia="仿宋" w:cs="宋体"/>
          <w:kern w:val="0"/>
          <w:sz w:val="28"/>
          <w:szCs w:val="28"/>
        </w:rPr>
        <w:t>后勤服务外包项目管理工作以服务师生员工为宗旨，以契约管理、严格监督、依规奖惩、提质增效为基本管理原则，以提供安全、优质、高效的服务满足师生生活需要为目标。</w:t>
      </w:r>
    </w:p>
    <w:p>
      <w:pPr>
        <w:widowControl/>
        <w:shd w:val="clear" w:color="auto" w:fill="FFFFFF"/>
        <w:spacing w:line="480" w:lineRule="exact"/>
        <w:jc w:val="left"/>
        <w:rPr>
          <w:rFonts w:ascii="仿宋" w:hAnsi="仿宋" w:eastAsia="仿宋" w:cs="宋体"/>
          <w:kern w:val="0"/>
          <w:sz w:val="28"/>
          <w:szCs w:val="28"/>
        </w:rPr>
      </w:pPr>
      <w:r>
        <w:rPr>
          <w:rFonts w:hint="eastAsia" w:ascii="仿宋" w:hAnsi="仿宋" w:eastAsia="仿宋" w:cs="宋体"/>
          <w:kern w:val="0"/>
          <w:sz w:val="28"/>
          <w:szCs w:val="28"/>
        </w:rPr>
        <w:t>第三条</w:t>
      </w:r>
      <w:r>
        <w:rPr>
          <w:rFonts w:hint="eastAsia" w:ascii="宋体" w:hAnsi="宋体" w:cs="宋体"/>
          <w:kern w:val="0"/>
          <w:sz w:val="28"/>
          <w:szCs w:val="28"/>
        </w:rPr>
        <w:t> </w:t>
      </w:r>
      <w:r>
        <w:rPr>
          <w:rFonts w:hint="eastAsia" w:ascii="仿宋" w:hAnsi="仿宋" w:eastAsia="仿宋" w:cs="宋体"/>
          <w:kern w:val="0"/>
          <w:sz w:val="28"/>
          <w:szCs w:val="28"/>
        </w:rPr>
        <w:t>本办法适用于后勤管理处对食堂、超市、咖啡厅、洗衣房、浴室、直饮水、理发室、绿化养护、水电维护、电梯维护、灭鼠灭蟑、生活垃圾、电信、移动营业厅、空调租赁服务、大环境卫生、零星维修服务单位等各项服务外包工作的管理。</w:t>
      </w:r>
    </w:p>
    <w:p>
      <w:pPr>
        <w:widowControl/>
        <w:shd w:val="clear" w:color="auto" w:fill="FFFFFF"/>
        <w:spacing w:line="480" w:lineRule="exact"/>
        <w:jc w:val="left"/>
        <w:rPr>
          <w:rFonts w:ascii="仿宋" w:hAnsi="仿宋" w:eastAsia="仿宋" w:cs="宋体"/>
          <w:kern w:val="0"/>
          <w:sz w:val="28"/>
          <w:szCs w:val="28"/>
        </w:rPr>
      </w:pPr>
      <w:r>
        <w:rPr>
          <w:rFonts w:hint="eastAsia" w:ascii="仿宋" w:hAnsi="仿宋" w:eastAsia="仿宋" w:cs="宋体"/>
          <w:kern w:val="0"/>
          <w:sz w:val="28"/>
          <w:szCs w:val="28"/>
        </w:rPr>
        <w:t>第四条  本办法使用区域包括学海路校区、海洋路校区、建校校区家属区、阜师校区家属区。</w:t>
      </w:r>
    </w:p>
    <w:p>
      <w:pPr>
        <w:widowControl/>
        <w:shd w:val="clear" w:color="auto" w:fill="FFFFFF"/>
        <w:spacing w:line="480" w:lineRule="exact"/>
        <w:jc w:val="center"/>
        <w:rPr>
          <w:rFonts w:ascii="仿宋" w:hAnsi="仿宋" w:eastAsia="仿宋" w:cs="宋体"/>
          <w:b/>
          <w:kern w:val="0"/>
          <w:sz w:val="28"/>
          <w:szCs w:val="28"/>
        </w:rPr>
      </w:pPr>
      <w:r>
        <w:rPr>
          <w:rFonts w:hint="eastAsia" w:ascii="仿宋" w:hAnsi="仿宋" w:eastAsia="仿宋" w:cs="宋体"/>
          <w:b/>
          <w:kern w:val="0"/>
          <w:sz w:val="28"/>
          <w:szCs w:val="28"/>
        </w:rPr>
        <w:t>第二章采购</w:t>
      </w:r>
    </w:p>
    <w:p>
      <w:pPr>
        <w:widowControl/>
        <w:shd w:val="clear" w:color="auto" w:fill="FFFFFF"/>
        <w:spacing w:line="480" w:lineRule="exact"/>
        <w:jc w:val="left"/>
        <w:rPr>
          <w:rFonts w:ascii="仿宋" w:hAnsi="仿宋" w:eastAsia="仿宋" w:cs="宋体"/>
          <w:kern w:val="0"/>
          <w:sz w:val="28"/>
          <w:szCs w:val="28"/>
        </w:rPr>
      </w:pPr>
      <w:r>
        <w:rPr>
          <w:rFonts w:hint="eastAsia" w:ascii="仿宋" w:hAnsi="仿宋" w:eastAsia="仿宋" w:cs="宋体"/>
          <w:kern w:val="0"/>
          <w:sz w:val="28"/>
          <w:szCs w:val="28"/>
        </w:rPr>
        <w:t>第五条  根据学校工作需要，经学校研究同意后，后勤管理处在多方调研基础上编制服务外包项目采购需求和预算等具体情况，按照财务审批权限与流程进行预算报学校、市财政部门审批，审批通过后方可依据审批意见进入采购程序。</w:t>
      </w:r>
    </w:p>
    <w:p>
      <w:pPr>
        <w:widowControl/>
        <w:shd w:val="clear" w:color="auto" w:fill="FFFFFF"/>
        <w:spacing w:line="480" w:lineRule="exact"/>
        <w:jc w:val="left"/>
        <w:rPr>
          <w:rFonts w:ascii="仿宋" w:hAnsi="仿宋" w:eastAsia="仿宋" w:cs="宋体"/>
          <w:kern w:val="0"/>
          <w:sz w:val="28"/>
          <w:szCs w:val="28"/>
        </w:rPr>
      </w:pPr>
      <w:r>
        <w:rPr>
          <w:rFonts w:hint="eastAsia" w:ascii="仿宋" w:hAnsi="仿宋" w:eastAsia="仿宋" w:cs="宋体"/>
          <w:kern w:val="0"/>
          <w:sz w:val="28"/>
          <w:szCs w:val="28"/>
        </w:rPr>
        <w:t>第六条  招标办具体负责服务外包项目采购工作。</w:t>
      </w:r>
    </w:p>
    <w:p>
      <w:pPr>
        <w:widowControl/>
        <w:shd w:val="clear" w:color="auto" w:fill="FFFFFF"/>
        <w:spacing w:line="480" w:lineRule="exact"/>
        <w:jc w:val="center"/>
        <w:rPr>
          <w:rFonts w:ascii="仿宋" w:hAnsi="仿宋" w:eastAsia="仿宋" w:cs="宋体"/>
          <w:b/>
          <w:kern w:val="0"/>
          <w:sz w:val="28"/>
          <w:szCs w:val="28"/>
        </w:rPr>
      </w:pPr>
      <w:r>
        <w:rPr>
          <w:rFonts w:hint="eastAsia" w:ascii="仿宋" w:hAnsi="仿宋" w:eastAsia="仿宋" w:cs="宋体"/>
          <w:b/>
          <w:kern w:val="0"/>
          <w:sz w:val="28"/>
          <w:szCs w:val="28"/>
        </w:rPr>
        <w:t>第三章  合同管理</w:t>
      </w:r>
    </w:p>
    <w:p>
      <w:pPr>
        <w:widowControl/>
        <w:shd w:val="clear" w:color="auto" w:fill="FFFFFF"/>
        <w:spacing w:line="480" w:lineRule="exact"/>
        <w:jc w:val="left"/>
        <w:rPr>
          <w:rFonts w:ascii="仿宋" w:hAnsi="仿宋" w:eastAsia="仿宋" w:cs="宋体"/>
          <w:kern w:val="0"/>
          <w:sz w:val="28"/>
          <w:szCs w:val="28"/>
        </w:rPr>
      </w:pPr>
      <w:r>
        <w:rPr>
          <w:rFonts w:hint="eastAsia" w:ascii="仿宋" w:hAnsi="仿宋" w:eastAsia="仿宋" w:cs="宋体"/>
          <w:kern w:val="0"/>
          <w:sz w:val="28"/>
          <w:szCs w:val="28"/>
        </w:rPr>
        <w:t>第七条</w:t>
      </w:r>
      <w:r>
        <w:rPr>
          <w:rFonts w:hint="eastAsia" w:ascii="宋体" w:hAnsi="宋体" w:cs="宋体"/>
          <w:kern w:val="0"/>
          <w:sz w:val="28"/>
          <w:szCs w:val="28"/>
        </w:rPr>
        <w:t> </w:t>
      </w:r>
      <w:r>
        <w:rPr>
          <w:rFonts w:hint="eastAsia" w:ascii="仿宋" w:hAnsi="仿宋" w:eastAsia="仿宋" w:cs="宋体"/>
          <w:kern w:val="0"/>
          <w:sz w:val="28"/>
          <w:szCs w:val="28"/>
        </w:rPr>
        <w:t>根据采购文件约定或学校审批意见，后勤管理处负责代表学校与服务外包项目承包人完成合同的签订工作。</w:t>
      </w:r>
    </w:p>
    <w:p>
      <w:pPr>
        <w:widowControl/>
        <w:shd w:val="clear" w:color="auto" w:fill="FFFFFF"/>
        <w:spacing w:line="480" w:lineRule="exact"/>
        <w:jc w:val="left"/>
        <w:rPr>
          <w:rFonts w:ascii="仿宋" w:hAnsi="仿宋" w:eastAsia="仿宋" w:cs="宋体"/>
          <w:kern w:val="0"/>
          <w:sz w:val="28"/>
          <w:szCs w:val="28"/>
        </w:rPr>
      </w:pPr>
      <w:r>
        <w:rPr>
          <w:rFonts w:hint="eastAsia" w:ascii="仿宋" w:hAnsi="仿宋" w:eastAsia="仿宋" w:cs="宋体"/>
          <w:kern w:val="0"/>
          <w:sz w:val="28"/>
          <w:szCs w:val="28"/>
        </w:rPr>
        <w:t>第八条</w:t>
      </w:r>
      <w:r>
        <w:rPr>
          <w:rFonts w:hint="eastAsia" w:ascii="宋体" w:hAnsi="宋体" w:cs="宋体"/>
          <w:kern w:val="0"/>
          <w:sz w:val="28"/>
          <w:szCs w:val="28"/>
        </w:rPr>
        <w:t> </w:t>
      </w:r>
      <w:r>
        <w:rPr>
          <w:rFonts w:hint="eastAsia" w:ascii="仿宋" w:hAnsi="仿宋" w:eastAsia="仿宋" w:cs="宋体"/>
          <w:kern w:val="0"/>
          <w:sz w:val="28"/>
          <w:szCs w:val="28"/>
        </w:rPr>
        <w:t>合同文本格式必须按照学校要求执行，合同中要明确服务外包项目具体内容、服务标准、考核方式方法、合同金额及支付方式要求、合同期限、双方的项目负责人及职责权限、双方的权利和义务、</w:t>
      </w:r>
      <w:r>
        <w:rPr>
          <w:rFonts w:ascii="仿宋" w:hAnsi="仿宋" w:eastAsia="仿宋" w:cs="宋体"/>
          <w:kern w:val="0"/>
          <w:sz w:val="28"/>
          <w:szCs w:val="28"/>
        </w:rPr>
        <w:t>法律适用与争议解决</w:t>
      </w:r>
      <w:r>
        <w:rPr>
          <w:rFonts w:hint="eastAsia" w:ascii="仿宋" w:hAnsi="仿宋" w:eastAsia="仿宋" w:cs="宋体"/>
          <w:kern w:val="0"/>
          <w:sz w:val="28"/>
          <w:szCs w:val="28"/>
        </w:rPr>
        <w:t>、合同文件构成及法律效率排序等。</w:t>
      </w:r>
    </w:p>
    <w:p>
      <w:pPr>
        <w:widowControl/>
        <w:shd w:val="clear" w:color="auto" w:fill="FFFFFF"/>
        <w:spacing w:line="480" w:lineRule="exact"/>
        <w:jc w:val="center"/>
        <w:rPr>
          <w:rFonts w:ascii="仿宋" w:hAnsi="仿宋" w:eastAsia="仿宋" w:cs="宋体"/>
          <w:b/>
          <w:kern w:val="0"/>
          <w:sz w:val="28"/>
          <w:szCs w:val="28"/>
        </w:rPr>
      </w:pPr>
      <w:r>
        <w:rPr>
          <w:rFonts w:hint="eastAsia" w:ascii="仿宋" w:hAnsi="仿宋" w:eastAsia="仿宋" w:cs="宋体"/>
          <w:b/>
          <w:kern w:val="0"/>
          <w:sz w:val="28"/>
          <w:szCs w:val="28"/>
        </w:rPr>
        <w:t>第四章监督、考核、处罚</w:t>
      </w:r>
    </w:p>
    <w:p>
      <w:pPr>
        <w:widowControl/>
        <w:shd w:val="clear" w:color="auto" w:fill="FFFFFF"/>
        <w:spacing w:line="480" w:lineRule="exact"/>
        <w:jc w:val="left"/>
        <w:rPr>
          <w:rFonts w:ascii="仿宋" w:hAnsi="仿宋" w:eastAsia="仿宋" w:cs="宋体"/>
          <w:kern w:val="0"/>
          <w:sz w:val="28"/>
          <w:szCs w:val="28"/>
        </w:rPr>
      </w:pPr>
      <w:r>
        <w:rPr>
          <w:rFonts w:hint="eastAsia" w:ascii="仿宋" w:hAnsi="仿宋" w:eastAsia="仿宋" w:cs="宋体"/>
          <w:kern w:val="0"/>
          <w:sz w:val="28"/>
          <w:szCs w:val="28"/>
        </w:rPr>
        <w:t>第九条根据国家的法律法规、政策、文件和服务行业的规范标准，依据后勤服务外包项目采购文件、合同，结合学校相关规章制度，后勤管理处积极加强和完善对后勤服务外包项目承包人的管理，努力为师生员工提供优质服务。</w:t>
      </w:r>
    </w:p>
    <w:p>
      <w:pPr>
        <w:widowControl/>
        <w:shd w:val="clear" w:color="auto" w:fill="FFFFFF"/>
        <w:spacing w:line="480" w:lineRule="exact"/>
        <w:jc w:val="left"/>
        <w:rPr>
          <w:rFonts w:ascii="仿宋" w:hAnsi="仿宋" w:eastAsia="仿宋" w:cs="宋体"/>
          <w:kern w:val="0"/>
          <w:sz w:val="28"/>
          <w:szCs w:val="28"/>
        </w:rPr>
      </w:pPr>
      <w:r>
        <w:rPr>
          <w:rFonts w:hint="eastAsia" w:ascii="仿宋" w:hAnsi="仿宋" w:eastAsia="仿宋" w:cs="宋体"/>
          <w:kern w:val="0"/>
          <w:sz w:val="28"/>
          <w:szCs w:val="28"/>
        </w:rPr>
        <w:t>第十条</w:t>
      </w:r>
      <w:r>
        <w:rPr>
          <w:rFonts w:hint="eastAsia" w:ascii="宋体" w:hAnsi="宋体" w:cs="宋体"/>
          <w:kern w:val="0"/>
          <w:sz w:val="28"/>
          <w:szCs w:val="28"/>
        </w:rPr>
        <w:t> </w:t>
      </w:r>
      <w:r>
        <w:rPr>
          <w:rFonts w:hint="eastAsia" w:ascii="仿宋" w:hAnsi="仿宋" w:eastAsia="仿宋" w:cs="宋体"/>
          <w:kern w:val="0"/>
          <w:sz w:val="28"/>
          <w:szCs w:val="28"/>
        </w:rPr>
        <w:t>后勤管理处负责统一监督服务外包项目承包人履约情况，主要监督内容包括但不限于：</w:t>
      </w:r>
    </w:p>
    <w:p>
      <w:pPr>
        <w:widowControl/>
        <w:shd w:val="clear" w:color="auto" w:fill="FFFFFF"/>
        <w:spacing w:line="480" w:lineRule="exact"/>
        <w:jc w:val="left"/>
        <w:rPr>
          <w:rFonts w:ascii="仿宋" w:hAnsi="仿宋" w:eastAsia="仿宋" w:cs="宋体"/>
          <w:kern w:val="0"/>
          <w:sz w:val="28"/>
          <w:szCs w:val="28"/>
        </w:rPr>
      </w:pPr>
      <w:r>
        <w:rPr>
          <w:rFonts w:ascii="仿宋" w:hAnsi="仿宋" w:eastAsia="仿宋" w:cs="宋体"/>
          <w:kern w:val="0"/>
          <w:sz w:val="28"/>
          <w:szCs w:val="28"/>
        </w:rPr>
        <w:t>1.</w:t>
      </w:r>
      <w:r>
        <w:rPr>
          <w:rFonts w:hint="eastAsia" w:ascii="仿宋" w:hAnsi="仿宋" w:eastAsia="仿宋" w:cs="宋体"/>
          <w:kern w:val="0"/>
          <w:sz w:val="28"/>
          <w:szCs w:val="28"/>
        </w:rPr>
        <w:t>督查是否按照采购文件、合同的约定服务项目、服务价格进行服务，新增服务项目、服务价格是否经过审批。新增项目审批必须重点审查以下内容（包含但不限于）：是否具备服务经营资格，是否存在经营纠纷，改造方案是否可行，服务安全是否存有隐患，服务价格是否适当，水电线路改造是否可行，电力负荷增加是否满足，监控系统是否满足；</w:t>
      </w:r>
    </w:p>
    <w:p>
      <w:pPr>
        <w:widowControl/>
        <w:shd w:val="clear" w:color="auto" w:fill="FFFFFF"/>
        <w:spacing w:line="480" w:lineRule="exact"/>
        <w:jc w:val="left"/>
        <w:rPr>
          <w:rFonts w:ascii="仿宋" w:hAnsi="仿宋" w:eastAsia="仿宋" w:cs="宋体"/>
          <w:kern w:val="0"/>
          <w:sz w:val="28"/>
          <w:szCs w:val="28"/>
        </w:rPr>
      </w:pPr>
      <w:r>
        <w:rPr>
          <w:rFonts w:ascii="仿宋" w:hAnsi="仿宋" w:eastAsia="仿宋" w:cs="宋体"/>
          <w:kern w:val="0"/>
          <w:sz w:val="28"/>
          <w:szCs w:val="28"/>
        </w:rPr>
        <w:t>2.</w:t>
      </w:r>
      <w:r>
        <w:rPr>
          <w:rFonts w:hint="eastAsia" w:ascii="仿宋" w:hAnsi="仿宋" w:eastAsia="仿宋" w:cs="宋体"/>
          <w:kern w:val="0"/>
          <w:sz w:val="28"/>
          <w:szCs w:val="28"/>
        </w:rPr>
        <w:t>督查服务项目运行是否存在安全隐患；</w:t>
      </w:r>
    </w:p>
    <w:p>
      <w:pPr>
        <w:widowControl/>
        <w:shd w:val="clear" w:color="auto" w:fill="FFFFFF"/>
        <w:spacing w:line="480" w:lineRule="exact"/>
        <w:jc w:val="left"/>
        <w:rPr>
          <w:rFonts w:ascii="仿宋" w:hAnsi="仿宋" w:eastAsia="仿宋" w:cs="宋体"/>
          <w:kern w:val="0"/>
          <w:sz w:val="28"/>
          <w:szCs w:val="28"/>
        </w:rPr>
      </w:pPr>
      <w:r>
        <w:rPr>
          <w:rFonts w:hint="eastAsia" w:ascii="仿宋" w:hAnsi="仿宋" w:eastAsia="仿宋" w:cs="宋体"/>
          <w:kern w:val="0"/>
          <w:sz w:val="28"/>
          <w:szCs w:val="28"/>
        </w:rPr>
        <w:t>3.审核考核资料是否按照要求提供完整、真实；</w:t>
      </w:r>
    </w:p>
    <w:p>
      <w:pPr>
        <w:widowControl/>
        <w:shd w:val="clear" w:color="auto" w:fill="FFFFFF"/>
        <w:spacing w:line="480" w:lineRule="exact"/>
        <w:jc w:val="left"/>
        <w:rPr>
          <w:rFonts w:ascii="仿宋" w:hAnsi="仿宋" w:eastAsia="仿宋" w:cs="宋体"/>
          <w:kern w:val="0"/>
          <w:sz w:val="28"/>
          <w:szCs w:val="28"/>
        </w:rPr>
      </w:pPr>
      <w:r>
        <w:rPr>
          <w:rFonts w:hint="eastAsia" w:ascii="仿宋" w:hAnsi="仿宋" w:eastAsia="仿宋" w:cs="宋体"/>
          <w:kern w:val="0"/>
          <w:sz w:val="28"/>
          <w:szCs w:val="28"/>
        </w:rPr>
        <w:t>4</w:t>
      </w:r>
      <w:r>
        <w:rPr>
          <w:rFonts w:ascii="仿宋" w:hAnsi="仿宋" w:eastAsia="仿宋" w:cs="宋体"/>
          <w:kern w:val="0"/>
          <w:sz w:val="28"/>
          <w:szCs w:val="28"/>
        </w:rPr>
        <w:t>.</w:t>
      </w:r>
      <w:r>
        <w:rPr>
          <w:rFonts w:hint="eastAsia" w:ascii="仿宋" w:hAnsi="仿宋" w:eastAsia="仿宋" w:cs="宋体"/>
          <w:kern w:val="0"/>
          <w:sz w:val="28"/>
          <w:szCs w:val="28"/>
        </w:rPr>
        <w:t>审核上级行政管理部门和学校实施的各项检查是否合格、整改是否完成；</w:t>
      </w:r>
    </w:p>
    <w:p>
      <w:pPr>
        <w:widowControl/>
        <w:shd w:val="clear" w:color="auto" w:fill="FFFFFF"/>
        <w:spacing w:line="480" w:lineRule="exact"/>
        <w:jc w:val="left"/>
        <w:rPr>
          <w:rFonts w:ascii="仿宋" w:hAnsi="仿宋" w:eastAsia="仿宋" w:cs="宋体"/>
          <w:kern w:val="0"/>
          <w:sz w:val="28"/>
          <w:szCs w:val="28"/>
        </w:rPr>
      </w:pPr>
      <w:r>
        <w:rPr>
          <w:rFonts w:hint="eastAsia" w:ascii="仿宋" w:hAnsi="仿宋" w:eastAsia="仿宋" w:cs="宋体"/>
          <w:kern w:val="0"/>
          <w:sz w:val="28"/>
          <w:szCs w:val="28"/>
        </w:rPr>
        <w:t>5.审核服务外包项目承包人是否自觉接受和主动配合后勤管理处及其他学校部门的检查监督，后勤管理处布置的工作是否在规定时限内落实到位。服务外包项目承包人车辆、送货车辆均须在进场前向校安全保卫部门进行备案审查；通过审查的服务外包项目承包人车辆、送货车辆，进校须按指定路线低速行驶，不得乱鸣.</w:t>
      </w:r>
    </w:p>
    <w:p>
      <w:pPr>
        <w:widowControl/>
        <w:shd w:val="clear" w:color="auto" w:fill="FFFFFF"/>
        <w:spacing w:line="480" w:lineRule="exact"/>
        <w:jc w:val="left"/>
        <w:rPr>
          <w:rFonts w:ascii="仿宋" w:hAnsi="仿宋" w:eastAsia="仿宋" w:cs="宋体"/>
          <w:kern w:val="0"/>
          <w:sz w:val="28"/>
          <w:szCs w:val="28"/>
        </w:rPr>
      </w:pPr>
      <w:r>
        <w:rPr>
          <w:rFonts w:hint="eastAsia" w:ascii="仿宋" w:hAnsi="仿宋" w:eastAsia="仿宋" w:cs="宋体"/>
          <w:kern w:val="0"/>
          <w:sz w:val="28"/>
          <w:szCs w:val="28"/>
        </w:rPr>
        <w:t>6.督查有固定经营场地的服务外包项目是否严格执行</w:t>
      </w:r>
      <w:r>
        <w:rPr>
          <w:rFonts w:ascii="仿宋" w:hAnsi="仿宋" w:eastAsia="仿宋" w:cs="宋体"/>
          <w:kern w:val="0"/>
          <w:sz w:val="28"/>
          <w:szCs w:val="28"/>
        </w:rPr>
        <w:t>“门前三包”</w:t>
      </w:r>
      <w:r>
        <w:rPr>
          <w:rFonts w:hint="eastAsia" w:ascii="仿宋" w:hAnsi="仿宋" w:eastAsia="仿宋" w:cs="宋体"/>
          <w:kern w:val="0"/>
          <w:sz w:val="28"/>
          <w:szCs w:val="28"/>
        </w:rPr>
        <w:t>（</w:t>
      </w:r>
      <w:r>
        <w:rPr>
          <w:rFonts w:ascii="仿宋" w:hAnsi="仿宋" w:eastAsia="仿宋" w:cs="宋体"/>
          <w:kern w:val="0"/>
          <w:sz w:val="28"/>
          <w:szCs w:val="28"/>
        </w:rPr>
        <w:t>指包卫生、包绿化、包秩序。其中，包卫生，即做到</w:t>
      </w:r>
      <w:r>
        <w:rPr>
          <w:rFonts w:hint="eastAsia" w:ascii="仿宋" w:hAnsi="仿宋" w:eastAsia="仿宋" w:cs="宋体"/>
          <w:kern w:val="0"/>
          <w:sz w:val="28"/>
          <w:szCs w:val="28"/>
        </w:rPr>
        <w:t>经营场地周边</w:t>
      </w:r>
      <w:r>
        <w:rPr>
          <w:rFonts w:ascii="仿宋" w:hAnsi="仿宋" w:eastAsia="仿宋" w:cs="宋体"/>
          <w:kern w:val="0"/>
          <w:sz w:val="28"/>
          <w:szCs w:val="28"/>
        </w:rPr>
        <w:t>无垃圾杂物、无污水、无污垢、无油渍或严重积尘，</w:t>
      </w:r>
      <w:r>
        <w:fldChar w:fldCharType="begin"/>
      </w:r>
      <w:r>
        <w:instrText xml:space="preserve"> HYPERLINK "https://baike.sogou.com/lemma/ShowInnerLink.htm?lemmaId=71611950&amp;ss_c=ssc.citiao.link" \t "_blank" </w:instrText>
      </w:r>
      <w:r>
        <w:fldChar w:fldCharType="separate"/>
      </w:r>
      <w:r>
        <w:rPr>
          <w:rFonts w:ascii="仿宋" w:hAnsi="仿宋" w:eastAsia="仿宋" w:cs="宋体"/>
          <w:kern w:val="0"/>
          <w:sz w:val="28"/>
          <w:szCs w:val="28"/>
        </w:rPr>
        <w:t>遮阳棚</w:t>
      </w:r>
      <w:r>
        <w:rPr>
          <w:rFonts w:ascii="仿宋" w:hAnsi="仿宋" w:eastAsia="仿宋" w:cs="宋体"/>
          <w:kern w:val="0"/>
          <w:sz w:val="28"/>
          <w:szCs w:val="28"/>
        </w:rPr>
        <w:fldChar w:fldCharType="end"/>
      </w:r>
      <w:r>
        <w:rPr>
          <w:rFonts w:ascii="仿宋" w:hAnsi="仿宋" w:eastAsia="仿宋" w:cs="宋体"/>
          <w:kern w:val="0"/>
          <w:sz w:val="28"/>
          <w:szCs w:val="28"/>
        </w:rPr>
        <w:t>规范、整洁，无破损</w:t>
      </w:r>
      <w:r>
        <w:rPr>
          <w:rFonts w:hint="eastAsia" w:ascii="仿宋" w:hAnsi="仿宋" w:eastAsia="仿宋" w:cs="宋体"/>
          <w:kern w:val="0"/>
          <w:sz w:val="28"/>
          <w:szCs w:val="28"/>
        </w:rPr>
        <w:t>，</w:t>
      </w:r>
      <w:r>
        <w:rPr>
          <w:rFonts w:ascii="仿宋" w:hAnsi="仿宋" w:eastAsia="仿宋" w:cs="宋体"/>
          <w:kern w:val="0"/>
          <w:sz w:val="28"/>
          <w:szCs w:val="28"/>
        </w:rPr>
        <w:t>卫生设施完好整洁，无破损；包绿化，即协助</w:t>
      </w:r>
      <w:r>
        <w:rPr>
          <w:rFonts w:hint="eastAsia" w:ascii="仿宋" w:hAnsi="仿宋" w:eastAsia="仿宋" w:cs="宋体"/>
          <w:kern w:val="0"/>
          <w:sz w:val="28"/>
          <w:szCs w:val="28"/>
        </w:rPr>
        <w:t>学校</w:t>
      </w:r>
      <w:r>
        <w:rPr>
          <w:rFonts w:ascii="仿宋" w:hAnsi="仿宋" w:eastAsia="仿宋" w:cs="宋体"/>
          <w:kern w:val="0"/>
          <w:sz w:val="28"/>
          <w:szCs w:val="28"/>
        </w:rPr>
        <w:t>管护好树木花草和绿化设施，及时清理门前花坛内的垃圾杂物，不攀树折枝，采摘花朵，不得在树干、树枝上钉钉子和乱挂杂物等；包秩序，即禁止乱挂晒、乱占道、乱堆放、乱张贴等影响市容秩序的行为，对其他行为人的乱停、乱靠、乱摆摊设点、乱挖掘等影响市容秩序的行为有监督、劝说和举报的责任等</w:t>
      </w:r>
      <w:r>
        <w:rPr>
          <w:rFonts w:hint="eastAsia" w:ascii="仿宋" w:hAnsi="仿宋" w:eastAsia="仿宋" w:cs="宋体"/>
          <w:kern w:val="0"/>
          <w:sz w:val="28"/>
          <w:szCs w:val="28"/>
        </w:rPr>
        <w:t>）。督查无固定经营场地的服务外包项目是否严格执行</w:t>
      </w:r>
      <w:r>
        <w:rPr>
          <w:rFonts w:ascii="仿宋" w:hAnsi="仿宋" w:eastAsia="仿宋" w:cs="宋体"/>
          <w:kern w:val="0"/>
          <w:sz w:val="28"/>
          <w:szCs w:val="28"/>
        </w:rPr>
        <w:t>“</w:t>
      </w:r>
      <w:r>
        <w:rPr>
          <w:rFonts w:hint="eastAsia" w:ascii="仿宋" w:hAnsi="仿宋" w:eastAsia="仿宋" w:cs="宋体"/>
          <w:kern w:val="0"/>
          <w:sz w:val="28"/>
          <w:szCs w:val="28"/>
        </w:rPr>
        <w:t>工完场清</w:t>
      </w:r>
      <w:r>
        <w:rPr>
          <w:rFonts w:ascii="仿宋" w:hAnsi="仿宋" w:eastAsia="仿宋" w:cs="宋体"/>
          <w:kern w:val="0"/>
          <w:sz w:val="28"/>
          <w:szCs w:val="28"/>
        </w:rPr>
        <w:t>”</w:t>
      </w:r>
      <w:r>
        <w:rPr>
          <w:rFonts w:hint="eastAsia" w:ascii="仿宋" w:hAnsi="仿宋" w:eastAsia="仿宋" w:cs="宋体"/>
          <w:kern w:val="0"/>
          <w:sz w:val="28"/>
          <w:szCs w:val="28"/>
        </w:rPr>
        <w:t>。</w:t>
      </w:r>
    </w:p>
    <w:p>
      <w:pPr>
        <w:widowControl/>
        <w:shd w:val="clear" w:color="auto" w:fill="FFFFFF"/>
        <w:spacing w:line="480" w:lineRule="exact"/>
        <w:jc w:val="left"/>
        <w:rPr>
          <w:rFonts w:ascii="仿宋" w:hAnsi="仿宋" w:eastAsia="仿宋" w:cs="宋体"/>
          <w:kern w:val="0"/>
          <w:sz w:val="28"/>
          <w:szCs w:val="28"/>
        </w:rPr>
      </w:pPr>
      <w:r>
        <w:rPr>
          <w:rFonts w:hint="eastAsia" w:ascii="仿宋" w:hAnsi="仿宋" w:eastAsia="仿宋" w:cs="宋体"/>
          <w:kern w:val="0"/>
          <w:sz w:val="28"/>
          <w:szCs w:val="28"/>
        </w:rPr>
        <w:t>7．督查水电费用和其他应缴纳给学校的费用是否准确、按时、规范缴纳，缴纳凭证是否按照要求提交复印件给后勤管理处。服务外包项目承包人会同后勤管理处生活服务中心服务外包管理员三人一起现场抄录水电表计量，填写一式三份《盐城幼专水电表抄录表》(附件1)并分别签字确认，一份由服务外包管理员报后勤管理处生活服务中心存档用于考核，一份由服务外包管理员交财务处用于结付，一份由服务外包项目承包人用于办理结付。</w:t>
      </w:r>
    </w:p>
    <w:p>
      <w:pPr>
        <w:widowControl/>
        <w:shd w:val="clear" w:color="auto" w:fill="FFFFFF"/>
        <w:spacing w:line="480" w:lineRule="exact"/>
        <w:ind w:firstLine="420"/>
        <w:jc w:val="left"/>
        <w:rPr>
          <w:rFonts w:ascii="仿宋" w:hAnsi="仿宋" w:eastAsia="仿宋" w:cs="宋体"/>
          <w:kern w:val="0"/>
          <w:sz w:val="28"/>
          <w:szCs w:val="28"/>
        </w:rPr>
      </w:pPr>
      <w:r>
        <w:rPr>
          <w:rFonts w:hint="eastAsia" w:ascii="仿宋" w:hAnsi="仿宋" w:eastAsia="仿宋" w:cs="宋体"/>
          <w:kern w:val="0"/>
          <w:sz w:val="28"/>
          <w:szCs w:val="28"/>
        </w:rPr>
        <w:t>水、电费按实际用量，依据规定价格，凭《盐城幼专水电表抄录表》向学校财务处缴纳水电费，并将缴费凭证复印件交服务外包管理员存档用于考核。</w:t>
      </w:r>
    </w:p>
    <w:p>
      <w:pPr>
        <w:widowControl/>
        <w:shd w:val="clear" w:color="auto" w:fill="FFFFFF"/>
        <w:spacing w:line="480" w:lineRule="exact"/>
        <w:jc w:val="left"/>
        <w:rPr>
          <w:rFonts w:ascii="仿宋" w:hAnsi="仿宋" w:eastAsia="仿宋" w:cs="宋体"/>
          <w:kern w:val="0"/>
          <w:sz w:val="28"/>
          <w:szCs w:val="28"/>
        </w:rPr>
      </w:pPr>
      <w:r>
        <w:rPr>
          <w:rFonts w:hint="eastAsia" w:ascii="仿宋" w:hAnsi="仿宋" w:eastAsia="仿宋" w:cs="宋体"/>
          <w:kern w:val="0"/>
          <w:sz w:val="28"/>
          <w:szCs w:val="28"/>
        </w:rPr>
        <w:t>第十一条</w:t>
      </w:r>
      <w:r>
        <w:rPr>
          <w:rFonts w:hint="eastAsia" w:ascii="宋体" w:hAnsi="宋体" w:cs="宋体"/>
          <w:kern w:val="0"/>
          <w:sz w:val="28"/>
          <w:szCs w:val="28"/>
        </w:rPr>
        <w:t> </w:t>
      </w:r>
      <w:r>
        <w:rPr>
          <w:rFonts w:hint="eastAsia" w:ascii="仿宋" w:hAnsi="仿宋" w:eastAsia="仿宋" w:cs="宋体"/>
          <w:kern w:val="0"/>
          <w:sz w:val="28"/>
          <w:szCs w:val="28"/>
        </w:rPr>
        <w:t>监督形式</w:t>
      </w:r>
    </w:p>
    <w:p>
      <w:pPr>
        <w:widowControl/>
        <w:shd w:val="clear" w:color="auto" w:fill="FFFFFF"/>
        <w:spacing w:line="480" w:lineRule="exact"/>
        <w:jc w:val="left"/>
        <w:rPr>
          <w:rFonts w:ascii="仿宋" w:hAnsi="仿宋" w:eastAsia="仿宋" w:cs="宋体"/>
          <w:kern w:val="0"/>
          <w:sz w:val="28"/>
          <w:szCs w:val="28"/>
        </w:rPr>
      </w:pPr>
      <w:r>
        <w:rPr>
          <w:rFonts w:ascii="仿宋" w:hAnsi="仿宋" w:eastAsia="仿宋" w:cs="宋体"/>
          <w:kern w:val="0"/>
          <w:sz w:val="28"/>
          <w:szCs w:val="28"/>
        </w:rPr>
        <w:t>1.</w:t>
      </w:r>
      <w:r>
        <w:rPr>
          <w:rFonts w:hint="eastAsia" w:ascii="仿宋" w:hAnsi="仿宋" w:eastAsia="仿宋" w:cs="宋体"/>
          <w:kern w:val="0"/>
          <w:sz w:val="28"/>
          <w:szCs w:val="28"/>
        </w:rPr>
        <w:t>常规工作检查。服务外包项目承包人是否按照行业规范和学校要求，建立健全规章制度并严格执行。后勤管理处对现场服务和服务资料进行定期和不定期的检查监督，检查情况存档用于考核（详见附件2），对发现的问题及时下发《服务外包项目专项任务交办单》（详见附件3），对整改时限和内容提出明确要求，任务完成情况存档用于考核。</w:t>
      </w:r>
    </w:p>
    <w:p>
      <w:pPr>
        <w:widowControl/>
        <w:shd w:val="clear" w:color="auto" w:fill="FFFFFF"/>
        <w:spacing w:line="480" w:lineRule="exact"/>
        <w:jc w:val="left"/>
        <w:rPr>
          <w:rFonts w:ascii="仿宋" w:hAnsi="仿宋" w:eastAsia="仿宋" w:cs="宋体"/>
          <w:kern w:val="0"/>
          <w:sz w:val="28"/>
          <w:szCs w:val="28"/>
        </w:rPr>
      </w:pPr>
      <w:r>
        <w:rPr>
          <w:rFonts w:ascii="仿宋" w:hAnsi="仿宋" w:eastAsia="仿宋" w:cs="宋体"/>
          <w:kern w:val="0"/>
          <w:sz w:val="28"/>
          <w:szCs w:val="28"/>
        </w:rPr>
        <w:t>2.</w:t>
      </w:r>
      <w:r>
        <w:rPr>
          <w:rFonts w:hint="eastAsia" w:ascii="仿宋" w:hAnsi="仿宋" w:eastAsia="仿宋" w:cs="宋体"/>
          <w:kern w:val="0"/>
          <w:sz w:val="28"/>
          <w:szCs w:val="28"/>
        </w:rPr>
        <w:t>师生员工投诉。师生员工可采取书面投诉、电话投诉、短信投诉、微信投诉等方式，对服务外包项目承包人在服务价格、服务质量、服务态度、服务效率等方面存在的问题进行投诉。投诉及处理情况存档用于考核。</w:t>
      </w:r>
    </w:p>
    <w:p>
      <w:pPr>
        <w:widowControl/>
        <w:shd w:val="clear" w:color="auto" w:fill="FFFFFF"/>
        <w:spacing w:line="480" w:lineRule="exact"/>
        <w:jc w:val="left"/>
        <w:rPr>
          <w:rFonts w:ascii="仿宋" w:hAnsi="仿宋" w:eastAsia="仿宋" w:cs="宋体"/>
          <w:kern w:val="0"/>
          <w:sz w:val="28"/>
          <w:szCs w:val="28"/>
        </w:rPr>
      </w:pPr>
      <w:r>
        <w:rPr>
          <w:rFonts w:ascii="仿宋" w:hAnsi="仿宋" w:eastAsia="仿宋" w:cs="宋体"/>
          <w:kern w:val="0"/>
          <w:sz w:val="28"/>
          <w:szCs w:val="28"/>
        </w:rPr>
        <w:t>3.</w:t>
      </w:r>
      <w:r>
        <w:rPr>
          <w:rFonts w:hint="eastAsia" w:ascii="仿宋" w:hAnsi="仿宋" w:eastAsia="仿宋" w:cs="宋体"/>
          <w:kern w:val="0"/>
          <w:sz w:val="28"/>
          <w:szCs w:val="28"/>
        </w:rPr>
        <w:t>征求师生意见。后勤管理处通过伙管会发放调查问卷、召开座谈会、联合现场考核等方式，征求师生员工对后勤服务外包项目的意见、建议。师生意见存档用于考核。</w:t>
      </w:r>
    </w:p>
    <w:p>
      <w:pPr>
        <w:widowControl/>
        <w:shd w:val="clear" w:color="auto" w:fill="FFFFFF"/>
        <w:spacing w:line="480" w:lineRule="exact"/>
        <w:jc w:val="left"/>
        <w:rPr>
          <w:rFonts w:ascii="仿宋" w:hAnsi="仿宋" w:eastAsia="仿宋" w:cs="宋体"/>
          <w:kern w:val="0"/>
          <w:sz w:val="28"/>
          <w:szCs w:val="28"/>
        </w:rPr>
      </w:pPr>
      <w:r>
        <w:rPr>
          <w:rFonts w:hint="eastAsia" w:ascii="仿宋" w:hAnsi="仿宋" w:eastAsia="仿宋" w:cs="宋体"/>
          <w:kern w:val="0"/>
          <w:sz w:val="28"/>
          <w:szCs w:val="28"/>
        </w:rPr>
        <w:t>第十二条  考核程序</w:t>
      </w:r>
    </w:p>
    <w:p>
      <w:pPr>
        <w:widowControl/>
        <w:shd w:val="clear" w:color="auto" w:fill="FFFFFF"/>
        <w:spacing w:line="480" w:lineRule="exact"/>
        <w:jc w:val="left"/>
        <w:rPr>
          <w:rFonts w:ascii="仿宋" w:hAnsi="仿宋" w:eastAsia="仿宋" w:cs="宋体"/>
          <w:kern w:val="0"/>
          <w:sz w:val="28"/>
          <w:szCs w:val="28"/>
        </w:rPr>
      </w:pPr>
      <w:r>
        <w:rPr>
          <w:rFonts w:hint="eastAsia" w:ascii="仿宋" w:hAnsi="仿宋" w:eastAsia="仿宋" w:cs="宋体"/>
          <w:kern w:val="0"/>
          <w:sz w:val="28"/>
          <w:szCs w:val="28"/>
        </w:rPr>
        <w:t>1.实施考核。后勤管理处依据采购文件、合同约定，结合项目特点，单独或联合其他部门对监督内容进行量化考核，形成考核结果。考核资料存档用于服务费用结付和下一阶段服务外包项目发包签约的参考。</w:t>
      </w:r>
    </w:p>
    <w:p>
      <w:pPr>
        <w:widowControl/>
        <w:shd w:val="clear" w:color="auto" w:fill="FFFFFF"/>
        <w:spacing w:line="480" w:lineRule="exact"/>
        <w:jc w:val="left"/>
        <w:rPr>
          <w:rFonts w:ascii="仿宋" w:hAnsi="仿宋" w:eastAsia="仿宋" w:cs="宋体"/>
          <w:kern w:val="0"/>
          <w:sz w:val="28"/>
          <w:szCs w:val="28"/>
        </w:rPr>
      </w:pPr>
      <w:r>
        <w:rPr>
          <w:rFonts w:hint="eastAsia" w:ascii="仿宋" w:hAnsi="仿宋" w:eastAsia="仿宋" w:cs="宋体"/>
          <w:kern w:val="0"/>
          <w:sz w:val="28"/>
          <w:szCs w:val="28"/>
        </w:rPr>
        <w:t>2.服务外包项目合作时限截止前，后勤管理处负责对服务外包项目进行考核汇总，提交考核情况报学校研究下一阶段服务外包项目采购、签约等问题。</w:t>
      </w:r>
    </w:p>
    <w:p>
      <w:pPr>
        <w:widowControl/>
        <w:shd w:val="clear" w:color="auto" w:fill="FFFFFF"/>
        <w:spacing w:line="480" w:lineRule="exact"/>
        <w:jc w:val="left"/>
        <w:rPr>
          <w:rFonts w:ascii="仿宋" w:hAnsi="仿宋" w:eastAsia="仿宋" w:cs="宋体"/>
          <w:kern w:val="0"/>
          <w:sz w:val="28"/>
          <w:szCs w:val="28"/>
        </w:rPr>
      </w:pPr>
      <w:r>
        <w:rPr>
          <w:rFonts w:hint="eastAsia" w:ascii="仿宋" w:hAnsi="仿宋" w:eastAsia="仿宋" w:cs="宋体"/>
          <w:kern w:val="0"/>
          <w:sz w:val="28"/>
          <w:szCs w:val="28"/>
        </w:rPr>
        <w:t>第十三条</w:t>
      </w:r>
      <w:r>
        <w:rPr>
          <w:rFonts w:hint="eastAsia" w:ascii="宋体" w:hAnsi="宋体" w:cs="宋体"/>
          <w:kern w:val="0"/>
          <w:sz w:val="28"/>
          <w:szCs w:val="28"/>
        </w:rPr>
        <w:t> </w:t>
      </w:r>
      <w:r>
        <w:rPr>
          <w:rFonts w:hint="eastAsia" w:ascii="仿宋" w:hAnsi="仿宋" w:eastAsia="仿宋" w:cs="宋体"/>
          <w:kern w:val="0"/>
          <w:sz w:val="28"/>
          <w:szCs w:val="28"/>
        </w:rPr>
        <w:t>依据采购文件、合同约定，服务外包项目承包人接受学校的处罚。</w:t>
      </w:r>
    </w:p>
    <w:p>
      <w:pPr>
        <w:widowControl/>
        <w:shd w:val="clear" w:color="auto" w:fill="FFFFFF"/>
        <w:spacing w:line="480" w:lineRule="exact"/>
        <w:jc w:val="left"/>
        <w:rPr>
          <w:rFonts w:ascii="仿宋" w:hAnsi="仿宋" w:eastAsia="仿宋" w:cs="宋体"/>
          <w:kern w:val="0"/>
          <w:sz w:val="28"/>
          <w:szCs w:val="28"/>
        </w:rPr>
      </w:pPr>
      <w:r>
        <w:rPr>
          <w:rFonts w:ascii="仿宋" w:hAnsi="仿宋" w:eastAsia="仿宋" w:cs="宋体"/>
          <w:kern w:val="0"/>
          <w:sz w:val="28"/>
          <w:szCs w:val="28"/>
        </w:rPr>
        <w:t>1.</w:t>
      </w:r>
      <w:r>
        <w:rPr>
          <w:rFonts w:hint="eastAsia" w:ascii="仿宋" w:hAnsi="仿宋" w:eastAsia="仿宋" w:cs="宋体"/>
          <w:kern w:val="0"/>
          <w:sz w:val="28"/>
          <w:szCs w:val="28"/>
        </w:rPr>
        <w:t>考核处罚。后勤管理处对服务外包项目承包人履约情况进行量化考核，依据考核结果，按照采购文件、合同约定进行处罚，发出《服务外包项目考核处罚书》（详见附件4），承包人签收后存档（承包人拒签的不影响处罚效力，后勤管理处可依据采购文件、合同约定进行进一步处罚），在支付服务外包项目服务费用时由学校财务处依据处罚书在服务费中扣除。</w:t>
      </w:r>
    </w:p>
    <w:p>
      <w:pPr>
        <w:widowControl/>
        <w:shd w:val="clear" w:color="auto" w:fill="FFFFFF"/>
        <w:spacing w:line="480" w:lineRule="exact"/>
        <w:jc w:val="left"/>
        <w:rPr>
          <w:rFonts w:ascii="仿宋" w:hAnsi="仿宋" w:eastAsia="仿宋" w:cs="宋体"/>
          <w:kern w:val="0"/>
          <w:sz w:val="28"/>
          <w:szCs w:val="28"/>
        </w:rPr>
      </w:pPr>
      <w:r>
        <w:rPr>
          <w:rFonts w:ascii="仿宋" w:hAnsi="仿宋" w:eastAsia="仿宋" w:cs="宋体"/>
          <w:kern w:val="0"/>
          <w:sz w:val="28"/>
          <w:szCs w:val="28"/>
        </w:rPr>
        <w:t>2.</w:t>
      </w:r>
      <w:r>
        <w:rPr>
          <w:rFonts w:hint="eastAsia" w:ascii="仿宋" w:hAnsi="仿宋" w:eastAsia="仿宋" w:cs="宋体"/>
          <w:kern w:val="0"/>
          <w:sz w:val="28"/>
          <w:szCs w:val="28"/>
        </w:rPr>
        <w:t>解除服务合同关系。后勤管理处对服务外包项目承包人发出《服务外包项目专项任务交办单》或《服务外包项目考核处罚书》后，服务外包项目承包人没有在规定期限内完成任务内容，并拒绝接受经济处罚和整改时，后勤管理处依据采购文件、合同约定进行进一步处罚，直至解除服务合同关系。</w:t>
      </w:r>
    </w:p>
    <w:p>
      <w:pPr>
        <w:widowControl/>
        <w:shd w:val="clear" w:color="auto" w:fill="FFFFFF"/>
        <w:spacing w:line="480" w:lineRule="exact"/>
        <w:jc w:val="left"/>
        <w:rPr>
          <w:rFonts w:ascii="仿宋" w:hAnsi="仿宋" w:eastAsia="仿宋" w:cs="宋体"/>
          <w:kern w:val="0"/>
          <w:sz w:val="28"/>
          <w:szCs w:val="28"/>
        </w:rPr>
      </w:pPr>
      <w:r>
        <w:rPr>
          <w:rFonts w:hint="eastAsia" w:ascii="仿宋" w:hAnsi="仿宋" w:eastAsia="仿宋" w:cs="宋体"/>
          <w:kern w:val="0"/>
          <w:sz w:val="28"/>
          <w:szCs w:val="28"/>
        </w:rPr>
        <w:t>第十四条 服务外包项目费用结算。服务外包项目财务结账实施细则（详见附件5）</w:t>
      </w:r>
    </w:p>
    <w:p>
      <w:pPr>
        <w:widowControl/>
        <w:shd w:val="clear" w:color="auto" w:fill="FFFFFF"/>
        <w:spacing w:line="480" w:lineRule="exact"/>
        <w:jc w:val="center"/>
        <w:rPr>
          <w:rFonts w:ascii="仿宋" w:hAnsi="仿宋" w:eastAsia="仿宋" w:cs="宋体"/>
          <w:b/>
          <w:kern w:val="0"/>
          <w:sz w:val="28"/>
          <w:szCs w:val="28"/>
        </w:rPr>
      </w:pPr>
      <w:r>
        <w:rPr>
          <w:rFonts w:hint="eastAsia" w:ascii="仿宋" w:hAnsi="仿宋" w:eastAsia="仿宋" w:cs="宋体"/>
          <w:b/>
          <w:kern w:val="0"/>
          <w:sz w:val="28"/>
          <w:szCs w:val="28"/>
        </w:rPr>
        <w:t>第五章附则</w:t>
      </w:r>
    </w:p>
    <w:p>
      <w:pPr>
        <w:widowControl/>
        <w:shd w:val="clear" w:color="auto" w:fill="FFFFFF"/>
        <w:spacing w:line="480" w:lineRule="exact"/>
        <w:jc w:val="left"/>
        <w:rPr>
          <w:rFonts w:ascii="仿宋" w:hAnsi="仿宋" w:eastAsia="仿宋" w:cs="宋体"/>
          <w:kern w:val="0"/>
          <w:sz w:val="28"/>
          <w:szCs w:val="28"/>
        </w:rPr>
      </w:pPr>
      <w:r>
        <w:rPr>
          <w:rFonts w:hint="eastAsia" w:ascii="仿宋" w:hAnsi="仿宋" w:eastAsia="仿宋" w:cs="宋体"/>
          <w:kern w:val="0"/>
          <w:sz w:val="28"/>
          <w:szCs w:val="28"/>
        </w:rPr>
        <w:t>第十五条  后勤管理处负责教育部门工作人员爱岗敬业，加强对服务外包项目承包人履约情况的监督管理。根据监管项目细化监管任务，落实监管职责，对监管工作不到位的人员，依据学校有关制度，视其情节情况进行批评教育或问责。</w:t>
      </w:r>
    </w:p>
    <w:p>
      <w:pPr>
        <w:widowControl/>
        <w:shd w:val="clear" w:color="auto" w:fill="FFFFFF"/>
        <w:spacing w:line="480" w:lineRule="exact"/>
        <w:jc w:val="left"/>
        <w:rPr>
          <w:rFonts w:ascii="仿宋" w:hAnsi="仿宋" w:eastAsia="仿宋" w:cs="宋体"/>
          <w:kern w:val="0"/>
          <w:sz w:val="28"/>
          <w:szCs w:val="28"/>
        </w:rPr>
      </w:pPr>
      <w:r>
        <w:rPr>
          <w:rFonts w:hint="eastAsia" w:ascii="仿宋" w:hAnsi="仿宋" w:eastAsia="仿宋" w:cs="宋体"/>
          <w:kern w:val="0"/>
          <w:sz w:val="28"/>
          <w:szCs w:val="28"/>
        </w:rPr>
        <w:t>第十六条</w:t>
      </w:r>
      <w:r>
        <w:rPr>
          <w:rFonts w:hint="eastAsia" w:ascii="宋体" w:hAnsi="宋体" w:cs="宋体"/>
          <w:kern w:val="0"/>
          <w:sz w:val="28"/>
          <w:szCs w:val="28"/>
        </w:rPr>
        <w:t> </w:t>
      </w:r>
      <w:r>
        <w:rPr>
          <w:rFonts w:hint="eastAsia" w:ascii="仿宋" w:hAnsi="仿宋" w:eastAsia="仿宋" w:cs="宋体"/>
          <w:kern w:val="0"/>
          <w:sz w:val="28"/>
          <w:szCs w:val="28"/>
        </w:rPr>
        <w:t>本办法自印发之日起施行。</w:t>
      </w:r>
    </w:p>
    <w:p>
      <w:pPr>
        <w:widowControl/>
        <w:shd w:val="clear" w:color="auto" w:fill="FFFFFF"/>
        <w:spacing w:line="480" w:lineRule="exact"/>
        <w:jc w:val="left"/>
        <w:rPr>
          <w:rFonts w:ascii="仿宋" w:hAnsi="仿宋" w:eastAsia="仿宋" w:cs="宋体"/>
          <w:kern w:val="0"/>
          <w:sz w:val="28"/>
          <w:szCs w:val="28"/>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仿宋" w:hAnsi="仿宋" w:eastAsia="仿宋" w:cs="宋体"/>
          <w:kern w:val="0"/>
          <w:sz w:val="28"/>
          <w:szCs w:val="28"/>
        </w:rPr>
        <w:t>第十七条</w:t>
      </w:r>
      <w:r>
        <w:rPr>
          <w:rFonts w:hint="eastAsia" w:ascii="宋体" w:hAnsi="宋体" w:cs="宋体"/>
          <w:kern w:val="0"/>
          <w:sz w:val="28"/>
          <w:szCs w:val="28"/>
        </w:rPr>
        <w:t> </w:t>
      </w:r>
      <w:r>
        <w:rPr>
          <w:rFonts w:hint="eastAsia" w:ascii="仿宋" w:hAnsi="仿宋" w:eastAsia="仿宋" w:cs="宋体"/>
          <w:kern w:val="0"/>
          <w:sz w:val="28"/>
          <w:szCs w:val="28"/>
        </w:rPr>
        <w:t>本办法由后勤管理处负责解释。</w:t>
      </w:r>
    </w:p>
    <w:p>
      <w:pPr>
        <w:jc w:val="center"/>
        <w:rPr>
          <w:sz w:val="28"/>
          <w:szCs w:val="28"/>
        </w:rPr>
      </w:pPr>
      <w:r>
        <w:rPr>
          <w:rFonts w:hint="eastAsia"/>
          <w:b/>
          <w:sz w:val="32"/>
          <w:szCs w:val="32"/>
        </w:rPr>
        <w:t xml:space="preserve">盐城幼专水电表抄录表 </w:t>
      </w:r>
      <w:r>
        <w:rPr>
          <w:rFonts w:hint="eastAsia"/>
          <w:sz w:val="28"/>
          <w:szCs w:val="28"/>
        </w:rPr>
        <w:t>（附件1）</w:t>
      </w:r>
    </w:p>
    <w:tbl>
      <w:tblPr>
        <w:tblStyle w:val="54"/>
        <w:tblW w:w="149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593"/>
        <w:gridCol w:w="1217"/>
        <w:gridCol w:w="1618"/>
        <w:gridCol w:w="1191"/>
        <w:gridCol w:w="1927"/>
        <w:gridCol w:w="964"/>
        <w:gridCol w:w="989"/>
        <w:gridCol w:w="990"/>
        <w:gridCol w:w="1554"/>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959" w:type="dxa"/>
            <w:vAlign w:val="center"/>
          </w:tcPr>
          <w:p>
            <w:pPr>
              <w:jc w:val="center"/>
              <w:rPr>
                <w:rFonts w:asciiTheme="minorEastAsia" w:hAnsiTheme="minorEastAsia"/>
              </w:rPr>
            </w:pPr>
            <w:r>
              <w:rPr>
                <w:rFonts w:hint="eastAsia" w:asciiTheme="minorEastAsia" w:hAnsiTheme="minorEastAsia"/>
              </w:rPr>
              <w:t>用户</w:t>
            </w:r>
          </w:p>
          <w:p>
            <w:pPr>
              <w:jc w:val="center"/>
              <w:rPr>
                <w:rFonts w:asciiTheme="minorEastAsia" w:hAnsiTheme="minorEastAsia"/>
              </w:rPr>
            </w:pPr>
            <w:r>
              <w:rPr>
                <w:rFonts w:hint="eastAsia" w:asciiTheme="minorEastAsia" w:hAnsiTheme="minorEastAsia"/>
              </w:rPr>
              <w:t>名称</w:t>
            </w:r>
          </w:p>
        </w:tc>
        <w:tc>
          <w:tcPr>
            <w:tcW w:w="2810" w:type="dxa"/>
            <w:gridSpan w:val="2"/>
            <w:vAlign w:val="center"/>
          </w:tcPr>
          <w:p>
            <w:pPr>
              <w:jc w:val="center"/>
              <w:rPr>
                <w:rFonts w:asciiTheme="minorEastAsia" w:hAnsiTheme="minorEastAsia"/>
              </w:rPr>
            </w:pPr>
          </w:p>
        </w:tc>
        <w:tc>
          <w:tcPr>
            <w:tcW w:w="1618" w:type="dxa"/>
            <w:vAlign w:val="center"/>
          </w:tcPr>
          <w:p>
            <w:pPr>
              <w:jc w:val="center"/>
              <w:rPr>
                <w:rFonts w:asciiTheme="minorEastAsia" w:hAnsiTheme="minorEastAsia"/>
              </w:rPr>
            </w:pPr>
            <w:r>
              <w:rPr>
                <w:rFonts w:hint="eastAsia" w:asciiTheme="minorEastAsia" w:hAnsiTheme="minorEastAsia"/>
              </w:rPr>
              <w:t>用户地址</w:t>
            </w:r>
          </w:p>
        </w:tc>
        <w:tc>
          <w:tcPr>
            <w:tcW w:w="4082" w:type="dxa"/>
            <w:gridSpan w:val="3"/>
            <w:vAlign w:val="center"/>
          </w:tcPr>
          <w:p>
            <w:pPr>
              <w:jc w:val="center"/>
              <w:rPr>
                <w:rFonts w:asciiTheme="minorEastAsia" w:hAnsiTheme="minorEastAsia"/>
              </w:rPr>
            </w:pPr>
          </w:p>
        </w:tc>
        <w:tc>
          <w:tcPr>
            <w:tcW w:w="989" w:type="dxa"/>
            <w:vAlign w:val="center"/>
          </w:tcPr>
          <w:p>
            <w:pPr>
              <w:jc w:val="center"/>
              <w:rPr>
                <w:rFonts w:asciiTheme="minorEastAsia" w:hAnsiTheme="minorEastAsia"/>
              </w:rPr>
            </w:pPr>
            <w:r>
              <w:rPr>
                <w:rFonts w:hint="eastAsia" w:asciiTheme="minorEastAsia" w:hAnsiTheme="minorEastAsia"/>
              </w:rPr>
              <w:t>总使</w:t>
            </w:r>
          </w:p>
          <w:p>
            <w:pPr>
              <w:jc w:val="center"/>
              <w:rPr>
                <w:rFonts w:asciiTheme="minorEastAsia" w:hAnsiTheme="minorEastAsia"/>
              </w:rPr>
            </w:pPr>
            <w:r>
              <w:rPr>
                <w:rFonts w:hint="eastAsia" w:asciiTheme="minorEastAsia" w:hAnsiTheme="minorEastAsia"/>
              </w:rPr>
              <w:t>用量</w:t>
            </w:r>
          </w:p>
        </w:tc>
        <w:tc>
          <w:tcPr>
            <w:tcW w:w="990" w:type="dxa"/>
            <w:vAlign w:val="center"/>
          </w:tcPr>
          <w:p>
            <w:pPr>
              <w:jc w:val="center"/>
              <w:rPr>
                <w:rFonts w:asciiTheme="minorEastAsia" w:hAnsiTheme="minorEastAsia"/>
              </w:rPr>
            </w:pPr>
            <w:r>
              <w:rPr>
                <w:rFonts w:hint="eastAsia" w:asciiTheme="minorEastAsia" w:hAnsiTheme="minorEastAsia"/>
              </w:rPr>
              <w:t>综合单价（元）</w:t>
            </w:r>
          </w:p>
        </w:tc>
        <w:tc>
          <w:tcPr>
            <w:tcW w:w="1554" w:type="dxa"/>
            <w:vAlign w:val="center"/>
          </w:tcPr>
          <w:p>
            <w:pPr>
              <w:jc w:val="center"/>
              <w:rPr>
                <w:rFonts w:asciiTheme="minorEastAsia" w:hAnsiTheme="minorEastAsia"/>
              </w:rPr>
            </w:pPr>
            <w:r>
              <w:rPr>
                <w:rFonts w:hint="eastAsia" w:asciiTheme="minorEastAsia" w:hAnsiTheme="minorEastAsia"/>
              </w:rPr>
              <w:t>综合总价（元）</w:t>
            </w:r>
          </w:p>
        </w:tc>
        <w:tc>
          <w:tcPr>
            <w:tcW w:w="1930" w:type="dxa"/>
            <w:vAlign w:val="center"/>
          </w:tcPr>
          <w:p>
            <w:pPr>
              <w:jc w:val="center"/>
              <w:rPr>
                <w:rFonts w:asciiTheme="minorEastAsia" w:hAnsiTheme="minorEastAsia"/>
              </w:rPr>
            </w:pPr>
            <w:r>
              <w:rPr>
                <w:rFonts w:hint="eastAsia" w:asciiTheme="minorEastAsia" w:hAnsiTheme="minorEastAsia"/>
              </w:rPr>
              <w:t>水电表</w:t>
            </w:r>
          </w:p>
          <w:p>
            <w:pPr>
              <w:jc w:val="center"/>
              <w:rPr>
                <w:rFonts w:asciiTheme="minorEastAsia" w:hAnsiTheme="minorEastAsia"/>
              </w:rPr>
            </w:pPr>
            <w:r>
              <w:rPr>
                <w:rFonts w:hint="eastAsia" w:asciiTheme="minorEastAsia" w:hAnsiTheme="minorEastAsia"/>
              </w:rPr>
              <w:t>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959" w:type="dxa"/>
            <w:vAlign w:val="center"/>
          </w:tcPr>
          <w:p>
            <w:pPr>
              <w:jc w:val="center"/>
              <w:rPr>
                <w:rFonts w:asciiTheme="minorEastAsia" w:hAnsiTheme="minorEastAsia"/>
              </w:rPr>
            </w:pPr>
            <w:r>
              <w:rPr>
                <w:rFonts w:hint="eastAsia" w:asciiTheme="minorEastAsia" w:hAnsiTheme="minorEastAsia"/>
              </w:rPr>
              <w:t>水表1</w:t>
            </w:r>
          </w:p>
        </w:tc>
        <w:tc>
          <w:tcPr>
            <w:tcW w:w="1593" w:type="dxa"/>
            <w:vAlign w:val="center"/>
          </w:tcPr>
          <w:p>
            <w:pPr>
              <w:jc w:val="center"/>
              <w:rPr>
                <w:rFonts w:asciiTheme="minorEastAsia" w:hAnsiTheme="minorEastAsia"/>
              </w:rPr>
            </w:pPr>
            <w:r>
              <w:rPr>
                <w:rFonts w:hint="eastAsia" w:asciiTheme="minorEastAsia" w:hAnsiTheme="minorEastAsia"/>
              </w:rPr>
              <w:t>上次抄表数</w:t>
            </w:r>
          </w:p>
        </w:tc>
        <w:tc>
          <w:tcPr>
            <w:tcW w:w="1217" w:type="dxa"/>
            <w:vAlign w:val="center"/>
          </w:tcPr>
          <w:p>
            <w:pPr>
              <w:jc w:val="center"/>
              <w:rPr>
                <w:rFonts w:asciiTheme="minorEastAsia" w:hAnsiTheme="minorEastAsia"/>
              </w:rPr>
            </w:pPr>
          </w:p>
        </w:tc>
        <w:tc>
          <w:tcPr>
            <w:tcW w:w="1618" w:type="dxa"/>
            <w:vAlign w:val="center"/>
          </w:tcPr>
          <w:p>
            <w:pPr>
              <w:jc w:val="center"/>
              <w:rPr>
                <w:rFonts w:asciiTheme="minorEastAsia" w:hAnsiTheme="minorEastAsia"/>
              </w:rPr>
            </w:pPr>
            <w:r>
              <w:rPr>
                <w:rFonts w:hint="eastAsia" w:asciiTheme="minorEastAsia" w:hAnsiTheme="minorEastAsia"/>
              </w:rPr>
              <w:t>本次抄表数</w:t>
            </w:r>
          </w:p>
        </w:tc>
        <w:tc>
          <w:tcPr>
            <w:tcW w:w="1191" w:type="dxa"/>
            <w:vAlign w:val="center"/>
          </w:tcPr>
          <w:p>
            <w:pPr>
              <w:jc w:val="center"/>
              <w:rPr>
                <w:rFonts w:asciiTheme="minorEastAsia" w:hAnsiTheme="minorEastAsia"/>
              </w:rPr>
            </w:pPr>
          </w:p>
        </w:tc>
        <w:tc>
          <w:tcPr>
            <w:tcW w:w="1927" w:type="dxa"/>
            <w:vAlign w:val="center"/>
          </w:tcPr>
          <w:p>
            <w:pPr>
              <w:jc w:val="center"/>
              <w:rPr>
                <w:rFonts w:asciiTheme="minorEastAsia" w:hAnsiTheme="minorEastAsia"/>
              </w:rPr>
            </w:pPr>
            <w:r>
              <w:rPr>
                <w:rFonts w:hint="eastAsia" w:asciiTheme="minorEastAsia" w:hAnsiTheme="minorEastAsia"/>
              </w:rPr>
              <w:t>本次实际</w:t>
            </w:r>
          </w:p>
          <w:p>
            <w:pPr>
              <w:jc w:val="center"/>
              <w:rPr>
                <w:rFonts w:asciiTheme="minorEastAsia" w:hAnsiTheme="minorEastAsia"/>
              </w:rPr>
            </w:pPr>
            <w:r>
              <w:rPr>
                <w:rFonts w:hint="eastAsia" w:asciiTheme="minorEastAsia" w:hAnsiTheme="minorEastAsia"/>
              </w:rPr>
              <w:t>用水量（吨）</w:t>
            </w:r>
          </w:p>
        </w:tc>
        <w:tc>
          <w:tcPr>
            <w:tcW w:w="964" w:type="dxa"/>
            <w:vAlign w:val="center"/>
          </w:tcPr>
          <w:p>
            <w:pPr>
              <w:jc w:val="center"/>
              <w:rPr>
                <w:rFonts w:asciiTheme="minorEastAsia" w:hAnsiTheme="minorEastAsia"/>
              </w:rPr>
            </w:pPr>
          </w:p>
        </w:tc>
        <w:tc>
          <w:tcPr>
            <w:tcW w:w="989" w:type="dxa"/>
            <w:vMerge w:val="restart"/>
            <w:vAlign w:val="center"/>
          </w:tcPr>
          <w:p>
            <w:pPr>
              <w:jc w:val="center"/>
              <w:rPr>
                <w:rFonts w:asciiTheme="minorEastAsia" w:hAnsiTheme="minorEastAsia"/>
              </w:rPr>
            </w:pPr>
          </w:p>
        </w:tc>
        <w:tc>
          <w:tcPr>
            <w:tcW w:w="990" w:type="dxa"/>
            <w:vMerge w:val="restart"/>
            <w:vAlign w:val="center"/>
          </w:tcPr>
          <w:p>
            <w:pPr>
              <w:jc w:val="center"/>
              <w:rPr>
                <w:rFonts w:asciiTheme="minorEastAsia" w:hAnsiTheme="minorEastAsia"/>
              </w:rPr>
            </w:pPr>
          </w:p>
        </w:tc>
        <w:tc>
          <w:tcPr>
            <w:tcW w:w="1554" w:type="dxa"/>
            <w:vMerge w:val="restart"/>
            <w:vAlign w:val="center"/>
          </w:tcPr>
          <w:p>
            <w:pPr>
              <w:jc w:val="center"/>
              <w:rPr>
                <w:rFonts w:asciiTheme="minorEastAsia" w:hAnsiTheme="minorEastAsia"/>
              </w:rPr>
            </w:pPr>
          </w:p>
        </w:tc>
        <w:tc>
          <w:tcPr>
            <w:tcW w:w="1930" w:type="dxa"/>
            <w:vAlign w:val="center"/>
          </w:tcPr>
          <w:p>
            <w:pPr>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959" w:type="dxa"/>
            <w:vAlign w:val="center"/>
          </w:tcPr>
          <w:p>
            <w:pPr>
              <w:jc w:val="center"/>
              <w:rPr>
                <w:rFonts w:asciiTheme="minorEastAsia" w:hAnsiTheme="minorEastAsia"/>
              </w:rPr>
            </w:pPr>
            <w:r>
              <w:rPr>
                <w:rFonts w:hint="eastAsia" w:asciiTheme="minorEastAsia" w:hAnsiTheme="minorEastAsia"/>
              </w:rPr>
              <w:t>水表2</w:t>
            </w:r>
          </w:p>
        </w:tc>
        <w:tc>
          <w:tcPr>
            <w:tcW w:w="1593" w:type="dxa"/>
            <w:vAlign w:val="center"/>
          </w:tcPr>
          <w:p>
            <w:pPr>
              <w:jc w:val="center"/>
              <w:rPr>
                <w:rFonts w:asciiTheme="minorEastAsia" w:hAnsiTheme="minorEastAsia"/>
              </w:rPr>
            </w:pPr>
            <w:r>
              <w:rPr>
                <w:rFonts w:hint="eastAsia" w:asciiTheme="minorEastAsia" w:hAnsiTheme="minorEastAsia"/>
              </w:rPr>
              <w:t>上次抄表数</w:t>
            </w:r>
          </w:p>
        </w:tc>
        <w:tc>
          <w:tcPr>
            <w:tcW w:w="1217" w:type="dxa"/>
            <w:vAlign w:val="center"/>
          </w:tcPr>
          <w:p>
            <w:pPr>
              <w:jc w:val="center"/>
              <w:rPr>
                <w:rFonts w:asciiTheme="minorEastAsia" w:hAnsiTheme="minorEastAsia"/>
              </w:rPr>
            </w:pPr>
          </w:p>
        </w:tc>
        <w:tc>
          <w:tcPr>
            <w:tcW w:w="1618" w:type="dxa"/>
            <w:vAlign w:val="center"/>
          </w:tcPr>
          <w:p>
            <w:pPr>
              <w:jc w:val="center"/>
              <w:rPr>
                <w:rFonts w:asciiTheme="minorEastAsia" w:hAnsiTheme="minorEastAsia"/>
              </w:rPr>
            </w:pPr>
            <w:r>
              <w:rPr>
                <w:rFonts w:hint="eastAsia" w:asciiTheme="minorEastAsia" w:hAnsiTheme="minorEastAsia"/>
              </w:rPr>
              <w:t>本次抄表数</w:t>
            </w:r>
          </w:p>
        </w:tc>
        <w:tc>
          <w:tcPr>
            <w:tcW w:w="1191" w:type="dxa"/>
            <w:vAlign w:val="center"/>
          </w:tcPr>
          <w:p>
            <w:pPr>
              <w:jc w:val="center"/>
              <w:rPr>
                <w:rFonts w:asciiTheme="minorEastAsia" w:hAnsiTheme="minorEastAsia"/>
              </w:rPr>
            </w:pPr>
          </w:p>
        </w:tc>
        <w:tc>
          <w:tcPr>
            <w:tcW w:w="1927" w:type="dxa"/>
            <w:vAlign w:val="center"/>
          </w:tcPr>
          <w:p>
            <w:pPr>
              <w:jc w:val="center"/>
              <w:rPr>
                <w:rFonts w:asciiTheme="minorEastAsia" w:hAnsiTheme="minorEastAsia"/>
              </w:rPr>
            </w:pPr>
            <w:r>
              <w:rPr>
                <w:rFonts w:hint="eastAsia" w:asciiTheme="minorEastAsia" w:hAnsiTheme="minorEastAsia"/>
              </w:rPr>
              <w:t>本次实际</w:t>
            </w:r>
          </w:p>
          <w:p>
            <w:pPr>
              <w:jc w:val="center"/>
              <w:rPr>
                <w:rFonts w:asciiTheme="minorEastAsia" w:hAnsiTheme="minorEastAsia"/>
              </w:rPr>
            </w:pPr>
            <w:r>
              <w:rPr>
                <w:rFonts w:hint="eastAsia" w:asciiTheme="minorEastAsia" w:hAnsiTheme="minorEastAsia"/>
              </w:rPr>
              <w:t>用水量（吨）</w:t>
            </w:r>
          </w:p>
        </w:tc>
        <w:tc>
          <w:tcPr>
            <w:tcW w:w="964" w:type="dxa"/>
            <w:vAlign w:val="center"/>
          </w:tcPr>
          <w:p>
            <w:pPr>
              <w:jc w:val="center"/>
              <w:rPr>
                <w:rFonts w:asciiTheme="minorEastAsia" w:hAnsiTheme="minorEastAsia"/>
              </w:rPr>
            </w:pPr>
          </w:p>
        </w:tc>
        <w:tc>
          <w:tcPr>
            <w:tcW w:w="989" w:type="dxa"/>
            <w:vMerge w:val="continue"/>
            <w:vAlign w:val="center"/>
          </w:tcPr>
          <w:p>
            <w:pPr>
              <w:jc w:val="center"/>
              <w:rPr>
                <w:rFonts w:asciiTheme="minorEastAsia" w:hAnsiTheme="minorEastAsia"/>
              </w:rPr>
            </w:pPr>
          </w:p>
        </w:tc>
        <w:tc>
          <w:tcPr>
            <w:tcW w:w="990" w:type="dxa"/>
            <w:vMerge w:val="continue"/>
            <w:vAlign w:val="center"/>
          </w:tcPr>
          <w:p>
            <w:pPr>
              <w:jc w:val="center"/>
              <w:rPr>
                <w:rFonts w:asciiTheme="minorEastAsia" w:hAnsiTheme="minorEastAsia"/>
              </w:rPr>
            </w:pPr>
          </w:p>
        </w:tc>
        <w:tc>
          <w:tcPr>
            <w:tcW w:w="1554" w:type="dxa"/>
            <w:vMerge w:val="continue"/>
            <w:vAlign w:val="center"/>
          </w:tcPr>
          <w:p>
            <w:pPr>
              <w:jc w:val="center"/>
              <w:rPr>
                <w:rFonts w:asciiTheme="minorEastAsia" w:hAnsiTheme="minorEastAsia"/>
              </w:rPr>
            </w:pPr>
          </w:p>
        </w:tc>
        <w:tc>
          <w:tcPr>
            <w:tcW w:w="1930" w:type="dxa"/>
            <w:vAlign w:val="center"/>
          </w:tcPr>
          <w:p>
            <w:pPr>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959" w:type="dxa"/>
            <w:vAlign w:val="center"/>
          </w:tcPr>
          <w:p>
            <w:pPr>
              <w:jc w:val="center"/>
              <w:rPr>
                <w:rFonts w:asciiTheme="minorEastAsia" w:hAnsiTheme="minorEastAsia"/>
              </w:rPr>
            </w:pPr>
            <w:r>
              <w:rPr>
                <w:rFonts w:hint="eastAsia" w:asciiTheme="minorEastAsia" w:hAnsiTheme="minorEastAsia"/>
              </w:rPr>
              <w:t>水表3</w:t>
            </w:r>
          </w:p>
        </w:tc>
        <w:tc>
          <w:tcPr>
            <w:tcW w:w="1593" w:type="dxa"/>
            <w:vAlign w:val="center"/>
          </w:tcPr>
          <w:p>
            <w:pPr>
              <w:jc w:val="center"/>
              <w:rPr>
                <w:rFonts w:asciiTheme="minorEastAsia" w:hAnsiTheme="minorEastAsia"/>
              </w:rPr>
            </w:pPr>
            <w:r>
              <w:rPr>
                <w:rFonts w:hint="eastAsia" w:asciiTheme="minorEastAsia" w:hAnsiTheme="minorEastAsia"/>
              </w:rPr>
              <w:t>上次抄表数</w:t>
            </w:r>
          </w:p>
        </w:tc>
        <w:tc>
          <w:tcPr>
            <w:tcW w:w="1217" w:type="dxa"/>
            <w:vAlign w:val="center"/>
          </w:tcPr>
          <w:p>
            <w:pPr>
              <w:jc w:val="center"/>
              <w:rPr>
                <w:rFonts w:asciiTheme="minorEastAsia" w:hAnsiTheme="minorEastAsia"/>
              </w:rPr>
            </w:pPr>
          </w:p>
        </w:tc>
        <w:tc>
          <w:tcPr>
            <w:tcW w:w="1618" w:type="dxa"/>
            <w:vAlign w:val="center"/>
          </w:tcPr>
          <w:p>
            <w:pPr>
              <w:jc w:val="center"/>
              <w:rPr>
                <w:rFonts w:asciiTheme="minorEastAsia" w:hAnsiTheme="minorEastAsia"/>
              </w:rPr>
            </w:pPr>
            <w:r>
              <w:rPr>
                <w:rFonts w:hint="eastAsia" w:asciiTheme="minorEastAsia" w:hAnsiTheme="minorEastAsia"/>
              </w:rPr>
              <w:t>本次抄表数</w:t>
            </w:r>
          </w:p>
        </w:tc>
        <w:tc>
          <w:tcPr>
            <w:tcW w:w="1191" w:type="dxa"/>
            <w:vAlign w:val="center"/>
          </w:tcPr>
          <w:p>
            <w:pPr>
              <w:jc w:val="center"/>
              <w:rPr>
                <w:rFonts w:asciiTheme="minorEastAsia" w:hAnsiTheme="minorEastAsia"/>
              </w:rPr>
            </w:pPr>
          </w:p>
        </w:tc>
        <w:tc>
          <w:tcPr>
            <w:tcW w:w="1927" w:type="dxa"/>
            <w:vAlign w:val="center"/>
          </w:tcPr>
          <w:p>
            <w:pPr>
              <w:jc w:val="center"/>
              <w:rPr>
                <w:rFonts w:asciiTheme="minorEastAsia" w:hAnsiTheme="minorEastAsia"/>
              </w:rPr>
            </w:pPr>
            <w:r>
              <w:rPr>
                <w:rFonts w:hint="eastAsia" w:asciiTheme="minorEastAsia" w:hAnsiTheme="minorEastAsia"/>
              </w:rPr>
              <w:t>本次实际</w:t>
            </w:r>
          </w:p>
          <w:p>
            <w:pPr>
              <w:jc w:val="center"/>
              <w:rPr>
                <w:rFonts w:asciiTheme="minorEastAsia" w:hAnsiTheme="minorEastAsia"/>
              </w:rPr>
            </w:pPr>
            <w:r>
              <w:rPr>
                <w:rFonts w:hint="eastAsia" w:asciiTheme="minorEastAsia" w:hAnsiTheme="minorEastAsia"/>
              </w:rPr>
              <w:t>用水量（吨）</w:t>
            </w:r>
          </w:p>
        </w:tc>
        <w:tc>
          <w:tcPr>
            <w:tcW w:w="964" w:type="dxa"/>
            <w:vAlign w:val="center"/>
          </w:tcPr>
          <w:p>
            <w:pPr>
              <w:jc w:val="center"/>
              <w:rPr>
                <w:rFonts w:asciiTheme="minorEastAsia" w:hAnsiTheme="minorEastAsia"/>
              </w:rPr>
            </w:pPr>
          </w:p>
        </w:tc>
        <w:tc>
          <w:tcPr>
            <w:tcW w:w="989" w:type="dxa"/>
            <w:vMerge w:val="continue"/>
            <w:vAlign w:val="center"/>
          </w:tcPr>
          <w:p>
            <w:pPr>
              <w:jc w:val="center"/>
              <w:rPr>
                <w:rFonts w:asciiTheme="minorEastAsia" w:hAnsiTheme="minorEastAsia"/>
              </w:rPr>
            </w:pPr>
          </w:p>
        </w:tc>
        <w:tc>
          <w:tcPr>
            <w:tcW w:w="990" w:type="dxa"/>
            <w:vMerge w:val="continue"/>
            <w:vAlign w:val="center"/>
          </w:tcPr>
          <w:p>
            <w:pPr>
              <w:jc w:val="center"/>
              <w:rPr>
                <w:rFonts w:asciiTheme="minorEastAsia" w:hAnsiTheme="minorEastAsia"/>
              </w:rPr>
            </w:pPr>
          </w:p>
        </w:tc>
        <w:tc>
          <w:tcPr>
            <w:tcW w:w="1554" w:type="dxa"/>
            <w:vMerge w:val="continue"/>
            <w:vAlign w:val="center"/>
          </w:tcPr>
          <w:p>
            <w:pPr>
              <w:jc w:val="center"/>
              <w:rPr>
                <w:rFonts w:asciiTheme="minorEastAsia" w:hAnsiTheme="minorEastAsia"/>
              </w:rPr>
            </w:pPr>
          </w:p>
        </w:tc>
        <w:tc>
          <w:tcPr>
            <w:tcW w:w="1930" w:type="dxa"/>
            <w:vAlign w:val="center"/>
          </w:tcPr>
          <w:p>
            <w:pPr>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959" w:type="dxa"/>
            <w:vAlign w:val="center"/>
          </w:tcPr>
          <w:p>
            <w:pPr>
              <w:jc w:val="center"/>
              <w:rPr>
                <w:rFonts w:asciiTheme="minorEastAsia" w:hAnsiTheme="minorEastAsia"/>
              </w:rPr>
            </w:pPr>
            <w:r>
              <w:rPr>
                <w:rFonts w:hint="eastAsia" w:asciiTheme="minorEastAsia" w:hAnsiTheme="minorEastAsia"/>
              </w:rPr>
              <w:t>水表4</w:t>
            </w:r>
          </w:p>
        </w:tc>
        <w:tc>
          <w:tcPr>
            <w:tcW w:w="1593" w:type="dxa"/>
            <w:vAlign w:val="center"/>
          </w:tcPr>
          <w:p>
            <w:pPr>
              <w:jc w:val="center"/>
              <w:rPr>
                <w:rFonts w:asciiTheme="minorEastAsia" w:hAnsiTheme="minorEastAsia"/>
              </w:rPr>
            </w:pPr>
            <w:r>
              <w:rPr>
                <w:rFonts w:hint="eastAsia" w:asciiTheme="minorEastAsia" w:hAnsiTheme="minorEastAsia"/>
              </w:rPr>
              <w:t>上次抄表数</w:t>
            </w:r>
          </w:p>
        </w:tc>
        <w:tc>
          <w:tcPr>
            <w:tcW w:w="1217" w:type="dxa"/>
            <w:vAlign w:val="center"/>
          </w:tcPr>
          <w:p>
            <w:pPr>
              <w:jc w:val="center"/>
              <w:rPr>
                <w:rFonts w:asciiTheme="minorEastAsia" w:hAnsiTheme="minorEastAsia"/>
              </w:rPr>
            </w:pPr>
          </w:p>
        </w:tc>
        <w:tc>
          <w:tcPr>
            <w:tcW w:w="1618" w:type="dxa"/>
            <w:vAlign w:val="center"/>
          </w:tcPr>
          <w:p>
            <w:pPr>
              <w:jc w:val="center"/>
              <w:rPr>
                <w:rFonts w:asciiTheme="minorEastAsia" w:hAnsiTheme="minorEastAsia"/>
              </w:rPr>
            </w:pPr>
            <w:r>
              <w:rPr>
                <w:rFonts w:hint="eastAsia" w:asciiTheme="minorEastAsia" w:hAnsiTheme="minorEastAsia"/>
              </w:rPr>
              <w:t>本次抄表数</w:t>
            </w:r>
          </w:p>
        </w:tc>
        <w:tc>
          <w:tcPr>
            <w:tcW w:w="1191" w:type="dxa"/>
            <w:vAlign w:val="center"/>
          </w:tcPr>
          <w:p>
            <w:pPr>
              <w:jc w:val="center"/>
              <w:rPr>
                <w:rFonts w:asciiTheme="minorEastAsia" w:hAnsiTheme="minorEastAsia"/>
              </w:rPr>
            </w:pPr>
          </w:p>
        </w:tc>
        <w:tc>
          <w:tcPr>
            <w:tcW w:w="1927" w:type="dxa"/>
            <w:vAlign w:val="center"/>
          </w:tcPr>
          <w:p>
            <w:pPr>
              <w:jc w:val="center"/>
              <w:rPr>
                <w:rFonts w:asciiTheme="minorEastAsia" w:hAnsiTheme="minorEastAsia"/>
              </w:rPr>
            </w:pPr>
            <w:r>
              <w:rPr>
                <w:rFonts w:hint="eastAsia" w:asciiTheme="minorEastAsia" w:hAnsiTheme="minorEastAsia"/>
              </w:rPr>
              <w:t>本次实际</w:t>
            </w:r>
          </w:p>
          <w:p>
            <w:pPr>
              <w:jc w:val="center"/>
              <w:rPr>
                <w:rFonts w:asciiTheme="minorEastAsia" w:hAnsiTheme="minorEastAsia"/>
              </w:rPr>
            </w:pPr>
            <w:r>
              <w:rPr>
                <w:rFonts w:hint="eastAsia" w:asciiTheme="minorEastAsia" w:hAnsiTheme="minorEastAsia"/>
              </w:rPr>
              <w:t>用水量（吨）</w:t>
            </w:r>
          </w:p>
        </w:tc>
        <w:tc>
          <w:tcPr>
            <w:tcW w:w="964" w:type="dxa"/>
            <w:vAlign w:val="center"/>
          </w:tcPr>
          <w:p>
            <w:pPr>
              <w:jc w:val="center"/>
              <w:rPr>
                <w:rFonts w:asciiTheme="minorEastAsia" w:hAnsiTheme="minorEastAsia"/>
              </w:rPr>
            </w:pPr>
          </w:p>
        </w:tc>
        <w:tc>
          <w:tcPr>
            <w:tcW w:w="989" w:type="dxa"/>
            <w:vMerge w:val="continue"/>
            <w:vAlign w:val="center"/>
          </w:tcPr>
          <w:p>
            <w:pPr>
              <w:jc w:val="center"/>
              <w:rPr>
                <w:rFonts w:asciiTheme="minorEastAsia" w:hAnsiTheme="minorEastAsia"/>
              </w:rPr>
            </w:pPr>
          </w:p>
        </w:tc>
        <w:tc>
          <w:tcPr>
            <w:tcW w:w="990" w:type="dxa"/>
            <w:vMerge w:val="continue"/>
            <w:vAlign w:val="center"/>
          </w:tcPr>
          <w:p>
            <w:pPr>
              <w:jc w:val="center"/>
              <w:rPr>
                <w:rFonts w:asciiTheme="minorEastAsia" w:hAnsiTheme="minorEastAsia"/>
              </w:rPr>
            </w:pPr>
          </w:p>
        </w:tc>
        <w:tc>
          <w:tcPr>
            <w:tcW w:w="1554" w:type="dxa"/>
            <w:vMerge w:val="continue"/>
            <w:vAlign w:val="center"/>
          </w:tcPr>
          <w:p>
            <w:pPr>
              <w:jc w:val="center"/>
              <w:rPr>
                <w:rFonts w:asciiTheme="minorEastAsia" w:hAnsiTheme="minorEastAsia"/>
              </w:rPr>
            </w:pPr>
          </w:p>
        </w:tc>
        <w:tc>
          <w:tcPr>
            <w:tcW w:w="1930" w:type="dxa"/>
            <w:vAlign w:val="center"/>
          </w:tcPr>
          <w:p>
            <w:pPr>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959" w:type="dxa"/>
            <w:vAlign w:val="center"/>
          </w:tcPr>
          <w:p>
            <w:pPr>
              <w:jc w:val="center"/>
              <w:rPr>
                <w:rFonts w:asciiTheme="minorEastAsia" w:hAnsiTheme="minorEastAsia"/>
              </w:rPr>
            </w:pPr>
            <w:r>
              <w:rPr>
                <w:rFonts w:hint="eastAsia" w:asciiTheme="minorEastAsia" w:hAnsiTheme="minorEastAsia"/>
              </w:rPr>
              <w:t>电表1</w:t>
            </w:r>
          </w:p>
        </w:tc>
        <w:tc>
          <w:tcPr>
            <w:tcW w:w="1593" w:type="dxa"/>
            <w:vAlign w:val="center"/>
          </w:tcPr>
          <w:p>
            <w:pPr>
              <w:jc w:val="center"/>
              <w:rPr>
                <w:rFonts w:asciiTheme="minorEastAsia" w:hAnsiTheme="minorEastAsia"/>
              </w:rPr>
            </w:pPr>
            <w:r>
              <w:rPr>
                <w:rFonts w:hint="eastAsia" w:asciiTheme="minorEastAsia" w:hAnsiTheme="minorEastAsia"/>
              </w:rPr>
              <w:t>上次抄表数</w:t>
            </w:r>
          </w:p>
        </w:tc>
        <w:tc>
          <w:tcPr>
            <w:tcW w:w="1217" w:type="dxa"/>
            <w:vAlign w:val="center"/>
          </w:tcPr>
          <w:p>
            <w:pPr>
              <w:jc w:val="center"/>
              <w:rPr>
                <w:rFonts w:asciiTheme="minorEastAsia" w:hAnsiTheme="minorEastAsia"/>
              </w:rPr>
            </w:pPr>
          </w:p>
        </w:tc>
        <w:tc>
          <w:tcPr>
            <w:tcW w:w="1618" w:type="dxa"/>
            <w:vAlign w:val="center"/>
          </w:tcPr>
          <w:p>
            <w:pPr>
              <w:jc w:val="center"/>
              <w:rPr>
                <w:rFonts w:asciiTheme="minorEastAsia" w:hAnsiTheme="minorEastAsia"/>
              </w:rPr>
            </w:pPr>
            <w:r>
              <w:rPr>
                <w:rFonts w:hint="eastAsia" w:asciiTheme="minorEastAsia" w:hAnsiTheme="minorEastAsia"/>
              </w:rPr>
              <w:t>本次抄表数</w:t>
            </w:r>
          </w:p>
        </w:tc>
        <w:tc>
          <w:tcPr>
            <w:tcW w:w="1191" w:type="dxa"/>
            <w:vAlign w:val="center"/>
          </w:tcPr>
          <w:p>
            <w:pPr>
              <w:jc w:val="center"/>
              <w:rPr>
                <w:rFonts w:asciiTheme="minorEastAsia" w:hAnsiTheme="minorEastAsia"/>
              </w:rPr>
            </w:pPr>
          </w:p>
        </w:tc>
        <w:tc>
          <w:tcPr>
            <w:tcW w:w="1927" w:type="dxa"/>
            <w:vAlign w:val="center"/>
          </w:tcPr>
          <w:p>
            <w:pPr>
              <w:jc w:val="center"/>
              <w:rPr>
                <w:rFonts w:asciiTheme="minorEastAsia" w:hAnsiTheme="minorEastAsia"/>
              </w:rPr>
            </w:pPr>
            <w:r>
              <w:rPr>
                <w:rFonts w:hint="eastAsia" w:asciiTheme="minorEastAsia" w:hAnsiTheme="minorEastAsia"/>
              </w:rPr>
              <w:t>本次实际</w:t>
            </w:r>
          </w:p>
          <w:p>
            <w:pPr>
              <w:jc w:val="center"/>
              <w:rPr>
                <w:rFonts w:asciiTheme="minorEastAsia" w:hAnsiTheme="minorEastAsia"/>
              </w:rPr>
            </w:pPr>
            <w:r>
              <w:rPr>
                <w:rFonts w:hint="eastAsia" w:asciiTheme="minorEastAsia" w:hAnsiTheme="minorEastAsia"/>
              </w:rPr>
              <w:t>用电量（度）</w:t>
            </w:r>
          </w:p>
        </w:tc>
        <w:tc>
          <w:tcPr>
            <w:tcW w:w="964" w:type="dxa"/>
            <w:vAlign w:val="center"/>
          </w:tcPr>
          <w:p>
            <w:pPr>
              <w:jc w:val="center"/>
              <w:rPr>
                <w:rFonts w:asciiTheme="minorEastAsia" w:hAnsiTheme="minorEastAsia"/>
              </w:rPr>
            </w:pPr>
          </w:p>
        </w:tc>
        <w:tc>
          <w:tcPr>
            <w:tcW w:w="989" w:type="dxa"/>
            <w:vMerge w:val="restart"/>
            <w:vAlign w:val="center"/>
          </w:tcPr>
          <w:p>
            <w:pPr>
              <w:jc w:val="center"/>
              <w:rPr>
                <w:rFonts w:asciiTheme="minorEastAsia" w:hAnsiTheme="minorEastAsia"/>
              </w:rPr>
            </w:pPr>
          </w:p>
        </w:tc>
        <w:tc>
          <w:tcPr>
            <w:tcW w:w="990" w:type="dxa"/>
            <w:vMerge w:val="restart"/>
            <w:vAlign w:val="center"/>
          </w:tcPr>
          <w:p>
            <w:pPr>
              <w:jc w:val="center"/>
              <w:rPr>
                <w:rFonts w:asciiTheme="minorEastAsia" w:hAnsiTheme="minorEastAsia"/>
              </w:rPr>
            </w:pPr>
          </w:p>
        </w:tc>
        <w:tc>
          <w:tcPr>
            <w:tcW w:w="1554" w:type="dxa"/>
            <w:vMerge w:val="restart"/>
            <w:vAlign w:val="center"/>
          </w:tcPr>
          <w:p>
            <w:pPr>
              <w:jc w:val="center"/>
              <w:rPr>
                <w:rFonts w:asciiTheme="minorEastAsia" w:hAnsiTheme="minorEastAsia"/>
              </w:rPr>
            </w:pPr>
          </w:p>
        </w:tc>
        <w:tc>
          <w:tcPr>
            <w:tcW w:w="1930" w:type="dxa"/>
            <w:vAlign w:val="center"/>
          </w:tcPr>
          <w:p>
            <w:pPr>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959" w:type="dxa"/>
            <w:vAlign w:val="center"/>
          </w:tcPr>
          <w:p>
            <w:pPr>
              <w:jc w:val="center"/>
              <w:rPr>
                <w:rFonts w:asciiTheme="minorEastAsia" w:hAnsiTheme="minorEastAsia"/>
              </w:rPr>
            </w:pPr>
            <w:r>
              <w:rPr>
                <w:rFonts w:hint="eastAsia" w:asciiTheme="minorEastAsia" w:hAnsiTheme="minorEastAsia"/>
              </w:rPr>
              <w:t>电表2</w:t>
            </w:r>
          </w:p>
        </w:tc>
        <w:tc>
          <w:tcPr>
            <w:tcW w:w="1593" w:type="dxa"/>
            <w:vAlign w:val="center"/>
          </w:tcPr>
          <w:p>
            <w:pPr>
              <w:jc w:val="center"/>
              <w:rPr>
                <w:rFonts w:asciiTheme="minorEastAsia" w:hAnsiTheme="minorEastAsia"/>
              </w:rPr>
            </w:pPr>
            <w:r>
              <w:rPr>
                <w:rFonts w:hint="eastAsia" w:asciiTheme="minorEastAsia" w:hAnsiTheme="minorEastAsia"/>
              </w:rPr>
              <w:t>上次抄表数</w:t>
            </w:r>
          </w:p>
        </w:tc>
        <w:tc>
          <w:tcPr>
            <w:tcW w:w="1217" w:type="dxa"/>
            <w:vAlign w:val="center"/>
          </w:tcPr>
          <w:p>
            <w:pPr>
              <w:jc w:val="center"/>
              <w:rPr>
                <w:rFonts w:asciiTheme="minorEastAsia" w:hAnsiTheme="minorEastAsia"/>
              </w:rPr>
            </w:pPr>
          </w:p>
        </w:tc>
        <w:tc>
          <w:tcPr>
            <w:tcW w:w="1618" w:type="dxa"/>
            <w:vAlign w:val="center"/>
          </w:tcPr>
          <w:p>
            <w:pPr>
              <w:jc w:val="center"/>
              <w:rPr>
                <w:rFonts w:asciiTheme="minorEastAsia" w:hAnsiTheme="minorEastAsia"/>
              </w:rPr>
            </w:pPr>
            <w:r>
              <w:rPr>
                <w:rFonts w:hint="eastAsia" w:asciiTheme="minorEastAsia" w:hAnsiTheme="minorEastAsia"/>
              </w:rPr>
              <w:t>本次抄表数</w:t>
            </w:r>
          </w:p>
        </w:tc>
        <w:tc>
          <w:tcPr>
            <w:tcW w:w="1191" w:type="dxa"/>
            <w:vAlign w:val="center"/>
          </w:tcPr>
          <w:p>
            <w:pPr>
              <w:jc w:val="center"/>
              <w:rPr>
                <w:rFonts w:asciiTheme="minorEastAsia" w:hAnsiTheme="minorEastAsia"/>
              </w:rPr>
            </w:pPr>
          </w:p>
        </w:tc>
        <w:tc>
          <w:tcPr>
            <w:tcW w:w="1927" w:type="dxa"/>
            <w:vAlign w:val="center"/>
          </w:tcPr>
          <w:p>
            <w:pPr>
              <w:jc w:val="center"/>
              <w:rPr>
                <w:rFonts w:asciiTheme="minorEastAsia" w:hAnsiTheme="minorEastAsia"/>
              </w:rPr>
            </w:pPr>
            <w:r>
              <w:rPr>
                <w:rFonts w:hint="eastAsia" w:asciiTheme="minorEastAsia" w:hAnsiTheme="minorEastAsia"/>
              </w:rPr>
              <w:t>本次实际</w:t>
            </w:r>
          </w:p>
          <w:p>
            <w:pPr>
              <w:jc w:val="center"/>
              <w:rPr>
                <w:rFonts w:asciiTheme="minorEastAsia" w:hAnsiTheme="minorEastAsia"/>
              </w:rPr>
            </w:pPr>
            <w:r>
              <w:rPr>
                <w:rFonts w:hint="eastAsia" w:asciiTheme="minorEastAsia" w:hAnsiTheme="minorEastAsia"/>
              </w:rPr>
              <w:t>用电量（度）</w:t>
            </w:r>
          </w:p>
        </w:tc>
        <w:tc>
          <w:tcPr>
            <w:tcW w:w="964" w:type="dxa"/>
            <w:vAlign w:val="center"/>
          </w:tcPr>
          <w:p>
            <w:pPr>
              <w:jc w:val="center"/>
              <w:rPr>
                <w:rFonts w:asciiTheme="minorEastAsia" w:hAnsiTheme="minorEastAsia"/>
              </w:rPr>
            </w:pPr>
          </w:p>
        </w:tc>
        <w:tc>
          <w:tcPr>
            <w:tcW w:w="989" w:type="dxa"/>
            <w:vMerge w:val="continue"/>
            <w:vAlign w:val="center"/>
          </w:tcPr>
          <w:p>
            <w:pPr>
              <w:jc w:val="center"/>
              <w:rPr>
                <w:rFonts w:asciiTheme="minorEastAsia" w:hAnsiTheme="minorEastAsia"/>
              </w:rPr>
            </w:pPr>
          </w:p>
        </w:tc>
        <w:tc>
          <w:tcPr>
            <w:tcW w:w="990" w:type="dxa"/>
            <w:vMerge w:val="continue"/>
            <w:vAlign w:val="center"/>
          </w:tcPr>
          <w:p>
            <w:pPr>
              <w:jc w:val="center"/>
              <w:rPr>
                <w:rFonts w:asciiTheme="minorEastAsia" w:hAnsiTheme="minorEastAsia"/>
              </w:rPr>
            </w:pPr>
          </w:p>
        </w:tc>
        <w:tc>
          <w:tcPr>
            <w:tcW w:w="1554" w:type="dxa"/>
            <w:vMerge w:val="continue"/>
            <w:vAlign w:val="center"/>
          </w:tcPr>
          <w:p>
            <w:pPr>
              <w:jc w:val="center"/>
              <w:rPr>
                <w:rFonts w:asciiTheme="minorEastAsia" w:hAnsiTheme="minorEastAsia"/>
              </w:rPr>
            </w:pPr>
          </w:p>
        </w:tc>
        <w:tc>
          <w:tcPr>
            <w:tcW w:w="1930" w:type="dxa"/>
            <w:vAlign w:val="center"/>
          </w:tcPr>
          <w:p>
            <w:pPr>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959" w:type="dxa"/>
            <w:vAlign w:val="center"/>
          </w:tcPr>
          <w:p>
            <w:pPr>
              <w:jc w:val="center"/>
              <w:rPr>
                <w:rFonts w:asciiTheme="minorEastAsia" w:hAnsiTheme="minorEastAsia"/>
              </w:rPr>
            </w:pPr>
            <w:r>
              <w:rPr>
                <w:rFonts w:hint="eastAsia" w:asciiTheme="minorEastAsia" w:hAnsiTheme="minorEastAsia"/>
              </w:rPr>
              <w:t>电表3</w:t>
            </w:r>
          </w:p>
        </w:tc>
        <w:tc>
          <w:tcPr>
            <w:tcW w:w="1593" w:type="dxa"/>
            <w:vAlign w:val="center"/>
          </w:tcPr>
          <w:p>
            <w:pPr>
              <w:jc w:val="center"/>
              <w:rPr>
                <w:rFonts w:asciiTheme="minorEastAsia" w:hAnsiTheme="minorEastAsia"/>
              </w:rPr>
            </w:pPr>
            <w:r>
              <w:rPr>
                <w:rFonts w:hint="eastAsia" w:asciiTheme="minorEastAsia" w:hAnsiTheme="minorEastAsia"/>
              </w:rPr>
              <w:t>上次抄表数</w:t>
            </w:r>
          </w:p>
        </w:tc>
        <w:tc>
          <w:tcPr>
            <w:tcW w:w="1217" w:type="dxa"/>
            <w:vAlign w:val="center"/>
          </w:tcPr>
          <w:p>
            <w:pPr>
              <w:jc w:val="center"/>
              <w:rPr>
                <w:rFonts w:asciiTheme="minorEastAsia" w:hAnsiTheme="minorEastAsia"/>
              </w:rPr>
            </w:pPr>
          </w:p>
        </w:tc>
        <w:tc>
          <w:tcPr>
            <w:tcW w:w="1618" w:type="dxa"/>
            <w:vAlign w:val="center"/>
          </w:tcPr>
          <w:p>
            <w:pPr>
              <w:jc w:val="center"/>
              <w:rPr>
                <w:rFonts w:asciiTheme="minorEastAsia" w:hAnsiTheme="minorEastAsia"/>
              </w:rPr>
            </w:pPr>
            <w:r>
              <w:rPr>
                <w:rFonts w:hint="eastAsia" w:asciiTheme="minorEastAsia" w:hAnsiTheme="minorEastAsia"/>
              </w:rPr>
              <w:t>本次抄表数</w:t>
            </w:r>
          </w:p>
        </w:tc>
        <w:tc>
          <w:tcPr>
            <w:tcW w:w="1191" w:type="dxa"/>
            <w:vAlign w:val="center"/>
          </w:tcPr>
          <w:p>
            <w:pPr>
              <w:jc w:val="center"/>
              <w:rPr>
                <w:rFonts w:asciiTheme="minorEastAsia" w:hAnsiTheme="minorEastAsia"/>
              </w:rPr>
            </w:pPr>
          </w:p>
        </w:tc>
        <w:tc>
          <w:tcPr>
            <w:tcW w:w="1927" w:type="dxa"/>
            <w:vAlign w:val="center"/>
          </w:tcPr>
          <w:p>
            <w:pPr>
              <w:jc w:val="center"/>
              <w:rPr>
                <w:rFonts w:asciiTheme="minorEastAsia" w:hAnsiTheme="minorEastAsia"/>
              </w:rPr>
            </w:pPr>
            <w:r>
              <w:rPr>
                <w:rFonts w:hint="eastAsia" w:asciiTheme="minorEastAsia" w:hAnsiTheme="minorEastAsia"/>
              </w:rPr>
              <w:t>本次实际</w:t>
            </w:r>
          </w:p>
          <w:p>
            <w:pPr>
              <w:jc w:val="center"/>
              <w:rPr>
                <w:rFonts w:asciiTheme="minorEastAsia" w:hAnsiTheme="minorEastAsia"/>
              </w:rPr>
            </w:pPr>
            <w:r>
              <w:rPr>
                <w:rFonts w:hint="eastAsia" w:asciiTheme="minorEastAsia" w:hAnsiTheme="minorEastAsia"/>
              </w:rPr>
              <w:t>用电量（度）</w:t>
            </w:r>
          </w:p>
        </w:tc>
        <w:tc>
          <w:tcPr>
            <w:tcW w:w="964" w:type="dxa"/>
            <w:vAlign w:val="center"/>
          </w:tcPr>
          <w:p>
            <w:pPr>
              <w:jc w:val="center"/>
              <w:rPr>
                <w:rFonts w:asciiTheme="minorEastAsia" w:hAnsiTheme="minorEastAsia"/>
              </w:rPr>
            </w:pPr>
          </w:p>
        </w:tc>
        <w:tc>
          <w:tcPr>
            <w:tcW w:w="989" w:type="dxa"/>
            <w:vMerge w:val="continue"/>
            <w:vAlign w:val="center"/>
          </w:tcPr>
          <w:p>
            <w:pPr>
              <w:jc w:val="center"/>
              <w:rPr>
                <w:rFonts w:asciiTheme="minorEastAsia" w:hAnsiTheme="minorEastAsia"/>
              </w:rPr>
            </w:pPr>
          </w:p>
        </w:tc>
        <w:tc>
          <w:tcPr>
            <w:tcW w:w="990" w:type="dxa"/>
            <w:vMerge w:val="continue"/>
            <w:vAlign w:val="center"/>
          </w:tcPr>
          <w:p>
            <w:pPr>
              <w:jc w:val="center"/>
              <w:rPr>
                <w:rFonts w:asciiTheme="minorEastAsia" w:hAnsiTheme="minorEastAsia"/>
              </w:rPr>
            </w:pPr>
          </w:p>
        </w:tc>
        <w:tc>
          <w:tcPr>
            <w:tcW w:w="1554" w:type="dxa"/>
            <w:vMerge w:val="continue"/>
            <w:vAlign w:val="center"/>
          </w:tcPr>
          <w:p>
            <w:pPr>
              <w:jc w:val="center"/>
              <w:rPr>
                <w:rFonts w:asciiTheme="minorEastAsia" w:hAnsiTheme="minorEastAsia"/>
              </w:rPr>
            </w:pPr>
          </w:p>
        </w:tc>
        <w:tc>
          <w:tcPr>
            <w:tcW w:w="1930" w:type="dxa"/>
            <w:vAlign w:val="center"/>
          </w:tcPr>
          <w:p>
            <w:pPr>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959" w:type="dxa"/>
            <w:vAlign w:val="center"/>
          </w:tcPr>
          <w:p>
            <w:pPr>
              <w:jc w:val="center"/>
              <w:rPr>
                <w:rFonts w:asciiTheme="minorEastAsia" w:hAnsiTheme="minorEastAsia"/>
              </w:rPr>
            </w:pPr>
            <w:r>
              <w:rPr>
                <w:rFonts w:hint="eastAsia" w:asciiTheme="minorEastAsia" w:hAnsiTheme="minorEastAsia"/>
              </w:rPr>
              <w:t>电表4</w:t>
            </w:r>
          </w:p>
        </w:tc>
        <w:tc>
          <w:tcPr>
            <w:tcW w:w="1593" w:type="dxa"/>
            <w:vAlign w:val="center"/>
          </w:tcPr>
          <w:p>
            <w:pPr>
              <w:jc w:val="center"/>
              <w:rPr>
                <w:rFonts w:asciiTheme="minorEastAsia" w:hAnsiTheme="minorEastAsia"/>
              </w:rPr>
            </w:pPr>
            <w:r>
              <w:rPr>
                <w:rFonts w:hint="eastAsia" w:asciiTheme="minorEastAsia" w:hAnsiTheme="minorEastAsia"/>
              </w:rPr>
              <w:t>上次抄表数</w:t>
            </w:r>
          </w:p>
        </w:tc>
        <w:tc>
          <w:tcPr>
            <w:tcW w:w="1217" w:type="dxa"/>
            <w:vAlign w:val="center"/>
          </w:tcPr>
          <w:p>
            <w:pPr>
              <w:jc w:val="center"/>
              <w:rPr>
                <w:rFonts w:asciiTheme="minorEastAsia" w:hAnsiTheme="minorEastAsia"/>
              </w:rPr>
            </w:pPr>
          </w:p>
        </w:tc>
        <w:tc>
          <w:tcPr>
            <w:tcW w:w="1618" w:type="dxa"/>
            <w:vAlign w:val="center"/>
          </w:tcPr>
          <w:p>
            <w:pPr>
              <w:jc w:val="center"/>
              <w:rPr>
                <w:rFonts w:asciiTheme="minorEastAsia" w:hAnsiTheme="minorEastAsia"/>
              </w:rPr>
            </w:pPr>
            <w:r>
              <w:rPr>
                <w:rFonts w:hint="eastAsia" w:asciiTheme="minorEastAsia" w:hAnsiTheme="minorEastAsia"/>
              </w:rPr>
              <w:t>本次抄表数</w:t>
            </w:r>
          </w:p>
        </w:tc>
        <w:tc>
          <w:tcPr>
            <w:tcW w:w="1191" w:type="dxa"/>
            <w:vAlign w:val="center"/>
          </w:tcPr>
          <w:p>
            <w:pPr>
              <w:jc w:val="center"/>
              <w:rPr>
                <w:rFonts w:asciiTheme="minorEastAsia" w:hAnsiTheme="minorEastAsia"/>
              </w:rPr>
            </w:pPr>
          </w:p>
        </w:tc>
        <w:tc>
          <w:tcPr>
            <w:tcW w:w="1927" w:type="dxa"/>
            <w:vAlign w:val="center"/>
          </w:tcPr>
          <w:p>
            <w:pPr>
              <w:jc w:val="center"/>
              <w:rPr>
                <w:rFonts w:asciiTheme="minorEastAsia" w:hAnsiTheme="minorEastAsia"/>
              </w:rPr>
            </w:pPr>
            <w:r>
              <w:rPr>
                <w:rFonts w:hint="eastAsia" w:asciiTheme="minorEastAsia" w:hAnsiTheme="minorEastAsia"/>
              </w:rPr>
              <w:t>本次实际</w:t>
            </w:r>
          </w:p>
          <w:p>
            <w:pPr>
              <w:jc w:val="center"/>
              <w:rPr>
                <w:rFonts w:asciiTheme="minorEastAsia" w:hAnsiTheme="minorEastAsia"/>
              </w:rPr>
            </w:pPr>
            <w:r>
              <w:rPr>
                <w:rFonts w:hint="eastAsia" w:asciiTheme="minorEastAsia" w:hAnsiTheme="minorEastAsia"/>
              </w:rPr>
              <w:t>用电量（度）</w:t>
            </w:r>
          </w:p>
        </w:tc>
        <w:tc>
          <w:tcPr>
            <w:tcW w:w="964" w:type="dxa"/>
            <w:vAlign w:val="center"/>
          </w:tcPr>
          <w:p>
            <w:pPr>
              <w:jc w:val="center"/>
              <w:rPr>
                <w:rFonts w:asciiTheme="minorEastAsia" w:hAnsiTheme="minorEastAsia"/>
              </w:rPr>
            </w:pPr>
          </w:p>
        </w:tc>
        <w:tc>
          <w:tcPr>
            <w:tcW w:w="989" w:type="dxa"/>
            <w:vMerge w:val="continue"/>
            <w:vAlign w:val="center"/>
          </w:tcPr>
          <w:p>
            <w:pPr>
              <w:jc w:val="center"/>
              <w:rPr>
                <w:rFonts w:asciiTheme="minorEastAsia" w:hAnsiTheme="minorEastAsia"/>
              </w:rPr>
            </w:pPr>
          </w:p>
        </w:tc>
        <w:tc>
          <w:tcPr>
            <w:tcW w:w="990" w:type="dxa"/>
            <w:vMerge w:val="continue"/>
            <w:vAlign w:val="center"/>
          </w:tcPr>
          <w:p>
            <w:pPr>
              <w:jc w:val="center"/>
              <w:rPr>
                <w:rFonts w:asciiTheme="minorEastAsia" w:hAnsiTheme="minorEastAsia"/>
              </w:rPr>
            </w:pPr>
          </w:p>
        </w:tc>
        <w:tc>
          <w:tcPr>
            <w:tcW w:w="1554" w:type="dxa"/>
            <w:vMerge w:val="continue"/>
            <w:vAlign w:val="center"/>
          </w:tcPr>
          <w:p>
            <w:pPr>
              <w:jc w:val="center"/>
              <w:rPr>
                <w:rFonts w:asciiTheme="minorEastAsia" w:hAnsiTheme="minorEastAsia"/>
              </w:rPr>
            </w:pPr>
          </w:p>
        </w:tc>
        <w:tc>
          <w:tcPr>
            <w:tcW w:w="1930" w:type="dxa"/>
            <w:vAlign w:val="center"/>
          </w:tcPr>
          <w:p>
            <w:pPr>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959" w:type="dxa"/>
            <w:vAlign w:val="center"/>
          </w:tcPr>
          <w:p>
            <w:pPr>
              <w:jc w:val="center"/>
              <w:rPr>
                <w:rFonts w:asciiTheme="minorEastAsia" w:hAnsiTheme="minorEastAsia"/>
              </w:rPr>
            </w:pPr>
            <w:r>
              <w:rPr>
                <w:rFonts w:hint="eastAsia" w:asciiTheme="minorEastAsia" w:hAnsiTheme="minorEastAsia"/>
              </w:rPr>
              <w:t>电表5</w:t>
            </w:r>
          </w:p>
        </w:tc>
        <w:tc>
          <w:tcPr>
            <w:tcW w:w="1593" w:type="dxa"/>
            <w:vAlign w:val="center"/>
          </w:tcPr>
          <w:p>
            <w:pPr>
              <w:jc w:val="center"/>
              <w:rPr>
                <w:rFonts w:asciiTheme="minorEastAsia" w:hAnsiTheme="minorEastAsia"/>
              </w:rPr>
            </w:pPr>
            <w:r>
              <w:rPr>
                <w:rFonts w:hint="eastAsia" w:asciiTheme="minorEastAsia" w:hAnsiTheme="minorEastAsia"/>
              </w:rPr>
              <w:t>上次抄表数</w:t>
            </w:r>
          </w:p>
        </w:tc>
        <w:tc>
          <w:tcPr>
            <w:tcW w:w="1217" w:type="dxa"/>
            <w:vAlign w:val="center"/>
          </w:tcPr>
          <w:p>
            <w:pPr>
              <w:jc w:val="center"/>
              <w:rPr>
                <w:rFonts w:asciiTheme="minorEastAsia" w:hAnsiTheme="minorEastAsia"/>
              </w:rPr>
            </w:pPr>
          </w:p>
        </w:tc>
        <w:tc>
          <w:tcPr>
            <w:tcW w:w="1618" w:type="dxa"/>
            <w:vAlign w:val="center"/>
          </w:tcPr>
          <w:p>
            <w:pPr>
              <w:jc w:val="center"/>
              <w:rPr>
                <w:rFonts w:asciiTheme="minorEastAsia" w:hAnsiTheme="minorEastAsia"/>
              </w:rPr>
            </w:pPr>
            <w:r>
              <w:rPr>
                <w:rFonts w:hint="eastAsia" w:asciiTheme="minorEastAsia" w:hAnsiTheme="minorEastAsia"/>
              </w:rPr>
              <w:t>本次抄表数</w:t>
            </w:r>
          </w:p>
        </w:tc>
        <w:tc>
          <w:tcPr>
            <w:tcW w:w="1191" w:type="dxa"/>
            <w:vAlign w:val="center"/>
          </w:tcPr>
          <w:p>
            <w:pPr>
              <w:jc w:val="center"/>
              <w:rPr>
                <w:rFonts w:asciiTheme="minorEastAsia" w:hAnsiTheme="minorEastAsia"/>
              </w:rPr>
            </w:pPr>
          </w:p>
        </w:tc>
        <w:tc>
          <w:tcPr>
            <w:tcW w:w="1927" w:type="dxa"/>
            <w:vAlign w:val="center"/>
          </w:tcPr>
          <w:p>
            <w:pPr>
              <w:jc w:val="center"/>
              <w:rPr>
                <w:rFonts w:asciiTheme="minorEastAsia" w:hAnsiTheme="minorEastAsia"/>
              </w:rPr>
            </w:pPr>
            <w:r>
              <w:rPr>
                <w:rFonts w:hint="eastAsia" w:asciiTheme="minorEastAsia" w:hAnsiTheme="minorEastAsia"/>
              </w:rPr>
              <w:t>本次实际</w:t>
            </w:r>
          </w:p>
          <w:p>
            <w:pPr>
              <w:jc w:val="center"/>
              <w:rPr>
                <w:rFonts w:asciiTheme="minorEastAsia" w:hAnsiTheme="minorEastAsia"/>
              </w:rPr>
            </w:pPr>
            <w:r>
              <w:rPr>
                <w:rFonts w:hint="eastAsia" w:asciiTheme="minorEastAsia" w:hAnsiTheme="minorEastAsia"/>
              </w:rPr>
              <w:t>用电量（度）</w:t>
            </w:r>
          </w:p>
        </w:tc>
        <w:tc>
          <w:tcPr>
            <w:tcW w:w="964" w:type="dxa"/>
            <w:vAlign w:val="center"/>
          </w:tcPr>
          <w:p>
            <w:pPr>
              <w:jc w:val="center"/>
              <w:rPr>
                <w:rFonts w:asciiTheme="minorEastAsia" w:hAnsiTheme="minorEastAsia"/>
              </w:rPr>
            </w:pPr>
          </w:p>
        </w:tc>
        <w:tc>
          <w:tcPr>
            <w:tcW w:w="1979" w:type="dxa"/>
            <w:gridSpan w:val="2"/>
            <w:vAlign w:val="center"/>
          </w:tcPr>
          <w:p>
            <w:pPr>
              <w:jc w:val="center"/>
              <w:rPr>
                <w:rFonts w:asciiTheme="minorEastAsia" w:hAnsiTheme="minorEastAsia"/>
              </w:rPr>
            </w:pPr>
            <w:r>
              <w:rPr>
                <w:rFonts w:hint="eastAsia" w:asciiTheme="minorEastAsia" w:hAnsiTheme="minorEastAsia"/>
              </w:rPr>
              <w:t>合计（元）</w:t>
            </w:r>
          </w:p>
        </w:tc>
        <w:tc>
          <w:tcPr>
            <w:tcW w:w="1554" w:type="dxa"/>
            <w:vAlign w:val="center"/>
          </w:tcPr>
          <w:p>
            <w:pPr>
              <w:jc w:val="center"/>
              <w:rPr>
                <w:rFonts w:asciiTheme="minorEastAsia" w:hAnsiTheme="minorEastAsia"/>
              </w:rPr>
            </w:pPr>
          </w:p>
        </w:tc>
        <w:tc>
          <w:tcPr>
            <w:tcW w:w="1930" w:type="dxa"/>
            <w:vAlign w:val="center"/>
          </w:tcPr>
          <w:p>
            <w:pPr>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959" w:type="dxa"/>
            <w:vAlign w:val="center"/>
          </w:tcPr>
          <w:p>
            <w:pPr>
              <w:jc w:val="center"/>
              <w:rPr>
                <w:rFonts w:asciiTheme="minorEastAsia" w:hAnsiTheme="minorEastAsia"/>
              </w:rPr>
            </w:pPr>
            <w:r>
              <w:rPr>
                <w:rFonts w:hint="eastAsia" w:asciiTheme="minorEastAsia" w:hAnsiTheme="minorEastAsia"/>
              </w:rPr>
              <w:t>用户</w:t>
            </w:r>
          </w:p>
          <w:p>
            <w:pPr>
              <w:jc w:val="center"/>
              <w:rPr>
                <w:rFonts w:asciiTheme="minorEastAsia" w:hAnsiTheme="minorEastAsia"/>
              </w:rPr>
            </w:pPr>
            <w:r>
              <w:rPr>
                <w:rFonts w:hint="eastAsia" w:asciiTheme="minorEastAsia" w:hAnsiTheme="minorEastAsia"/>
              </w:rPr>
              <w:t>签字</w:t>
            </w:r>
          </w:p>
        </w:tc>
        <w:tc>
          <w:tcPr>
            <w:tcW w:w="1593" w:type="dxa"/>
            <w:vAlign w:val="center"/>
          </w:tcPr>
          <w:p>
            <w:pPr>
              <w:jc w:val="center"/>
              <w:rPr>
                <w:rFonts w:asciiTheme="minorEastAsia" w:hAnsiTheme="minorEastAsia"/>
              </w:rPr>
            </w:pPr>
          </w:p>
        </w:tc>
        <w:tc>
          <w:tcPr>
            <w:tcW w:w="1217" w:type="dxa"/>
            <w:vAlign w:val="center"/>
          </w:tcPr>
          <w:p>
            <w:pPr>
              <w:jc w:val="center"/>
              <w:rPr>
                <w:rFonts w:asciiTheme="minorEastAsia" w:hAnsiTheme="minorEastAsia"/>
              </w:rPr>
            </w:pPr>
            <w:r>
              <w:rPr>
                <w:rFonts w:hint="eastAsia" w:asciiTheme="minorEastAsia" w:hAnsiTheme="minorEastAsia"/>
              </w:rPr>
              <w:t>学校</w:t>
            </w:r>
          </w:p>
          <w:p>
            <w:pPr>
              <w:jc w:val="center"/>
              <w:rPr>
                <w:rFonts w:asciiTheme="minorEastAsia" w:hAnsiTheme="minorEastAsia"/>
              </w:rPr>
            </w:pPr>
            <w:r>
              <w:rPr>
                <w:rFonts w:hint="eastAsia" w:asciiTheme="minorEastAsia" w:hAnsiTheme="minorEastAsia"/>
              </w:rPr>
              <w:t>管理员签字</w:t>
            </w:r>
          </w:p>
        </w:tc>
        <w:tc>
          <w:tcPr>
            <w:tcW w:w="7679" w:type="dxa"/>
            <w:gridSpan w:val="6"/>
            <w:vAlign w:val="center"/>
          </w:tcPr>
          <w:p>
            <w:pPr>
              <w:rPr>
                <w:rFonts w:asciiTheme="minorEastAsia" w:hAnsiTheme="minorEastAsia"/>
              </w:rPr>
            </w:pPr>
          </w:p>
        </w:tc>
        <w:tc>
          <w:tcPr>
            <w:tcW w:w="1554" w:type="dxa"/>
            <w:vAlign w:val="center"/>
          </w:tcPr>
          <w:p>
            <w:pPr>
              <w:jc w:val="center"/>
              <w:rPr>
                <w:rFonts w:asciiTheme="minorEastAsia" w:hAnsiTheme="minorEastAsia"/>
              </w:rPr>
            </w:pPr>
            <w:r>
              <w:rPr>
                <w:rFonts w:hint="eastAsia" w:asciiTheme="minorEastAsia" w:hAnsiTheme="minorEastAsia"/>
              </w:rPr>
              <w:t>抄录时间</w:t>
            </w:r>
          </w:p>
        </w:tc>
        <w:tc>
          <w:tcPr>
            <w:tcW w:w="1930" w:type="dxa"/>
            <w:vAlign w:val="center"/>
          </w:tcPr>
          <w:p>
            <w:pPr>
              <w:jc w:val="center"/>
              <w:rPr>
                <w:rFonts w:asciiTheme="minorEastAsia" w:hAnsiTheme="minorEastAsia"/>
              </w:rPr>
            </w:pPr>
            <w:r>
              <w:rPr>
                <w:rFonts w:hint="eastAsia" w:asciiTheme="minorEastAsia" w:hAnsiTheme="minorEastAsia"/>
              </w:rPr>
              <w:t>201  年  月   日</w:t>
            </w:r>
          </w:p>
        </w:tc>
      </w:tr>
    </w:tbl>
    <w:p>
      <w:pPr>
        <w:spacing w:line="400" w:lineRule="exact"/>
        <w:rPr>
          <w:b/>
        </w:rPr>
      </w:pPr>
      <w:r>
        <w:rPr>
          <w:rFonts w:hint="eastAsia"/>
          <w:b/>
        </w:rPr>
        <w:t>备注：请用户在接收后十五个工作日内，凭此抄录表到学校财务处缴纳相关费用，并将缴费收据复印件交于指定地点。否则，学校将暂停供电，由此引发的一切责任自负。</w:t>
      </w:r>
    </w:p>
    <w:p>
      <w:pPr>
        <w:widowControl/>
        <w:jc w:val="left"/>
        <w:rPr>
          <w:b/>
        </w:rPr>
      </w:pPr>
      <w:r>
        <w:rPr>
          <w:b/>
        </w:rPr>
        <w:br w:type="page"/>
      </w:r>
    </w:p>
    <w:tbl>
      <w:tblPr>
        <w:tblStyle w:val="54"/>
        <w:tblW w:w="15920" w:type="dxa"/>
        <w:jc w:val="center"/>
        <w:tblInd w:w="0" w:type="dxa"/>
        <w:tblLayout w:type="fixed"/>
        <w:tblCellMar>
          <w:top w:w="0" w:type="dxa"/>
          <w:left w:w="108" w:type="dxa"/>
          <w:bottom w:w="0" w:type="dxa"/>
          <w:right w:w="108" w:type="dxa"/>
        </w:tblCellMar>
      </w:tblPr>
      <w:tblGrid>
        <w:gridCol w:w="560"/>
        <w:gridCol w:w="3200"/>
        <w:gridCol w:w="3280"/>
        <w:gridCol w:w="3440"/>
        <w:gridCol w:w="2720"/>
        <w:gridCol w:w="2720"/>
      </w:tblGrid>
      <w:tr>
        <w:tblPrEx>
          <w:tblLayout w:type="fixed"/>
          <w:tblCellMar>
            <w:top w:w="0" w:type="dxa"/>
            <w:left w:w="108" w:type="dxa"/>
            <w:bottom w:w="0" w:type="dxa"/>
            <w:right w:w="108" w:type="dxa"/>
          </w:tblCellMar>
        </w:tblPrEx>
        <w:trPr>
          <w:trHeight w:val="585" w:hRule="atLeast"/>
          <w:jc w:val="center"/>
        </w:trPr>
        <w:tc>
          <w:tcPr>
            <w:tcW w:w="15920" w:type="dxa"/>
            <w:gridSpan w:val="6"/>
            <w:tcBorders>
              <w:top w:val="nil"/>
              <w:left w:val="nil"/>
              <w:bottom w:val="single" w:color="auto" w:sz="4" w:space="0"/>
              <w:right w:val="nil"/>
            </w:tcBorders>
            <w:shd w:val="clear" w:color="auto" w:fill="auto"/>
            <w:vAlign w:val="center"/>
          </w:tcPr>
          <w:p>
            <w:pPr>
              <w:widowControl/>
              <w:jc w:val="center"/>
              <w:rPr>
                <w:rFonts w:ascii="宋体" w:hAnsi="宋体" w:cs="宋体"/>
                <w:b/>
                <w:bCs/>
                <w:kern w:val="0"/>
                <w:sz w:val="36"/>
                <w:szCs w:val="36"/>
              </w:rPr>
            </w:pPr>
            <w:r>
              <w:rPr>
                <w:rFonts w:hint="eastAsia" w:ascii="宋体" w:hAnsi="宋体" w:cs="宋体"/>
                <w:b/>
                <w:bCs/>
                <w:kern w:val="0"/>
                <w:sz w:val="36"/>
                <w:szCs w:val="36"/>
              </w:rPr>
              <w:t xml:space="preserve">服务外包项目考核表       </w:t>
            </w:r>
            <w:r>
              <w:rPr>
                <w:rFonts w:hint="eastAsia" w:ascii="宋体" w:hAnsi="宋体" w:cs="宋体"/>
                <w:b/>
                <w:bCs/>
                <w:kern w:val="0"/>
                <w:sz w:val="24"/>
                <w:szCs w:val="24"/>
              </w:rPr>
              <w:t>年   月   日</w:t>
            </w:r>
          </w:p>
        </w:tc>
      </w:tr>
      <w:tr>
        <w:tblPrEx>
          <w:tblLayout w:type="fixed"/>
          <w:tblCellMar>
            <w:top w:w="0" w:type="dxa"/>
            <w:left w:w="108" w:type="dxa"/>
            <w:bottom w:w="0" w:type="dxa"/>
            <w:right w:w="108" w:type="dxa"/>
          </w:tblCellMar>
        </w:tblPrEx>
        <w:trPr>
          <w:trHeight w:val="505" w:hRule="atLeast"/>
          <w:jc w:val="center"/>
        </w:trPr>
        <w:tc>
          <w:tcPr>
            <w:tcW w:w="376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项目名称</w:t>
            </w:r>
          </w:p>
        </w:tc>
        <w:tc>
          <w:tcPr>
            <w:tcW w:w="3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3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承包单位</w:t>
            </w:r>
          </w:p>
        </w:tc>
        <w:tc>
          <w:tcPr>
            <w:tcW w:w="54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501" w:hRule="atLeast"/>
          <w:jc w:val="center"/>
        </w:trPr>
        <w:tc>
          <w:tcPr>
            <w:tcW w:w="376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考核类别</w:t>
            </w:r>
          </w:p>
        </w:tc>
        <w:tc>
          <w:tcPr>
            <w:tcW w:w="1216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开学前验收【     】月度验收【     】 放假后验收【     】假期巡查【     】 停业整顿验收【     】</w:t>
            </w:r>
          </w:p>
        </w:tc>
      </w:tr>
      <w:tr>
        <w:tblPrEx>
          <w:tblLayout w:type="fixed"/>
          <w:tblCellMar>
            <w:top w:w="0" w:type="dxa"/>
            <w:left w:w="108" w:type="dxa"/>
            <w:bottom w:w="0" w:type="dxa"/>
            <w:right w:w="108" w:type="dxa"/>
          </w:tblCellMar>
        </w:tblPrEx>
        <w:trPr>
          <w:trHeight w:val="483" w:hRule="atLeast"/>
          <w:jc w:val="center"/>
        </w:trPr>
        <w:tc>
          <w:tcPr>
            <w:tcW w:w="376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考核依据</w:t>
            </w:r>
          </w:p>
        </w:tc>
        <w:tc>
          <w:tcPr>
            <w:tcW w:w="1216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702" w:hRule="atLeast"/>
          <w:jc w:val="center"/>
        </w:trPr>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br w:type="textWrapping"/>
            </w:r>
            <w:r>
              <w:rPr>
                <w:rFonts w:hint="eastAsia" w:ascii="宋体" w:hAnsi="宋体" w:cs="宋体"/>
                <w:kern w:val="0"/>
                <w:sz w:val="22"/>
                <w:szCs w:val="22"/>
              </w:rPr>
              <w:t>考</w:t>
            </w:r>
            <w:r>
              <w:rPr>
                <w:rFonts w:hint="eastAsia" w:ascii="宋体" w:hAnsi="宋体" w:cs="宋体"/>
                <w:kern w:val="0"/>
                <w:sz w:val="22"/>
                <w:szCs w:val="22"/>
              </w:rPr>
              <w:br w:type="textWrapping"/>
            </w:r>
            <w:r>
              <w:rPr>
                <w:rFonts w:hint="eastAsia" w:ascii="宋体" w:hAnsi="宋体" w:cs="宋体"/>
                <w:kern w:val="0"/>
                <w:sz w:val="22"/>
                <w:szCs w:val="22"/>
              </w:rPr>
              <w:t>核</w:t>
            </w:r>
            <w:r>
              <w:rPr>
                <w:rFonts w:hint="eastAsia" w:ascii="宋体" w:hAnsi="宋体" w:cs="宋体"/>
                <w:kern w:val="0"/>
                <w:sz w:val="22"/>
                <w:szCs w:val="22"/>
              </w:rPr>
              <w:br w:type="textWrapping"/>
            </w:r>
            <w:r>
              <w:rPr>
                <w:rFonts w:hint="eastAsia" w:ascii="宋体" w:hAnsi="宋体" w:cs="宋体"/>
                <w:kern w:val="0"/>
                <w:sz w:val="22"/>
                <w:szCs w:val="22"/>
              </w:rPr>
              <w:t>情</w:t>
            </w:r>
            <w:r>
              <w:rPr>
                <w:rFonts w:hint="eastAsia" w:ascii="宋体" w:hAnsi="宋体" w:cs="宋体"/>
                <w:kern w:val="0"/>
                <w:sz w:val="22"/>
                <w:szCs w:val="22"/>
              </w:rPr>
              <w:br w:type="textWrapping"/>
            </w:r>
            <w:r>
              <w:rPr>
                <w:rFonts w:hint="eastAsia" w:ascii="宋体" w:hAnsi="宋体" w:cs="宋体"/>
                <w:kern w:val="0"/>
                <w:sz w:val="22"/>
                <w:szCs w:val="22"/>
              </w:rPr>
              <w:t>况</w:t>
            </w:r>
          </w:p>
        </w:tc>
        <w:tc>
          <w:tcPr>
            <w:tcW w:w="3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服务范围是否符合约定</w:t>
            </w:r>
            <w:r>
              <w:rPr>
                <w:rFonts w:hint="eastAsia" w:ascii="宋体" w:hAnsi="宋体" w:cs="宋体"/>
                <w:kern w:val="0"/>
                <w:sz w:val="22"/>
                <w:szCs w:val="22"/>
              </w:rPr>
              <w:br w:type="textWrapping"/>
            </w:r>
            <w:r>
              <w:rPr>
                <w:rFonts w:hint="eastAsia" w:ascii="宋体" w:hAnsi="宋体" w:cs="宋体"/>
                <w:kern w:val="0"/>
                <w:sz w:val="22"/>
                <w:szCs w:val="22"/>
              </w:rPr>
              <w:t>（20分）</w:t>
            </w:r>
          </w:p>
        </w:tc>
        <w:tc>
          <w:tcPr>
            <w:tcW w:w="3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服务价格是否符合约定</w:t>
            </w:r>
            <w:r>
              <w:rPr>
                <w:rFonts w:hint="eastAsia" w:ascii="宋体" w:hAnsi="宋体" w:cs="宋体"/>
                <w:kern w:val="0"/>
                <w:sz w:val="22"/>
                <w:szCs w:val="22"/>
              </w:rPr>
              <w:br w:type="textWrapping"/>
            </w:r>
            <w:r>
              <w:rPr>
                <w:rFonts w:hint="eastAsia" w:ascii="宋体" w:hAnsi="宋体" w:cs="宋体"/>
                <w:kern w:val="0"/>
                <w:sz w:val="22"/>
                <w:szCs w:val="22"/>
              </w:rPr>
              <w:t>（20分）</w:t>
            </w:r>
          </w:p>
        </w:tc>
        <w:tc>
          <w:tcPr>
            <w:tcW w:w="3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安全情况（20分）</w:t>
            </w:r>
          </w:p>
        </w:tc>
        <w:tc>
          <w:tcPr>
            <w:tcW w:w="2720" w:type="dxa"/>
            <w:tcBorders>
              <w:top w:val="nil"/>
              <w:left w:val="nil"/>
              <w:bottom w:val="nil"/>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考核资料提供情况（5分）</w:t>
            </w:r>
          </w:p>
        </w:tc>
        <w:tc>
          <w:tcPr>
            <w:tcW w:w="2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岗位配置情况（5分）</w:t>
            </w:r>
          </w:p>
        </w:tc>
      </w:tr>
      <w:tr>
        <w:tblPrEx>
          <w:tblLayout w:type="fixed"/>
          <w:tblCellMar>
            <w:top w:w="0" w:type="dxa"/>
            <w:left w:w="108" w:type="dxa"/>
            <w:bottom w:w="0" w:type="dxa"/>
            <w:right w:w="108" w:type="dxa"/>
          </w:tblCellMar>
        </w:tblPrEx>
        <w:trPr>
          <w:trHeight w:val="474" w:hRule="atLeast"/>
          <w:jc w:val="center"/>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3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27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2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702" w:hRule="atLeast"/>
          <w:jc w:val="center"/>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3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整改落实情况（5分）</w:t>
            </w:r>
          </w:p>
        </w:tc>
        <w:tc>
          <w:tcPr>
            <w:tcW w:w="3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配合管理情况（10分）</w:t>
            </w:r>
          </w:p>
        </w:tc>
        <w:tc>
          <w:tcPr>
            <w:tcW w:w="34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环境卫生情况（5分）</w:t>
            </w:r>
          </w:p>
        </w:tc>
        <w:tc>
          <w:tcPr>
            <w:tcW w:w="2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费用缴纳情况（5分）</w:t>
            </w:r>
          </w:p>
        </w:tc>
        <w:tc>
          <w:tcPr>
            <w:tcW w:w="2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廉洁服务（5分）</w:t>
            </w:r>
          </w:p>
        </w:tc>
      </w:tr>
      <w:tr>
        <w:tblPrEx>
          <w:tblLayout w:type="fixed"/>
          <w:tblCellMar>
            <w:top w:w="0" w:type="dxa"/>
            <w:left w:w="108" w:type="dxa"/>
            <w:bottom w:w="0" w:type="dxa"/>
            <w:right w:w="108" w:type="dxa"/>
          </w:tblCellMar>
        </w:tblPrEx>
        <w:trPr>
          <w:trHeight w:val="467" w:hRule="atLeast"/>
          <w:jc w:val="center"/>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3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2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34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2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77" w:hRule="atLeast"/>
          <w:jc w:val="center"/>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3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考核总分</w:t>
            </w:r>
          </w:p>
        </w:tc>
        <w:tc>
          <w:tcPr>
            <w:tcW w:w="1216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13" w:hRule="atLeast"/>
          <w:jc w:val="center"/>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3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考核意见</w:t>
            </w:r>
          </w:p>
        </w:tc>
        <w:tc>
          <w:tcPr>
            <w:tcW w:w="1216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19" w:hRule="atLeast"/>
          <w:jc w:val="center"/>
        </w:trPr>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3200" w:type="dxa"/>
            <w:tcBorders>
              <w:top w:val="nil"/>
              <w:left w:val="nil"/>
              <w:bottom w:val="nil"/>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整改意见</w:t>
            </w:r>
          </w:p>
        </w:tc>
        <w:tc>
          <w:tcPr>
            <w:tcW w:w="12160"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600" w:hRule="atLeast"/>
          <w:jc w:val="center"/>
        </w:trPr>
        <w:tc>
          <w:tcPr>
            <w:tcW w:w="376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承包单位代表</w:t>
            </w:r>
          </w:p>
        </w:tc>
        <w:tc>
          <w:tcPr>
            <w:tcW w:w="672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学校其他部门代表</w:t>
            </w:r>
          </w:p>
        </w:tc>
        <w:tc>
          <w:tcPr>
            <w:tcW w:w="54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后勤处代表</w:t>
            </w:r>
          </w:p>
        </w:tc>
      </w:tr>
      <w:tr>
        <w:tblPrEx>
          <w:tblLayout w:type="fixed"/>
          <w:tblCellMar>
            <w:top w:w="0" w:type="dxa"/>
            <w:left w:w="108" w:type="dxa"/>
            <w:bottom w:w="0" w:type="dxa"/>
            <w:right w:w="108" w:type="dxa"/>
          </w:tblCellMar>
        </w:tblPrEx>
        <w:trPr>
          <w:trHeight w:val="600" w:hRule="atLeast"/>
          <w:jc w:val="center"/>
        </w:trPr>
        <w:tc>
          <w:tcPr>
            <w:tcW w:w="376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672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544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1080" w:hRule="atLeast"/>
          <w:jc w:val="center"/>
        </w:trPr>
        <w:tc>
          <w:tcPr>
            <w:tcW w:w="37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67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54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Layout w:type="fixed"/>
          <w:tblCellMar>
            <w:top w:w="0" w:type="dxa"/>
            <w:left w:w="108" w:type="dxa"/>
            <w:bottom w:w="0" w:type="dxa"/>
            <w:right w:w="108" w:type="dxa"/>
          </w:tblCellMar>
        </w:tblPrEx>
        <w:trPr>
          <w:trHeight w:val="600" w:hRule="atLeast"/>
          <w:jc w:val="center"/>
        </w:trPr>
        <w:tc>
          <w:tcPr>
            <w:tcW w:w="37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67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54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bl>
    <w:p/>
    <w:p>
      <w:pPr>
        <w:widowControl/>
        <w:jc w:val="left"/>
        <w:sectPr>
          <w:headerReference r:id="rId5" w:type="default"/>
          <w:footerReference r:id="rId6" w:type="default"/>
          <w:pgSz w:w="16838" w:h="11906" w:orient="landscape"/>
          <w:pgMar w:top="1276" w:right="1440" w:bottom="1134" w:left="1440" w:header="851" w:footer="992" w:gutter="0"/>
          <w:cols w:space="425" w:num="1"/>
          <w:docGrid w:type="lines" w:linePitch="312" w:charSpace="0"/>
        </w:sectPr>
      </w:pPr>
    </w:p>
    <w:p>
      <w:pPr>
        <w:jc w:val="center"/>
        <w:rPr>
          <w:b/>
          <w:sz w:val="44"/>
          <w:szCs w:val="44"/>
        </w:rPr>
      </w:pPr>
      <w:r>
        <w:rPr>
          <w:rFonts w:hint="eastAsia"/>
          <w:b/>
          <w:sz w:val="32"/>
          <w:szCs w:val="32"/>
        </w:rPr>
        <w:t xml:space="preserve">专项任务交办单     </w:t>
      </w:r>
      <w:r>
        <w:rPr>
          <w:rFonts w:hint="eastAsia"/>
        </w:rPr>
        <w:t>编号：</w:t>
      </w:r>
    </w:p>
    <w:tbl>
      <w:tblPr>
        <w:tblStyle w:val="54"/>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5"/>
        <w:gridCol w:w="2309"/>
        <w:gridCol w:w="989"/>
        <w:gridCol w:w="2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7" w:hRule="atLeast"/>
        </w:trPr>
        <w:tc>
          <w:tcPr>
            <w:tcW w:w="3185" w:type="dxa"/>
            <w:vAlign w:val="center"/>
          </w:tcPr>
          <w:p>
            <w:pPr>
              <w:jc w:val="center"/>
              <w:rPr>
                <w:sz w:val="32"/>
                <w:szCs w:val="32"/>
              </w:rPr>
            </w:pPr>
            <w:r>
              <w:rPr>
                <w:rFonts w:hint="eastAsia"/>
                <w:sz w:val="32"/>
                <w:szCs w:val="32"/>
              </w:rPr>
              <w:t>任务名称</w:t>
            </w:r>
          </w:p>
        </w:tc>
        <w:tc>
          <w:tcPr>
            <w:tcW w:w="5735" w:type="dxa"/>
            <w:gridSpan w:val="3"/>
            <w:vAlign w:val="center"/>
          </w:tcPr>
          <w:p>
            <w:pPr>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3" w:hRule="atLeast"/>
        </w:trPr>
        <w:tc>
          <w:tcPr>
            <w:tcW w:w="3185" w:type="dxa"/>
            <w:vAlign w:val="center"/>
          </w:tcPr>
          <w:p>
            <w:pPr>
              <w:jc w:val="center"/>
              <w:rPr>
                <w:sz w:val="32"/>
                <w:szCs w:val="32"/>
              </w:rPr>
            </w:pPr>
            <w:r>
              <w:rPr>
                <w:rFonts w:hint="eastAsia"/>
                <w:sz w:val="32"/>
                <w:szCs w:val="32"/>
              </w:rPr>
              <w:t>任务场所</w:t>
            </w:r>
          </w:p>
        </w:tc>
        <w:tc>
          <w:tcPr>
            <w:tcW w:w="5735" w:type="dxa"/>
            <w:gridSpan w:val="3"/>
            <w:vAlign w:val="center"/>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8" w:hRule="atLeast"/>
        </w:trPr>
        <w:tc>
          <w:tcPr>
            <w:tcW w:w="3185" w:type="dxa"/>
            <w:vAlign w:val="center"/>
          </w:tcPr>
          <w:p>
            <w:pPr>
              <w:jc w:val="center"/>
              <w:rPr>
                <w:sz w:val="32"/>
                <w:szCs w:val="32"/>
              </w:rPr>
            </w:pPr>
            <w:r>
              <w:rPr>
                <w:rFonts w:hint="eastAsia"/>
                <w:sz w:val="32"/>
                <w:szCs w:val="32"/>
              </w:rPr>
              <w:t>具体任务要求</w:t>
            </w:r>
          </w:p>
        </w:tc>
        <w:tc>
          <w:tcPr>
            <w:tcW w:w="5735" w:type="dxa"/>
            <w:gridSpan w:val="3"/>
            <w:vAlign w:val="center"/>
          </w:tcPr>
          <w:p>
            <w:pPr>
              <w:jc w:val="left"/>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3" w:hRule="atLeast"/>
        </w:trPr>
        <w:tc>
          <w:tcPr>
            <w:tcW w:w="3185" w:type="dxa"/>
            <w:vAlign w:val="center"/>
          </w:tcPr>
          <w:p>
            <w:pPr>
              <w:jc w:val="center"/>
              <w:rPr>
                <w:sz w:val="32"/>
                <w:szCs w:val="32"/>
              </w:rPr>
            </w:pPr>
            <w:r>
              <w:rPr>
                <w:rFonts w:hint="eastAsia"/>
                <w:sz w:val="32"/>
                <w:szCs w:val="32"/>
              </w:rPr>
              <w:t>申请部门及联系人</w:t>
            </w:r>
          </w:p>
        </w:tc>
        <w:tc>
          <w:tcPr>
            <w:tcW w:w="5735" w:type="dxa"/>
            <w:gridSpan w:val="3"/>
            <w:vAlign w:val="center"/>
          </w:tcPr>
          <w:p>
            <w:pPr>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6" w:hRule="atLeast"/>
        </w:trPr>
        <w:tc>
          <w:tcPr>
            <w:tcW w:w="3185" w:type="dxa"/>
            <w:vAlign w:val="center"/>
          </w:tcPr>
          <w:p>
            <w:pPr>
              <w:jc w:val="center"/>
              <w:rPr>
                <w:sz w:val="32"/>
                <w:szCs w:val="32"/>
              </w:rPr>
            </w:pPr>
            <w:r>
              <w:rPr>
                <w:rFonts w:hint="eastAsia"/>
                <w:sz w:val="32"/>
                <w:szCs w:val="32"/>
              </w:rPr>
              <w:t>要求完成时间</w:t>
            </w:r>
          </w:p>
        </w:tc>
        <w:tc>
          <w:tcPr>
            <w:tcW w:w="5735" w:type="dxa"/>
            <w:gridSpan w:val="3"/>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6" w:hRule="atLeast"/>
        </w:trPr>
        <w:tc>
          <w:tcPr>
            <w:tcW w:w="3185" w:type="dxa"/>
            <w:vAlign w:val="center"/>
          </w:tcPr>
          <w:p>
            <w:pPr>
              <w:jc w:val="center"/>
              <w:rPr>
                <w:sz w:val="32"/>
                <w:szCs w:val="32"/>
              </w:rPr>
            </w:pPr>
            <w:r>
              <w:rPr>
                <w:rFonts w:hint="eastAsia"/>
                <w:sz w:val="32"/>
                <w:szCs w:val="32"/>
              </w:rPr>
              <w:t>服务外包公司</w:t>
            </w:r>
          </w:p>
          <w:p>
            <w:pPr>
              <w:jc w:val="center"/>
              <w:rPr>
                <w:sz w:val="32"/>
                <w:szCs w:val="32"/>
              </w:rPr>
            </w:pPr>
            <w:r>
              <w:rPr>
                <w:rFonts w:hint="eastAsia"/>
                <w:sz w:val="32"/>
                <w:szCs w:val="32"/>
              </w:rPr>
              <w:t>现场负责人签字</w:t>
            </w:r>
          </w:p>
        </w:tc>
        <w:tc>
          <w:tcPr>
            <w:tcW w:w="2309" w:type="dxa"/>
            <w:vAlign w:val="center"/>
          </w:tcPr>
          <w:p>
            <w:pPr>
              <w:jc w:val="center"/>
              <w:rPr>
                <w:rFonts w:ascii="宋体" w:hAnsi="宋体"/>
                <w:sz w:val="28"/>
                <w:szCs w:val="28"/>
              </w:rPr>
            </w:pPr>
          </w:p>
        </w:tc>
        <w:tc>
          <w:tcPr>
            <w:tcW w:w="989" w:type="dxa"/>
            <w:vAlign w:val="center"/>
          </w:tcPr>
          <w:p>
            <w:pPr>
              <w:jc w:val="center"/>
              <w:rPr>
                <w:rFonts w:ascii="宋体" w:hAnsi="宋体"/>
                <w:sz w:val="28"/>
                <w:szCs w:val="28"/>
              </w:rPr>
            </w:pPr>
            <w:r>
              <w:rPr>
                <w:rFonts w:hint="eastAsia" w:ascii="宋体" w:hAnsi="宋体"/>
                <w:sz w:val="28"/>
                <w:szCs w:val="28"/>
              </w:rPr>
              <w:t>时间</w:t>
            </w:r>
          </w:p>
        </w:tc>
        <w:tc>
          <w:tcPr>
            <w:tcW w:w="2437" w:type="dxa"/>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3" w:hRule="atLeast"/>
        </w:trPr>
        <w:tc>
          <w:tcPr>
            <w:tcW w:w="3185" w:type="dxa"/>
            <w:vAlign w:val="center"/>
          </w:tcPr>
          <w:p>
            <w:pPr>
              <w:jc w:val="center"/>
              <w:rPr>
                <w:sz w:val="32"/>
                <w:szCs w:val="32"/>
              </w:rPr>
            </w:pPr>
            <w:r>
              <w:rPr>
                <w:rFonts w:hint="eastAsia"/>
                <w:sz w:val="32"/>
                <w:szCs w:val="32"/>
              </w:rPr>
              <w:t>实际完成任务时间</w:t>
            </w:r>
          </w:p>
        </w:tc>
        <w:tc>
          <w:tcPr>
            <w:tcW w:w="5735" w:type="dxa"/>
            <w:gridSpan w:val="3"/>
            <w:vAlign w:val="center"/>
          </w:tcPr>
          <w:p>
            <w:pPr>
              <w:ind w:firstLine="1760" w:firstLineChars="550"/>
              <w:jc w:val="center"/>
              <w:rPr>
                <w:sz w:val="32"/>
                <w:szCs w:val="32"/>
              </w:rPr>
            </w:pPr>
            <w:r>
              <w:rPr>
                <w:rFonts w:hint="eastAsia"/>
                <w:sz w:val="32"/>
                <w:szCs w:val="32"/>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6" w:hRule="atLeast"/>
        </w:trPr>
        <w:tc>
          <w:tcPr>
            <w:tcW w:w="3185" w:type="dxa"/>
            <w:vAlign w:val="center"/>
          </w:tcPr>
          <w:p>
            <w:pPr>
              <w:jc w:val="center"/>
              <w:rPr>
                <w:sz w:val="32"/>
                <w:szCs w:val="32"/>
              </w:rPr>
            </w:pPr>
            <w:r>
              <w:rPr>
                <w:rFonts w:hint="eastAsia"/>
                <w:sz w:val="32"/>
                <w:szCs w:val="32"/>
              </w:rPr>
              <w:t>申请部门验收意见</w:t>
            </w:r>
          </w:p>
        </w:tc>
        <w:tc>
          <w:tcPr>
            <w:tcW w:w="5735" w:type="dxa"/>
            <w:gridSpan w:val="3"/>
            <w:vAlign w:val="center"/>
          </w:tcPr>
          <w:p>
            <w:pPr>
              <w:jc w:val="center"/>
              <w:rPr>
                <w:sz w:val="32"/>
                <w:szCs w:val="32"/>
              </w:rPr>
            </w:pPr>
            <w:r>
              <w:rPr>
                <w:rFonts w:hint="eastAsia" w:ascii="宋体" w:hAnsi="宋体"/>
                <w:sz w:val="28"/>
                <w:szCs w:val="28"/>
              </w:rPr>
              <w:t>□满意    □基本满意     □不满意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5" w:hRule="atLeast"/>
        </w:trPr>
        <w:tc>
          <w:tcPr>
            <w:tcW w:w="3185" w:type="dxa"/>
            <w:vAlign w:val="center"/>
          </w:tcPr>
          <w:p>
            <w:pPr>
              <w:jc w:val="center"/>
              <w:rPr>
                <w:sz w:val="32"/>
                <w:szCs w:val="32"/>
              </w:rPr>
            </w:pPr>
            <w:r>
              <w:rPr>
                <w:rFonts w:hint="eastAsia"/>
                <w:sz w:val="32"/>
                <w:szCs w:val="32"/>
              </w:rPr>
              <w:t>后勤处</w:t>
            </w:r>
          </w:p>
          <w:p>
            <w:pPr>
              <w:jc w:val="center"/>
              <w:rPr>
                <w:sz w:val="32"/>
                <w:szCs w:val="32"/>
              </w:rPr>
            </w:pPr>
            <w:r>
              <w:rPr>
                <w:rFonts w:hint="eastAsia"/>
                <w:sz w:val="32"/>
                <w:szCs w:val="32"/>
              </w:rPr>
              <w:t>验收意见</w:t>
            </w:r>
          </w:p>
        </w:tc>
        <w:tc>
          <w:tcPr>
            <w:tcW w:w="5735" w:type="dxa"/>
            <w:gridSpan w:val="3"/>
            <w:vAlign w:val="center"/>
          </w:tcPr>
          <w:p>
            <w:pPr>
              <w:jc w:val="center"/>
              <w:rPr>
                <w:rFonts w:ascii="宋体" w:hAnsi="宋体"/>
                <w:sz w:val="28"/>
                <w:szCs w:val="28"/>
              </w:rPr>
            </w:pPr>
          </w:p>
          <w:p>
            <w:pPr>
              <w:jc w:val="center"/>
              <w:rPr>
                <w:rFonts w:ascii="宋体" w:hAnsi="宋体"/>
                <w:sz w:val="28"/>
                <w:szCs w:val="28"/>
              </w:rPr>
            </w:pPr>
            <w:r>
              <w:rPr>
                <w:rFonts w:hint="eastAsia"/>
                <w:sz w:val="28"/>
                <w:szCs w:val="28"/>
              </w:rPr>
              <w:t>签名：</w:t>
            </w:r>
          </w:p>
        </w:tc>
      </w:tr>
    </w:tbl>
    <w:p>
      <w:pPr>
        <w:spacing w:line="420" w:lineRule="exact"/>
        <w:rPr>
          <w:b/>
          <w:bCs/>
        </w:rPr>
      </w:pPr>
      <w:r>
        <w:rPr>
          <w:rFonts w:hint="eastAsia"/>
          <w:b/>
          <w:bCs/>
        </w:rPr>
        <w:t>备注：1、服务外包单位确认专项任务达到要求后，报验收。</w:t>
      </w:r>
    </w:p>
    <w:p>
      <w:pPr>
        <w:spacing w:line="420" w:lineRule="exact"/>
        <w:rPr>
          <w:rFonts w:ascii="宋体" w:hAnsi="宋体"/>
          <w:b/>
          <w:bCs/>
          <w:sz w:val="28"/>
          <w:szCs w:val="28"/>
        </w:rPr>
      </w:pPr>
      <w:r>
        <w:rPr>
          <w:rFonts w:hint="eastAsia"/>
          <w:b/>
          <w:bCs/>
        </w:rPr>
        <w:t xml:space="preserve">      2、此单必须首先由申请部门验收。（</w:t>
      </w:r>
      <w:r>
        <w:rPr>
          <w:rFonts w:hint="eastAsia" w:ascii="宋体" w:hAnsi="宋体"/>
          <w:b/>
          <w:bCs/>
          <w:sz w:val="28"/>
          <w:szCs w:val="28"/>
        </w:rPr>
        <w:t>在□内打“√”）</w:t>
      </w:r>
    </w:p>
    <w:p>
      <w:pPr>
        <w:spacing w:line="420" w:lineRule="exact"/>
        <w:rPr>
          <w:b/>
          <w:bCs/>
        </w:rPr>
      </w:pPr>
      <w:r>
        <w:rPr>
          <w:rFonts w:hint="eastAsia"/>
          <w:b/>
          <w:bCs/>
        </w:rPr>
        <w:t xml:space="preserve">      3、此项资料由后勤处汇总存档。</w:t>
      </w:r>
    </w:p>
    <w:p>
      <w:pPr>
        <w:spacing w:line="420" w:lineRule="exact"/>
        <w:jc w:val="center"/>
        <w:rPr>
          <w:rFonts w:ascii="仿宋" w:hAnsi="仿宋" w:eastAsia="仿宋"/>
          <w:snapToGrid w:val="0"/>
          <w:kern w:val="22"/>
          <w:sz w:val="28"/>
          <w:szCs w:val="28"/>
        </w:rPr>
      </w:pPr>
      <w:r>
        <w:rPr>
          <w:rFonts w:hint="eastAsia" w:ascii="仿宋" w:hAnsi="仿宋" w:eastAsia="仿宋"/>
          <w:snapToGrid w:val="0"/>
          <w:kern w:val="22"/>
          <w:sz w:val="44"/>
          <w:szCs w:val="44"/>
        </w:rPr>
        <w:t>服务外包项目考核处罚书</w:t>
      </w:r>
      <w:r>
        <w:rPr>
          <w:rFonts w:hint="eastAsia" w:ascii="仿宋" w:hAnsi="仿宋" w:eastAsia="仿宋"/>
          <w:snapToGrid w:val="0"/>
          <w:kern w:val="22"/>
          <w:sz w:val="28"/>
          <w:szCs w:val="28"/>
        </w:rPr>
        <w:t>编号：</w:t>
      </w:r>
    </w:p>
    <w:p>
      <w:pPr>
        <w:spacing w:line="340" w:lineRule="exact"/>
        <w:jc w:val="center"/>
        <w:rPr>
          <w:rFonts w:eastAsia="黑体"/>
          <w:b/>
          <w:bCs/>
          <w:sz w:val="36"/>
        </w:rPr>
      </w:pPr>
    </w:p>
    <w:tbl>
      <w:tblPr>
        <w:tblStyle w:val="54"/>
        <w:tblW w:w="8888"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1947"/>
        <w:gridCol w:w="694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cantSplit/>
          <w:trHeight w:val="888" w:hRule="atLeast"/>
          <w:jc w:val="center"/>
        </w:trPr>
        <w:tc>
          <w:tcPr>
            <w:tcW w:w="1947" w:type="dxa"/>
            <w:vAlign w:val="center"/>
          </w:tcPr>
          <w:p>
            <w:pPr>
              <w:spacing w:line="480" w:lineRule="exact"/>
              <w:jc w:val="center"/>
              <w:rPr>
                <w:rFonts w:ascii="仿宋" w:hAnsi="仿宋" w:eastAsia="仿宋"/>
                <w:sz w:val="28"/>
              </w:rPr>
            </w:pPr>
            <w:r>
              <w:rPr>
                <w:rFonts w:hint="eastAsia" w:ascii="仿宋" w:hAnsi="仿宋" w:eastAsia="仿宋"/>
                <w:sz w:val="28"/>
              </w:rPr>
              <w:t>服务外包</w:t>
            </w:r>
          </w:p>
          <w:p>
            <w:pPr>
              <w:spacing w:line="480" w:lineRule="exact"/>
              <w:jc w:val="center"/>
              <w:rPr>
                <w:rFonts w:ascii="仿宋_GB2312" w:hAnsi="宋体" w:eastAsia="仿宋_GB2312"/>
                <w:b/>
                <w:sz w:val="28"/>
              </w:rPr>
            </w:pPr>
            <w:r>
              <w:rPr>
                <w:rFonts w:hint="eastAsia" w:ascii="仿宋" w:hAnsi="仿宋" w:eastAsia="仿宋"/>
                <w:sz w:val="28"/>
              </w:rPr>
              <w:t>项目名称</w:t>
            </w:r>
          </w:p>
        </w:tc>
        <w:tc>
          <w:tcPr>
            <w:tcW w:w="6941" w:type="dxa"/>
            <w:vAlign w:val="center"/>
          </w:tcPr>
          <w:p>
            <w:pPr>
              <w:spacing w:line="480" w:lineRule="exact"/>
              <w:ind w:right="840" w:rightChars="400"/>
              <w:jc w:val="center"/>
              <w:rPr>
                <w:rFonts w:ascii="仿宋" w:hAnsi="仿宋" w:eastAsia="仿宋"/>
                <w:kern w:val="30"/>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cantSplit/>
          <w:trHeight w:val="888" w:hRule="atLeast"/>
          <w:jc w:val="center"/>
        </w:trPr>
        <w:tc>
          <w:tcPr>
            <w:tcW w:w="1947" w:type="dxa"/>
            <w:vAlign w:val="center"/>
          </w:tcPr>
          <w:p>
            <w:pPr>
              <w:spacing w:line="480" w:lineRule="exact"/>
              <w:jc w:val="center"/>
              <w:rPr>
                <w:rFonts w:ascii="仿宋" w:hAnsi="仿宋" w:eastAsia="仿宋"/>
                <w:sz w:val="28"/>
              </w:rPr>
            </w:pPr>
            <w:r>
              <w:rPr>
                <w:rFonts w:hint="eastAsia" w:ascii="仿宋" w:hAnsi="仿宋" w:eastAsia="仿宋"/>
                <w:sz w:val="28"/>
              </w:rPr>
              <w:t>服务外包</w:t>
            </w:r>
          </w:p>
          <w:p>
            <w:pPr>
              <w:spacing w:line="480" w:lineRule="exact"/>
              <w:jc w:val="center"/>
              <w:rPr>
                <w:rFonts w:ascii="仿宋" w:hAnsi="仿宋" w:eastAsia="仿宋"/>
                <w:sz w:val="28"/>
              </w:rPr>
            </w:pPr>
            <w:r>
              <w:rPr>
                <w:rFonts w:hint="eastAsia" w:ascii="仿宋" w:hAnsi="仿宋" w:eastAsia="仿宋"/>
                <w:sz w:val="28"/>
              </w:rPr>
              <w:t>项目承包人</w:t>
            </w:r>
          </w:p>
        </w:tc>
        <w:tc>
          <w:tcPr>
            <w:tcW w:w="6941" w:type="dxa"/>
            <w:vAlign w:val="center"/>
          </w:tcPr>
          <w:p>
            <w:pPr>
              <w:spacing w:line="480" w:lineRule="exact"/>
              <w:ind w:right="840" w:rightChars="400"/>
              <w:jc w:val="center"/>
              <w:rPr>
                <w:rFonts w:ascii="仿宋" w:hAnsi="仿宋" w:eastAsia="仿宋"/>
                <w:kern w:val="30"/>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cantSplit/>
          <w:trHeight w:val="2056" w:hRule="atLeast"/>
          <w:jc w:val="center"/>
        </w:trPr>
        <w:tc>
          <w:tcPr>
            <w:tcW w:w="1947" w:type="dxa"/>
            <w:tcBorders>
              <w:bottom w:val="single" w:color="000000" w:sz="12" w:space="0"/>
            </w:tcBorders>
            <w:vAlign w:val="center"/>
          </w:tcPr>
          <w:p>
            <w:pPr>
              <w:spacing w:line="480" w:lineRule="exact"/>
              <w:jc w:val="center"/>
              <w:rPr>
                <w:rFonts w:ascii="仿宋" w:hAnsi="仿宋" w:eastAsia="仿宋"/>
                <w:sz w:val="28"/>
              </w:rPr>
            </w:pPr>
            <w:r>
              <w:rPr>
                <w:rFonts w:hint="eastAsia" w:ascii="仿宋" w:hAnsi="仿宋" w:eastAsia="仿宋"/>
                <w:sz w:val="28"/>
              </w:rPr>
              <w:t>考核情况</w:t>
            </w:r>
          </w:p>
        </w:tc>
        <w:tc>
          <w:tcPr>
            <w:tcW w:w="6941" w:type="dxa"/>
            <w:tcBorders>
              <w:bottom w:val="single" w:color="000000" w:sz="12" w:space="0"/>
            </w:tcBorders>
            <w:vAlign w:val="center"/>
          </w:tcPr>
          <w:p>
            <w:pPr>
              <w:spacing w:line="480" w:lineRule="exact"/>
              <w:ind w:left="720"/>
              <w:rPr>
                <w:rFonts w:ascii="仿宋" w:hAnsi="仿宋" w:eastAsia="仿宋"/>
                <w:sz w:val="24"/>
                <w:szCs w:val="24"/>
              </w:rPr>
            </w:pPr>
          </w:p>
          <w:p>
            <w:pPr>
              <w:spacing w:line="480" w:lineRule="exact"/>
              <w:rPr>
                <w:rFonts w:ascii="仿宋" w:hAnsi="仿宋" w:eastAsia="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cantSplit/>
          <w:trHeight w:val="867" w:hRule="atLeast"/>
          <w:jc w:val="center"/>
        </w:trPr>
        <w:tc>
          <w:tcPr>
            <w:tcW w:w="1947" w:type="dxa"/>
            <w:tcBorders>
              <w:right w:val="single" w:color="000000" w:sz="12" w:space="0"/>
            </w:tcBorders>
            <w:vAlign w:val="center"/>
          </w:tcPr>
          <w:p>
            <w:pPr>
              <w:spacing w:line="480" w:lineRule="exact"/>
              <w:jc w:val="center"/>
              <w:rPr>
                <w:rFonts w:ascii="仿宋" w:hAnsi="仿宋" w:eastAsia="仿宋"/>
                <w:sz w:val="28"/>
              </w:rPr>
            </w:pPr>
            <w:r>
              <w:rPr>
                <w:rFonts w:hint="eastAsia" w:ascii="仿宋" w:hAnsi="仿宋" w:eastAsia="仿宋"/>
                <w:sz w:val="28"/>
              </w:rPr>
              <w:t>处罚类型</w:t>
            </w:r>
          </w:p>
        </w:tc>
        <w:tc>
          <w:tcPr>
            <w:tcW w:w="6941" w:type="dxa"/>
            <w:tcBorders>
              <w:left w:val="single" w:color="000000" w:sz="12" w:space="0"/>
            </w:tcBorders>
            <w:vAlign w:val="center"/>
          </w:tcPr>
          <w:p>
            <w:pPr>
              <w:spacing w:line="480" w:lineRule="exact"/>
              <w:rPr>
                <w:rFonts w:ascii="仿宋" w:hAnsi="仿宋" w:eastAsia="仿宋"/>
                <w:sz w:val="28"/>
              </w:rPr>
            </w:pPr>
            <w:r>
              <w:rPr>
                <w:rFonts w:hint="eastAsia" w:ascii="仿宋" w:hAnsi="仿宋" w:eastAsia="仿宋"/>
                <w:sz w:val="28"/>
              </w:rPr>
              <w:t>1、经济处罚【     】   2、 解除合同【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cantSplit/>
          <w:trHeight w:val="867" w:hRule="atLeast"/>
          <w:jc w:val="center"/>
        </w:trPr>
        <w:tc>
          <w:tcPr>
            <w:tcW w:w="1947" w:type="dxa"/>
            <w:tcBorders>
              <w:right w:val="single" w:color="000000" w:sz="12" w:space="0"/>
            </w:tcBorders>
            <w:vAlign w:val="center"/>
          </w:tcPr>
          <w:p>
            <w:pPr>
              <w:spacing w:line="480" w:lineRule="exact"/>
              <w:jc w:val="center"/>
              <w:rPr>
                <w:rFonts w:ascii="仿宋" w:hAnsi="仿宋" w:eastAsia="仿宋"/>
                <w:sz w:val="28"/>
              </w:rPr>
            </w:pPr>
            <w:r>
              <w:rPr>
                <w:rFonts w:hint="eastAsia" w:ascii="仿宋" w:hAnsi="仿宋" w:eastAsia="仿宋"/>
                <w:sz w:val="28"/>
              </w:rPr>
              <w:t>处罚金额</w:t>
            </w:r>
          </w:p>
        </w:tc>
        <w:tc>
          <w:tcPr>
            <w:tcW w:w="6941" w:type="dxa"/>
            <w:tcBorders>
              <w:left w:val="single" w:color="000000" w:sz="12" w:space="0"/>
            </w:tcBorders>
            <w:vAlign w:val="center"/>
          </w:tcPr>
          <w:p>
            <w:pPr>
              <w:spacing w:line="480" w:lineRule="exact"/>
              <w:jc w:val="center"/>
              <w:rPr>
                <w:rFonts w:ascii="仿宋" w:hAnsi="仿宋" w:eastAsia="仿宋"/>
                <w:sz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cantSplit/>
          <w:trHeight w:val="1525" w:hRule="atLeast"/>
          <w:jc w:val="center"/>
        </w:trPr>
        <w:tc>
          <w:tcPr>
            <w:tcW w:w="1947" w:type="dxa"/>
            <w:vAlign w:val="center"/>
          </w:tcPr>
          <w:p>
            <w:pPr>
              <w:spacing w:line="480" w:lineRule="exact"/>
              <w:jc w:val="center"/>
              <w:rPr>
                <w:rFonts w:ascii="仿宋" w:hAnsi="仿宋" w:eastAsia="仿宋"/>
                <w:sz w:val="28"/>
              </w:rPr>
            </w:pPr>
            <w:r>
              <w:rPr>
                <w:rFonts w:hint="eastAsia" w:ascii="仿宋" w:hAnsi="仿宋" w:eastAsia="仿宋"/>
                <w:sz w:val="28"/>
                <w:szCs w:val="28"/>
              </w:rPr>
              <w:t>服务外包管理员意见</w:t>
            </w:r>
          </w:p>
        </w:tc>
        <w:tc>
          <w:tcPr>
            <w:tcW w:w="6941" w:type="dxa"/>
          </w:tcPr>
          <w:p>
            <w:pPr>
              <w:spacing w:line="480" w:lineRule="exact"/>
              <w:jc w:val="left"/>
              <w:rPr>
                <w:rFonts w:ascii="仿宋" w:hAnsi="仿宋" w:eastAsia="仿宋"/>
              </w:rPr>
            </w:pPr>
          </w:p>
          <w:p>
            <w:pPr>
              <w:tabs>
                <w:tab w:val="left" w:pos="1314"/>
              </w:tabs>
              <w:spacing w:line="480" w:lineRule="exact"/>
              <w:jc w:val="left"/>
              <w:rPr>
                <w:rFonts w:ascii="仿宋" w:hAnsi="仿宋" w:eastAsia="仿宋"/>
                <w:bCs/>
                <w:sz w:val="28"/>
              </w:rPr>
            </w:pPr>
            <w:r>
              <w:rPr>
                <w:rFonts w:hint="eastAsia" w:ascii="仿宋" w:hAnsi="仿宋" w:eastAsia="仿宋"/>
              </w:rPr>
              <w:tab/>
            </w:r>
          </w:p>
          <w:p>
            <w:pPr>
              <w:tabs>
                <w:tab w:val="left" w:pos="1314"/>
              </w:tabs>
              <w:spacing w:line="480" w:lineRule="exact"/>
              <w:jc w:val="left"/>
              <w:rPr>
                <w:rFonts w:ascii="仿宋" w:hAnsi="仿宋" w:eastAsia="仿宋"/>
                <w:bCs/>
                <w:sz w:val="28"/>
              </w:rPr>
            </w:pPr>
          </w:p>
          <w:p>
            <w:pPr>
              <w:tabs>
                <w:tab w:val="left" w:pos="1314"/>
              </w:tabs>
              <w:spacing w:line="480" w:lineRule="exact"/>
              <w:ind w:firstLine="4340" w:firstLineChars="1550"/>
              <w:jc w:val="left"/>
              <w:rPr>
                <w:rFonts w:ascii="仿宋" w:hAnsi="仿宋" w:eastAsia="仿宋"/>
              </w:rPr>
            </w:pPr>
            <w:r>
              <w:rPr>
                <w:rFonts w:hint="eastAsia" w:ascii="仿宋" w:hAnsi="仿宋" w:eastAsia="仿宋"/>
                <w:bCs/>
                <w:sz w:val="28"/>
                <w:szCs w:val="28"/>
              </w:rPr>
              <w:t xml:space="preserve">     年   月  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cantSplit/>
          <w:trHeight w:val="1609" w:hRule="atLeast"/>
          <w:jc w:val="center"/>
        </w:trPr>
        <w:tc>
          <w:tcPr>
            <w:tcW w:w="1947" w:type="dxa"/>
            <w:vAlign w:val="center"/>
          </w:tcPr>
          <w:p>
            <w:pPr>
              <w:spacing w:line="480" w:lineRule="exact"/>
              <w:jc w:val="center"/>
              <w:rPr>
                <w:rFonts w:ascii="仿宋" w:hAnsi="仿宋" w:eastAsia="仿宋"/>
                <w:sz w:val="28"/>
                <w:szCs w:val="28"/>
              </w:rPr>
            </w:pPr>
            <w:r>
              <w:rPr>
                <w:rFonts w:hint="eastAsia" w:ascii="仿宋" w:hAnsi="仿宋" w:eastAsia="仿宋"/>
                <w:sz w:val="28"/>
                <w:szCs w:val="28"/>
              </w:rPr>
              <w:t>分管领导</w:t>
            </w:r>
          </w:p>
          <w:p>
            <w:pPr>
              <w:spacing w:line="480" w:lineRule="exact"/>
              <w:jc w:val="center"/>
              <w:rPr>
                <w:rFonts w:ascii="仿宋" w:hAnsi="仿宋" w:eastAsia="仿宋"/>
                <w:sz w:val="28"/>
                <w:szCs w:val="28"/>
              </w:rPr>
            </w:pPr>
            <w:r>
              <w:rPr>
                <w:rFonts w:hint="eastAsia" w:ascii="仿宋" w:hAnsi="仿宋" w:eastAsia="仿宋"/>
                <w:sz w:val="28"/>
                <w:szCs w:val="28"/>
              </w:rPr>
              <w:t>意见</w:t>
            </w:r>
          </w:p>
        </w:tc>
        <w:tc>
          <w:tcPr>
            <w:tcW w:w="6941" w:type="dxa"/>
          </w:tcPr>
          <w:p>
            <w:pPr>
              <w:tabs>
                <w:tab w:val="left" w:pos="4752"/>
                <w:tab w:val="left" w:pos="5292"/>
                <w:tab w:val="left" w:pos="5472"/>
                <w:tab w:val="left" w:pos="5832"/>
              </w:tabs>
              <w:wordWrap w:val="0"/>
              <w:spacing w:line="480" w:lineRule="exact"/>
              <w:ind w:right="105" w:firstLine="3793"/>
              <w:jc w:val="right"/>
              <w:rPr>
                <w:rFonts w:ascii="仿宋" w:hAnsi="仿宋" w:eastAsia="仿宋"/>
                <w:bCs/>
                <w:sz w:val="28"/>
                <w:szCs w:val="28"/>
              </w:rPr>
            </w:pPr>
          </w:p>
          <w:p>
            <w:pPr>
              <w:tabs>
                <w:tab w:val="left" w:pos="4752"/>
                <w:tab w:val="left" w:pos="5292"/>
                <w:tab w:val="left" w:pos="5472"/>
                <w:tab w:val="left" w:pos="5832"/>
              </w:tabs>
              <w:spacing w:line="480" w:lineRule="exact"/>
              <w:ind w:right="105" w:firstLine="3793"/>
              <w:jc w:val="right"/>
              <w:rPr>
                <w:rFonts w:ascii="仿宋" w:hAnsi="仿宋" w:eastAsia="仿宋"/>
              </w:rPr>
            </w:pPr>
            <w:r>
              <w:rPr>
                <w:rFonts w:hint="eastAsia" w:ascii="仿宋" w:hAnsi="仿宋" w:eastAsia="仿宋"/>
                <w:bCs/>
                <w:sz w:val="28"/>
                <w:szCs w:val="28"/>
              </w:rPr>
              <w:t>年   月  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cantSplit/>
          <w:trHeight w:val="1411" w:hRule="atLeast"/>
          <w:jc w:val="center"/>
        </w:trPr>
        <w:tc>
          <w:tcPr>
            <w:tcW w:w="1947" w:type="dxa"/>
            <w:vAlign w:val="center"/>
          </w:tcPr>
          <w:p>
            <w:pPr>
              <w:spacing w:line="480" w:lineRule="exact"/>
              <w:jc w:val="center"/>
              <w:rPr>
                <w:rFonts w:ascii="仿宋" w:hAnsi="仿宋" w:eastAsia="仿宋"/>
                <w:sz w:val="28"/>
              </w:rPr>
            </w:pPr>
            <w:r>
              <w:rPr>
                <w:rFonts w:hint="eastAsia" w:ascii="仿宋" w:hAnsi="仿宋" w:eastAsia="仿宋"/>
                <w:sz w:val="28"/>
              </w:rPr>
              <w:t>主要领导</w:t>
            </w:r>
          </w:p>
          <w:p>
            <w:pPr>
              <w:spacing w:line="480" w:lineRule="exact"/>
              <w:jc w:val="center"/>
              <w:rPr>
                <w:rFonts w:ascii="仿宋" w:hAnsi="仿宋" w:eastAsia="仿宋"/>
                <w:sz w:val="28"/>
                <w:szCs w:val="28"/>
              </w:rPr>
            </w:pPr>
            <w:r>
              <w:rPr>
                <w:rFonts w:hint="eastAsia" w:ascii="仿宋" w:hAnsi="仿宋" w:eastAsia="仿宋"/>
                <w:sz w:val="28"/>
              </w:rPr>
              <w:t>意见</w:t>
            </w:r>
          </w:p>
        </w:tc>
        <w:tc>
          <w:tcPr>
            <w:tcW w:w="6941" w:type="dxa"/>
          </w:tcPr>
          <w:p>
            <w:pPr>
              <w:tabs>
                <w:tab w:val="left" w:pos="4752"/>
                <w:tab w:val="left" w:pos="5292"/>
                <w:tab w:val="left" w:pos="5472"/>
                <w:tab w:val="left" w:pos="5832"/>
              </w:tabs>
              <w:spacing w:line="480" w:lineRule="exact"/>
              <w:ind w:right="525"/>
              <w:rPr>
                <w:rFonts w:ascii="仿宋" w:hAnsi="仿宋" w:eastAsia="仿宋"/>
              </w:rPr>
            </w:pPr>
          </w:p>
          <w:p>
            <w:pPr>
              <w:tabs>
                <w:tab w:val="left" w:pos="1170"/>
              </w:tabs>
              <w:spacing w:line="480" w:lineRule="exact"/>
              <w:jc w:val="right"/>
              <w:rPr>
                <w:rFonts w:ascii="仿宋" w:hAnsi="仿宋" w:eastAsia="仿宋"/>
              </w:rPr>
            </w:pPr>
            <w:r>
              <w:rPr>
                <w:rFonts w:hint="eastAsia" w:ascii="仿宋" w:hAnsi="仿宋" w:eastAsia="仿宋"/>
                <w:bCs/>
                <w:sz w:val="28"/>
                <w:szCs w:val="28"/>
              </w:rPr>
              <w:t>年   月  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Ex>
        <w:trPr>
          <w:trHeight w:val="1567" w:hRule="atLeast"/>
          <w:jc w:val="center"/>
        </w:trPr>
        <w:tc>
          <w:tcPr>
            <w:tcW w:w="1947" w:type="dxa"/>
            <w:vAlign w:val="center"/>
          </w:tcPr>
          <w:p>
            <w:pPr>
              <w:spacing w:line="480" w:lineRule="exact"/>
              <w:jc w:val="center"/>
              <w:rPr>
                <w:rFonts w:ascii="仿宋" w:hAnsi="仿宋" w:eastAsia="仿宋"/>
                <w:sz w:val="28"/>
              </w:rPr>
            </w:pPr>
            <w:r>
              <w:rPr>
                <w:rFonts w:hint="eastAsia" w:ascii="仿宋" w:hAnsi="仿宋" w:eastAsia="仿宋"/>
                <w:sz w:val="28"/>
              </w:rPr>
              <w:t>项目承包人</w:t>
            </w:r>
          </w:p>
          <w:p>
            <w:pPr>
              <w:spacing w:line="480" w:lineRule="exact"/>
              <w:jc w:val="center"/>
              <w:rPr>
                <w:rFonts w:ascii="仿宋" w:hAnsi="仿宋" w:eastAsia="仿宋"/>
                <w:sz w:val="28"/>
              </w:rPr>
            </w:pPr>
            <w:r>
              <w:rPr>
                <w:rFonts w:hint="eastAsia" w:ascii="仿宋" w:hAnsi="仿宋" w:eastAsia="仿宋"/>
                <w:sz w:val="28"/>
              </w:rPr>
              <w:t>签收</w:t>
            </w:r>
          </w:p>
        </w:tc>
        <w:tc>
          <w:tcPr>
            <w:tcW w:w="6941" w:type="dxa"/>
          </w:tcPr>
          <w:p>
            <w:pPr>
              <w:spacing w:line="480" w:lineRule="exact"/>
              <w:rPr>
                <w:rFonts w:ascii="仿宋" w:hAnsi="仿宋" w:eastAsia="仿宋"/>
                <w:bCs/>
                <w:sz w:val="28"/>
                <w:szCs w:val="28"/>
              </w:rPr>
            </w:pPr>
          </w:p>
          <w:p>
            <w:pPr>
              <w:spacing w:line="480" w:lineRule="exact"/>
              <w:jc w:val="right"/>
              <w:rPr>
                <w:rFonts w:ascii="仿宋" w:hAnsi="仿宋" w:eastAsia="仿宋"/>
              </w:rPr>
            </w:pPr>
            <w:r>
              <w:rPr>
                <w:rFonts w:hint="eastAsia" w:ascii="仿宋" w:hAnsi="仿宋" w:eastAsia="仿宋"/>
                <w:bCs/>
                <w:sz w:val="28"/>
                <w:szCs w:val="28"/>
              </w:rPr>
              <w:t>年   月  日</w:t>
            </w:r>
          </w:p>
        </w:tc>
      </w:tr>
    </w:tbl>
    <w:p/>
    <w:p/>
    <w:p>
      <w:pPr>
        <w:jc w:val="center"/>
        <w:rPr>
          <w:sz w:val="32"/>
          <w:szCs w:val="32"/>
        </w:rPr>
      </w:pPr>
      <w:r>
        <w:rPr>
          <w:rFonts w:hint="eastAsia"/>
          <w:sz w:val="32"/>
          <w:szCs w:val="32"/>
        </w:rPr>
        <w:t>服务外包项目财务结账实施细则</w:t>
      </w:r>
    </w:p>
    <w:p>
      <w:pPr>
        <w:spacing w:line="440" w:lineRule="exact"/>
        <w:ind w:firstLine="420"/>
        <w:rPr>
          <w:sz w:val="28"/>
          <w:szCs w:val="28"/>
        </w:rPr>
      </w:pPr>
      <w:r>
        <w:rPr>
          <w:rFonts w:hint="eastAsia"/>
          <w:sz w:val="28"/>
          <w:szCs w:val="28"/>
        </w:rPr>
        <w:t>为规范财务纪律，进一步加强服务外包项目管理，特编制服务外包项目财务结账实施细则。</w:t>
      </w:r>
    </w:p>
    <w:p>
      <w:pPr>
        <w:numPr>
          <w:ilvl w:val="0"/>
          <w:numId w:val="7"/>
        </w:numPr>
        <w:spacing w:line="440" w:lineRule="exact"/>
        <w:rPr>
          <w:sz w:val="28"/>
          <w:szCs w:val="28"/>
        </w:rPr>
      </w:pPr>
      <w:r>
        <w:rPr>
          <w:rFonts w:hint="eastAsia"/>
          <w:sz w:val="28"/>
          <w:szCs w:val="28"/>
        </w:rPr>
        <w:t>服务外包项目管理员负责每月28-31日配合水电管理员现场抄录服务外包项目水电表，签字确认。水电管理员核算、计算相关数据，填报一式三份《服务外包项目水电费核算确认表》并签字（详见附件一）。其中水电管理员、服务外包项目管理员、后勤管理处服务项目分管处长分别留存一份。</w:t>
      </w:r>
    </w:p>
    <w:p>
      <w:pPr>
        <w:spacing w:line="480" w:lineRule="exact"/>
        <w:rPr>
          <w:rFonts w:ascii="仿宋" w:hAnsi="仿宋" w:eastAsia="仿宋" w:cs="仿宋"/>
          <w:sz w:val="28"/>
          <w:szCs w:val="28"/>
        </w:rPr>
      </w:pPr>
      <w:r>
        <w:rPr>
          <w:rFonts w:hint="eastAsia"/>
          <w:sz w:val="28"/>
          <w:szCs w:val="28"/>
        </w:rPr>
        <w:t>2、服务项目管理员负责每月28-31日主动对接信息技术中心，核对上月消费明细；下月2日前（节假日顺延）填报一式三份《服务外包项目结账清单》，督促服务外包项目负责人核对一卡通结账单和水电账单，核对无误后服务外包项目负责人、项目管理员分别签字（详见附件二）。其中管理员留存一份，另报送两份给后勤管理处服务项目分管处长。</w:t>
      </w:r>
    </w:p>
    <w:p>
      <w:pPr>
        <w:spacing w:line="440" w:lineRule="exact"/>
        <w:rPr>
          <w:sz w:val="28"/>
          <w:szCs w:val="28"/>
        </w:rPr>
      </w:pPr>
      <w:r>
        <w:rPr>
          <w:rFonts w:hint="eastAsia"/>
          <w:sz w:val="28"/>
          <w:szCs w:val="28"/>
        </w:rPr>
        <w:t>3、后勤管理处服务项目分管处长负责依据水电管理员和服务外包项目管理员报送的材料，进行二次核算和审核。</w:t>
      </w:r>
    </w:p>
    <w:p>
      <w:pPr>
        <w:spacing w:line="440" w:lineRule="exact"/>
        <w:rPr>
          <w:sz w:val="28"/>
          <w:szCs w:val="28"/>
        </w:rPr>
      </w:pPr>
      <w:r>
        <w:rPr>
          <w:rFonts w:hint="eastAsia"/>
          <w:sz w:val="28"/>
          <w:szCs w:val="28"/>
        </w:rPr>
        <w:t>4、后勤管理处服务项目分管处长负责按照学校财务审批流程和权限办理审批手续，《服务外包项目结账清单》留存一份，另报送一份给财务处用于结账。</w:t>
      </w:r>
    </w:p>
    <w:p>
      <w:pPr>
        <w:pStyle w:val="17"/>
        <w:ind w:firstLine="600"/>
      </w:pPr>
    </w:p>
    <w:p>
      <w:pPr>
        <w:pStyle w:val="17"/>
        <w:ind w:firstLine="600"/>
      </w:pPr>
    </w:p>
    <w:p>
      <w:pPr>
        <w:pStyle w:val="47"/>
        <w:rPr>
          <w:rFonts w:asciiTheme="majorHAnsi"/>
        </w:rPr>
      </w:pPr>
    </w:p>
    <w:p>
      <w:pPr>
        <w:pStyle w:val="47"/>
        <w:rPr>
          <w:rFonts w:asciiTheme="majorHAnsi"/>
        </w:rPr>
      </w:pPr>
    </w:p>
    <w:p>
      <w:pPr>
        <w:pStyle w:val="47"/>
        <w:rPr>
          <w:rFonts w:hint="eastAsia"/>
          <w:lang w:val="en-US" w:eastAsia="zh-CN"/>
        </w:rPr>
      </w:pPr>
    </w:p>
    <w:p>
      <w:pPr>
        <w:pStyle w:val="47"/>
        <w:rPr>
          <w:rFonts w:hint="eastAsia"/>
          <w:lang w:val="en-US" w:eastAsia="zh-CN"/>
        </w:rPr>
      </w:pPr>
    </w:p>
    <w:p>
      <w:pPr>
        <w:pStyle w:val="47"/>
        <w:rPr>
          <w:rFonts w:hint="eastAsia"/>
          <w:lang w:val="en-US" w:eastAsia="zh-CN"/>
        </w:rPr>
      </w:pPr>
    </w:p>
    <w:p>
      <w:pPr>
        <w:pStyle w:val="47"/>
      </w:pPr>
      <w:r>
        <w:rPr>
          <w:rFonts w:hint="eastAsia"/>
          <w:lang w:val="en-US" w:eastAsia="zh-CN"/>
        </w:rPr>
        <w:t>第</w:t>
      </w:r>
      <w:r>
        <w:rPr>
          <w:rFonts w:hint="eastAsia"/>
        </w:rPr>
        <w:t>五章  评标方法与评标标准</w:t>
      </w:r>
    </w:p>
    <w:p>
      <w:pPr>
        <w:spacing w:line="400" w:lineRule="exact"/>
        <w:ind w:firstLine="480" w:firstLineChars="200"/>
        <w:rPr>
          <w:rFonts w:ascii="宋体" w:hAnsi="宋体" w:cs="宋体"/>
          <w:b/>
          <w:sz w:val="24"/>
          <w:szCs w:val="24"/>
        </w:rPr>
      </w:pPr>
      <w:r>
        <w:rPr>
          <w:rFonts w:hint="eastAsia" w:ascii="宋体" w:hAnsi="宋体" w:cs="宋体"/>
          <w:b/>
          <w:sz w:val="24"/>
          <w:szCs w:val="24"/>
        </w:rPr>
        <w:t>一、评标方法与定标原则</w:t>
      </w:r>
    </w:p>
    <w:p>
      <w:pPr>
        <w:spacing w:line="400" w:lineRule="exact"/>
        <w:ind w:firstLine="480" w:firstLineChars="200"/>
        <w:rPr>
          <w:rFonts w:ascii="宋体" w:hAnsi="宋体"/>
          <w:sz w:val="24"/>
          <w:szCs w:val="24"/>
        </w:rPr>
      </w:pPr>
      <w:r>
        <w:rPr>
          <w:rFonts w:hint="eastAsia" w:ascii="宋体" w:hAnsi="宋体"/>
          <w:sz w:val="24"/>
          <w:szCs w:val="24"/>
        </w:rPr>
        <w:t>1、按照标段一、二、三、四的顺序先后进行开标。</w:t>
      </w:r>
    </w:p>
    <w:p>
      <w:pPr>
        <w:spacing w:line="400" w:lineRule="exact"/>
        <w:ind w:firstLine="480" w:firstLineChars="200"/>
        <w:rPr>
          <w:rFonts w:ascii="宋体" w:hAnsi="宋体"/>
          <w:sz w:val="24"/>
          <w:szCs w:val="24"/>
        </w:rPr>
      </w:pPr>
      <w:r>
        <w:rPr>
          <w:rFonts w:hint="eastAsia" w:ascii="宋体" w:hAnsi="宋体"/>
          <w:sz w:val="24"/>
          <w:szCs w:val="24"/>
        </w:rPr>
        <w:t>2、标段一的中标人，在后续开标的其他投标标段同样参与评标，但不得在其他投标标段再次中标。以此类推。</w:t>
      </w:r>
    </w:p>
    <w:p>
      <w:pPr>
        <w:spacing w:line="400" w:lineRule="exact"/>
        <w:ind w:firstLine="480" w:firstLineChars="200"/>
        <w:rPr>
          <w:rFonts w:cs="宋体"/>
          <w:kern w:val="0"/>
          <w:sz w:val="24"/>
          <w:szCs w:val="24"/>
        </w:rPr>
      </w:pPr>
      <w:r>
        <w:rPr>
          <w:rFonts w:hint="eastAsia" w:ascii="宋体" w:hAnsi="宋体"/>
          <w:sz w:val="24"/>
          <w:szCs w:val="24"/>
        </w:rPr>
        <w:t>3、</w:t>
      </w:r>
      <w:r>
        <w:rPr>
          <w:rFonts w:hint="eastAsia" w:cs="宋体"/>
          <w:kern w:val="0"/>
          <w:sz w:val="24"/>
          <w:szCs w:val="24"/>
        </w:rPr>
        <w:t>评委会将对确定为实质性响应招标文件要求的投标文件进行评价和比较，评标采用综合评分法确定中标候选人。按得分由高到低顺序排列。得分相同的，按投入报价由高到低顺序排列；如投入报价得分也相同，则按照经营业绩得分由高到低顺序排列。</w:t>
      </w:r>
    </w:p>
    <w:p>
      <w:pPr>
        <w:spacing w:line="400" w:lineRule="exact"/>
        <w:ind w:firstLine="480" w:firstLineChars="200"/>
        <w:rPr>
          <w:rFonts w:ascii="宋体" w:cs="宋体"/>
          <w:sz w:val="24"/>
          <w:szCs w:val="24"/>
        </w:rPr>
      </w:pPr>
      <w:r>
        <w:rPr>
          <w:rFonts w:hint="eastAsia" w:ascii="宋体" w:hAnsi="宋体" w:cs="宋体"/>
          <w:sz w:val="24"/>
          <w:szCs w:val="24"/>
        </w:rPr>
        <w:t>4、本项目评分总分值为</w:t>
      </w:r>
      <w:r>
        <w:rPr>
          <w:rFonts w:ascii="宋体" w:hAnsi="宋体" w:cs="宋体"/>
          <w:sz w:val="24"/>
          <w:szCs w:val="24"/>
        </w:rPr>
        <w:t>100</w:t>
      </w:r>
      <w:r>
        <w:rPr>
          <w:rFonts w:hint="eastAsia" w:ascii="宋体" w:hAnsi="宋体" w:cs="宋体"/>
          <w:sz w:val="24"/>
          <w:szCs w:val="24"/>
        </w:rPr>
        <w:t>分。</w:t>
      </w:r>
    </w:p>
    <w:tbl>
      <w:tblPr>
        <w:tblStyle w:val="54"/>
        <w:tblW w:w="96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6450"/>
        <w:gridCol w:w="2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jc w:val="center"/>
        </w:trPr>
        <w:tc>
          <w:tcPr>
            <w:tcW w:w="1119" w:type="dxa"/>
            <w:vAlign w:val="center"/>
          </w:tcPr>
          <w:p>
            <w:pPr>
              <w:spacing w:line="400" w:lineRule="exact"/>
              <w:rPr>
                <w:rFonts w:asciiTheme="minorEastAsia" w:hAnsiTheme="minorEastAsia"/>
              </w:rPr>
            </w:pPr>
            <w:r>
              <w:rPr>
                <w:rFonts w:hint="eastAsia" w:asciiTheme="minorEastAsia" w:hAnsiTheme="minorEastAsia"/>
              </w:rPr>
              <w:t>评审项目</w:t>
            </w:r>
          </w:p>
          <w:p>
            <w:pPr>
              <w:spacing w:line="400" w:lineRule="exact"/>
              <w:rPr>
                <w:rFonts w:asciiTheme="minorEastAsia" w:hAnsiTheme="minorEastAsia"/>
              </w:rPr>
            </w:pPr>
            <w:r>
              <w:rPr>
                <w:rFonts w:hint="eastAsia" w:asciiTheme="minorEastAsia" w:hAnsiTheme="minorEastAsia"/>
              </w:rPr>
              <w:t>分值</w:t>
            </w:r>
          </w:p>
        </w:tc>
        <w:tc>
          <w:tcPr>
            <w:tcW w:w="6450" w:type="dxa"/>
            <w:vAlign w:val="center"/>
          </w:tcPr>
          <w:p>
            <w:pPr>
              <w:spacing w:line="400" w:lineRule="exact"/>
              <w:jc w:val="center"/>
              <w:rPr>
                <w:rFonts w:asciiTheme="minorEastAsia" w:hAnsiTheme="minorEastAsia"/>
              </w:rPr>
            </w:pPr>
            <w:r>
              <w:rPr>
                <w:rFonts w:hint="eastAsia" w:asciiTheme="minorEastAsia" w:hAnsiTheme="minorEastAsia"/>
              </w:rPr>
              <w:t>评审标准</w:t>
            </w:r>
          </w:p>
        </w:tc>
        <w:tc>
          <w:tcPr>
            <w:tcW w:w="2122" w:type="dxa"/>
            <w:vAlign w:val="center"/>
          </w:tcPr>
          <w:p>
            <w:pPr>
              <w:spacing w:line="400" w:lineRule="exact"/>
              <w:jc w:val="center"/>
              <w:rPr>
                <w:rFonts w:asciiTheme="minorEastAsia" w:hAnsiTheme="minorEastAsia"/>
              </w:rPr>
            </w:pPr>
            <w:r>
              <w:rPr>
                <w:rFonts w:hint="eastAsia" w:asciiTheme="minorEastAsia" w:hAnsiTheme="minor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119" w:type="dxa"/>
            <w:vAlign w:val="center"/>
          </w:tcPr>
          <w:p>
            <w:pPr>
              <w:spacing w:line="400" w:lineRule="exact"/>
              <w:rPr>
                <w:rFonts w:asciiTheme="minorEastAsia" w:hAnsiTheme="minorEastAsia"/>
              </w:rPr>
            </w:pPr>
            <w:r>
              <w:rPr>
                <w:rFonts w:hint="eastAsia" w:asciiTheme="minorEastAsia" w:hAnsiTheme="minorEastAsia"/>
              </w:rPr>
              <w:t>投入</w:t>
            </w:r>
          </w:p>
          <w:p>
            <w:pPr>
              <w:spacing w:line="400" w:lineRule="exact"/>
              <w:rPr>
                <w:rFonts w:asciiTheme="minorEastAsia" w:hAnsiTheme="minorEastAsia"/>
              </w:rPr>
            </w:pPr>
            <w:r>
              <w:rPr>
                <w:rFonts w:hint="eastAsia" w:asciiTheme="minorEastAsia" w:hAnsiTheme="minorEastAsia"/>
              </w:rPr>
              <w:t>报价</w:t>
            </w:r>
          </w:p>
          <w:p>
            <w:pPr>
              <w:spacing w:line="400" w:lineRule="exact"/>
              <w:rPr>
                <w:rFonts w:asciiTheme="minorEastAsia" w:hAnsiTheme="minorEastAsia"/>
              </w:rPr>
            </w:pPr>
            <w:r>
              <w:rPr>
                <w:rFonts w:hint="eastAsia" w:asciiTheme="minorEastAsia" w:hAnsiTheme="minorEastAsia"/>
              </w:rPr>
              <w:t>30分</w:t>
            </w:r>
          </w:p>
        </w:tc>
        <w:tc>
          <w:tcPr>
            <w:tcW w:w="6450" w:type="dxa"/>
            <w:vAlign w:val="center"/>
          </w:tcPr>
          <w:p>
            <w:pPr>
              <w:spacing w:line="400" w:lineRule="exact"/>
              <w:rPr>
                <w:rFonts w:asciiTheme="minorEastAsia" w:hAnsiTheme="minorEastAsia"/>
              </w:rPr>
            </w:pPr>
            <w:r>
              <w:rPr>
                <w:rFonts w:hint="eastAsia" w:asciiTheme="minorEastAsia" w:hAnsiTheme="minorEastAsia"/>
              </w:rPr>
              <w:t>投入报价不得少于投入最低限价，不得高于投入最高限价。以有效投标人的投标报价平均值作为基准价。每高于基准价一个百分点的加0.3分，每低于基准价一个百分点的扣0.2分，扣完为止（插入法计算）。以上计算保留两位小数。</w:t>
            </w:r>
          </w:p>
        </w:tc>
        <w:tc>
          <w:tcPr>
            <w:tcW w:w="2122" w:type="dxa"/>
            <w:vAlign w:val="center"/>
          </w:tcPr>
          <w:p>
            <w:pPr>
              <w:spacing w:line="400" w:lineRule="exact"/>
              <w:rPr>
                <w:rFonts w:asciiTheme="minorEastAsia" w:hAnsiTheme="minorEastAsia"/>
              </w:rPr>
            </w:pPr>
            <w:r>
              <w:rPr>
                <w:rFonts w:hint="eastAsia" w:asciiTheme="minorEastAsia" w:hAnsiTheme="minorEastAsia"/>
                <w:lang w:val="en-US" w:eastAsia="zh-CN"/>
              </w:rPr>
              <w:t>等于基</w:t>
            </w:r>
            <w:r>
              <w:rPr>
                <w:rFonts w:hint="eastAsia" w:asciiTheme="minorEastAsia" w:hAnsiTheme="minorEastAsia"/>
              </w:rPr>
              <w:t>准价得</w:t>
            </w:r>
            <w:r>
              <w:rPr>
                <w:rFonts w:hint="eastAsia" w:asciiTheme="minorEastAsia" w:hAnsiTheme="minorEastAsia"/>
                <w:lang w:val="en-US" w:eastAsia="zh-CN"/>
              </w:rPr>
              <w:t>满分30</w:t>
            </w:r>
            <w:r>
              <w:rPr>
                <w:rFonts w:hint="eastAsia" w:asciiTheme="minorEastAsia" w:hAnsiTheme="minor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1119" w:type="dxa"/>
            <w:vAlign w:val="center"/>
          </w:tcPr>
          <w:p>
            <w:pPr>
              <w:spacing w:line="400" w:lineRule="exact"/>
              <w:rPr>
                <w:rFonts w:asciiTheme="minorEastAsia" w:hAnsiTheme="minorEastAsia"/>
              </w:rPr>
            </w:pPr>
            <w:r>
              <w:rPr>
                <w:rFonts w:hint="eastAsia" w:asciiTheme="minorEastAsia" w:hAnsiTheme="minorEastAsia"/>
              </w:rPr>
              <w:t>体系认证保险保 障20分</w:t>
            </w:r>
          </w:p>
        </w:tc>
        <w:tc>
          <w:tcPr>
            <w:tcW w:w="6450" w:type="dxa"/>
            <w:vAlign w:val="center"/>
          </w:tcPr>
          <w:p>
            <w:pPr>
              <w:spacing w:line="400" w:lineRule="exact"/>
              <w:rPr>
                <w:rFonts w:asciiTheme="minorEastAsia" w:hAnsiTheme="minorEastAsia"/>
              </w:rPr>
            </w:pPr>
            <w:r>
              <w:rPr>
                <w:rFonts w:hint="eastAsia" w:asciiTheme="minorEastAsia" w:hAnsiTheme="minorEastAsia"/>
              </w:rPr>
              <w:t>1、投标人具有</w:t>
            </w:r>
            <w:r>
              <w:rPr>
                <w:rFonts w:asciiTheme="minorEastAsia" w:hAnsiTheme="minorEastAsia"/>
              </w:rPr>
              <w:t xml:space="preserve">ISO9001 </w:t>
            </w:r>
            <w:r>
              <w:rPr>
                <w:rFonts w:hint="eastAsia" w:asciiTheme="minorEastAsia" w:hAnsiTheme="minorEastAsia"/>
              </w:rPr>
              <w:t>质量管理体系认证、</w:t>
            </w:r>
            <w:r>
              <w:rPr>
                <w:rFonts w:asciiTheme="minorEastAsia" w:hAnsiTheme="minorEastAsia"/>
              </w:rPr>
              <w:t xml:space="preserve">HACCP </w:t>
            </w:r>
            <w:r>
              <w:rPr>
                <w:rFonts w:hint="eastAsia" w:asciiTheme="minorEastAsia" w:hAnsiTheme="minorEastAsia"/>
              </w:rPr>
              <w:t>体系认证、</w:t>
            </w:r>
            <w:r>
              <w:rPr>
                <w:rFonts w:asciiTheme="minorEastAsia" w:hAnsiTheme="minorEastAsia"/>
              </w:rPr>
              <w:t xml:space="preserve">ISO22000 </w:t>
            </w:r>
            <w:r>
              <w:rPr>
                <w:rFonts w:hint="eastAsia" w:asciiTheme="minorEastAsia" w:hAnsiTheme="minorEastAsia"/>
              </w:rPr>
              <w:t>食品安全管理体系认证、</w:t>
            </w:r>
            <w:r>
              <w:rPr>
                <w:rFonts w:asciiTheme="minorEastAsia" w:hAnsiTheme="minorEastAsia"/>
              </w:rPr>
              <w:t>ISO45001</w:t>
            </w:r>
            <w:r>
              <w:rPr>
                <w:rFonts w:hint="eastAsia" w:asciiTheme="minorEastAsia" w:hAnsiTheme="minorEastAsia"/>
              </w:rPr>
              <w:t>职业健康安全管理体系认证、</w:t>
            </w:r>
            <w:r>
              <w:rPr>
                <w:rFonts w:asciiTheme="minorEastAsia" w:hAnsiTheme="minorEastAsia"/>
              </w:rPr>
              <w:t xml:space="preserve">ISO14001 </w:t>
            </w:r>
            <w:r>
              <w:rPr>
                <w:rFonts w:hint="eastAsia" w:asciiTheme="minorEastAsia" w:hAnsiTheme="minorEastAsia"/>
              </w:rPr>
              <w:t>环境管理体系认证每项得</w:t>
            </w:r>
            <w:r>
              <w:rPr>
                <w:rFonts w:asciiTheme="minorEastAsia" w:hAnsiTheme="minorEastAsia"/>
              </w:rPr>
              <w:t xml:space="preserve">2 </w:t>
            </w:r>
            <w:r>
              <w:rPr>
                <w:rFonts w:hint="eastAsia" w:asciiTheme="minorEastAsia" w:hAnsiTheme="minorEastAsia"/>
              </w:rPr>
              <w:t>分。最高得</w:t>
            </w:r>
            <w:r>
              <w:rPr>
                <w:rFonts w:asciiTheme="minorEastAsia" w:hAnsiTheme="minorEastAsia"/>
              </w:rPr>
              <w:t>1</w:t>
            </w:r>
            <w:r>
              <w:rPr>
                <w:rFonts w:hint="eastAsia" w:asciiTheme="minorEastAsia" w:hAnsiTheme="minorEastAsia"/>
              </w:rPr>
              <w:t>0分。</w:t>
            </w:r>
          </w:p>
          <w:p>
            <w:pPr>
              <w:spacing w:line="400" w:lineRule="exact"/>
              <w:rPr>
                <w:rFonts w:asciiTheme="minorEastAsia" w:hAnsiTheme="minorEastAsia"/>
              </w:rPr>
            </w:pPr>
            <w:r>
              <w:rPr>
                <w:rFonts w:hint="eastAsia" w:asciiTheme="minorEastAsia" w:hAnsiTheme="minorEastAsia"/>
              </w:rPr>
              <w:t>2、投标人承诺为本项目购买不低于400万元食品安全险得10分，中标后签订合同时需出具保单，如未能提供，招标方有权单方面终止其中标资格。</w:t>
            </w:r>
          </w:p>
        </w:tc>
        <w:tc>
          <w:tcPr>
            <w:tcW w:w="2122" w:type="dxa"/>
            <w:vAlign w:val="center"/>
          </w:tcPr>
          <w:p>
            <w:pPr>
              <w:spacing w:line="400" w:lineRule="exact"/>
              <w:rPr>
                <w:rFonts w:asciiTheme="minorEastAsia" w:hAnsiTheme="minorEastAsia"/>
              </w:rPr>
            </w:pPr>
            <w:r>
              <w:rPr>
                <w:rFonts w:hint="eastAsia" w:asciiTheme="minorEastAsia" w:hAnsiTheme="minorEastAsia"/>
              </w:rPr>
              <w:t>提供认证证书及国家认证委官网的认证截图（原件备查）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119" w:type="dxa"/>
            <w:vAlign w:val="center"/>
          </w:tcPr>
          <w:p>
            <w:pPr>
              <w:spacing w:line="400" w:lineRule="exact"/>
              <w:rPr>
                <w:rFonts w:asciiTheme="minorEastAsia" w:hAnsiTheme="minorEastAsia"/>
              </w:rPr>
            </w:pPr>
            <w:r>
              <w:rPr>
                <w:rFonts w:hint="eastAsia" w:asciiTheme="minorEastAsia" w:hAnsiTheme="minorEastAsia"/>
              </w:rPr>
              <w:t>经营</w:t>
            </w:r>
          </w:p>
          <w:p>
            <w:pPr>
              <w:spacing w:line="400" w:lineRule="exact"/>
              <w:rPr>
                <w:rFonts w:asciiTheme="minorEastAsia" w:hAnsiTheme="minorEastAsia"/>
              </w:rPr>
            </w:pPr>
            <w:r>
              <w:rPr>
                <w:rFonts w:hint="eastAsia" w:asciiTheme="minorEastAsia" w:hAnsiTheme="minorEastAsia"/>
              </w:rPr>
              <w:t>业绩</w:t>
            </w:r>
          </w:p>
          <w:p>
            <w:pPr>
              <w:spacing w:line="400" w:lineRule="exact"/>
              <w:rPr>
                <w:rFonts w:asciiTheme="minorEastAsia" w:hAnsiTheme="minorEastAsia"/>
              </w:rPr>
            </w:pPr>
            <w:r>
              <w:rPr>
                <w:rFonts w:hint="eastAsia" w:asciiTheme="minorEastAsia" w:hAnsiTheme="minorEastAsia"/>
              </w:rPr>
              <w:t>30分</w:t>
            </w:r>
          </w:p>
        </w:tc>
        <w:tc>
          <w:tcPr>
            <w:tcW w:w="6450" w:type="dxa"/>
            <w:vAlign w:val="center"/>
          </w:tcPr>
          <w:p>
            <w:pPr>
              <w:pStyle w:val="130"/>
              <w:spacing w:line="400" w:lineRule="exact"/>
              <w:rPr>
                <w:rFonts w:asciiTheme="minorHAnsi" w:hAnsiTheme="minorHAnsi" w:eastAsiaTheme="minorEastAsia" w:cstheme="minorBidi"/>
                <w:szCs w:val="22"/>
              </w:rPr>
            </w:pPr>
            <w:r>
              <w:rPr>
                <w:rFonts w:hint="eastAsia" w:asciiTheme="minorHAnsi" w:hAnsiTheme="minorHAnsi" w:eastAsiaTheme="minorEastAsia" w:cstheme="minorBidi"/>
                <w:szCs w:val="22"/>
              </w:rPr>
              <w:t>1、</w:t>
            </w:r>
            <w:r>
              <w:rPr>
                <w:rFonts w:asciiTheme="minorHAnsi" w:hAnsiTheme="minorHAnsi" w:eastAsiaTheme="minorEastAsia" w:cstheme="minorBidi"/>
                <w:szCs w:val="22"/>
              </w:rPr>
              <w:t>201</w:t>
            </w:r>
            <w:r>
              <w:rPr>
                <w:rFonts w:hint="eastAsia" w:asciiTheme="minorHAnsi" w:hAnsiTheme="minorHAnsi" w:eastAsiaTheme="minorEastAsia" w:cstheme="minorBidi"/>
                <w:szCs w:val="22"/>
              </w:rPr>
              <w:t>7年</w:t>
            </w:r>
            <w:r>
              <w:t>(</w:t>
            </w:r>
            <w:r>
              <w:rPr>
                <w:rFonts w:hint="eastAsia"/>
              </w:rPr>
              <w:t>含</w:t>
            </w:r>
            <w:r>
              <w:t>)</w:t>
            </w:r>
            <w:r>
              <w:rPr>
                <w:rFonts w:hint="eastAsia"/>
              </w:rPr>
              <w:t>以来</w:t>
            </w:r>
            <w:r>
              <w:rPr>
                <w:rFonts w:hint="eastAsia" w:asciiTheme="minorHAnsi" w:hAnsiTheme="minorHAnsi" w:eastAsiaTheme="minorEastAsia" w:cstheme="minorBidi"/>
                <w:szCs w:val="22"/>
              </w:rPr>
              <w:t>，</w:t>
            </w:r>
            <w:r>
              <w:rPr>
                <w:rFonts w:hint="eastAsia"/>
              </w:rPr>
              <w:t>投标人有一份连续经营三年及以上（以合同签订时间为准）且面积大于10</w:t>
            </w:r>
            <w:r>
              <w:rPr>
                <w:rFonts w:hint="eastAsia" w:asciiTheme="minorHAnsi" w:hAnsiTheme="minorHAnsi" w:eastAsiaTheme="minorEastAsia" w:cstheme="minorBidi"/>
                <w:szCs w:val="22"/>
              </w:rPr>
              <w:t>00平方米的普通高等学校食堂业绩的，得15分/份，另外再有一份连续经营三年及以上</w:t>
            </w:r>
            <w:r>
              <w:rPr>
                <w:rFonts w:hint="eastAsia"/>
              </w:rPr>
              <w:t>（以合同签订时间为准）</w:t>
            </w:r>
            <w:r>
              <w:rPr>
                <w:rFonts w:hint="eastAsia" w:asciiTheme="minorHAnsi" w:hAnsiTheme="minorHAnsi" w:eastAsiaTheme="minorEastAsia" w:cstheme="minorBidi"/>
                <w:szCs w:val="22"/>
              </w:rPr>
              <w:t>且面积大于1000平方米的普通高等学校食堂业绩的，得1分/份，最高得18分；注：（1）需提供加盖投标人公章的合同复印件，签订承包人必须与投标时单位一致，若不一致按无效合同计算；（2）以高校招标一次作为一份合同计算得分；（3）非普通高校食堂业绩不得分。</w:t>
            </w:r>
          </w:p>
          <w:p>
            <w:pPr>
              <w:spacing w:line="400" w:lineRule="exact"/>
            </w:pPr>
            <w:r>
              <w:rPr>
                <w:rFonts w:hint="eastAsia"/>
              </w:rPr>
              <w:t>2、</w:t>
            </w:r>
            <w:r>
              <w:t>201</w:t>
            </w:r>
            <w:r>
              <w:rPr>
                <w:rFonts w:hint="eastAsia"/>
              </w:rPr>
              <w:t>7年</w:t>
            </w:r>
            <w:r>
              <w:t>(</w:t>
            </w:r>
            <w:r>
              <w:rPr>
                <w:rFonts w:hint="eastAsia"/>
              </w:rPr>
              <w:t>含</w:t>
            </w:r>
            <w:r>
              <w:t>)</w:t>
            </w:r>
            <w:r>
              <w:rPr>
                <w:rFonts w:hint="eastAsia"/>
              </w:rPr>
              <w:t>以来，投标人承担的食堂项目，由普通高等学校后勤部门盖章综合表现考核优秀的，每有一年加1分。最高得4分。</w:t>
            </w:r>
          </w:p>
          <w:p>
            <w:pPr>
              <w:spacing w:line="400" w:lineRule="exact"/>
              <w:rPr>
                <w:rFonts w:hint="eastAsia"/>
              </w:rPr>
            </w:pPr>
            <w:r>
              <w:rPr>
                <w:rFonts w:hint="eastAsia"/>
              </w:rPr>
              <w:t>3、</w:t>
            </w:r>
            <w:r>
              <w:t>201</w:t>
            </w:r>
            <w:r>
              <w:rPr>
                <w:rFonts w:hint="eastAsia"/>
              </w:rPr>
              <w:t>7年</w:t>
            </w:r>
            <w:r>
              <w:t>(</w:t>
            </w:r>
            <w:r>
              <w:rPr>
                <w:rFonts w:hint="eastAsia"/>
              </w:rPr>
              <w:t>含</w:t>
            </w:r>
            <w:r>
              <w:t>)</w:t>
            </w:r>
            <w:r>
              <w:rPr>
                <w:rFonts w:hint="eastAsia"/>
              </w:rPr>
              <w:t>以来，投标人承担的普通高等学校食堂项目获省级及以上行政主管部门组织评审的餐饮质量安全示范食堂等荣誉的（以文件颁布时间为准），</w:t>
            </w:r>
            <w:r>
              <w:rPr>
                <w:rFonts w:hint="eastAsia"/>
                <w:lang w:val="en-US" w:eastAsia="zh-CN"/>
              </w:rPr>
              <w:t>提供一个得2分，再提供一个得1分</w:t>
            </w:r>
            <w:r>
              <w:rPr>
                <w:rFonts w:hint="eastAsia"/>
              </w:rPr>
              <w:t>，</w:t>
            </w:r>
            <w:r>
              <w:rPr>
                <w:rFonts w:hint="eastAsia"/>
                <w:lang w:val="en-US" w:eastAsia="zh-CN"/>
              </w:rPr>
              <w:t>本项</w:t>
            </w:r>
            <w:r>
              <w:rPr>
                <w:rFonts w:hint="eastAsia"/>
              </w:rPr>
              <w:t>最高得3分。</w:t>
            </w:r>
          </w:p>
          <w:p>
            <w:pPr>
              <w:spacing w:line="400" w:lineRule="exact"/>
            </w:pPr>
            <w:r>
              <w:rPr>
                <w:rFonts w:hint="eastAsia"/>
              </w:rPr>
              <w:t>4、</w:t>
            </w:r>
            <w:r>
              <w:t>201</w:t>
            </w:r>
            <w:r>
              <w:rPr>
                <w:rFonts w:hint="eastAsia"/>
              </w:rPr>
              <w:t>7年</w:t>
            </w:r>
            <w:r>
              <w:t>(</w:t>
            </w:r>
            <w:r>
              <w:rPr>
                <w:rFonts w:hint="eastAsia"/>
              </w:rPr>
              <w:t>含</w:t>
            </w:r>
            <w:r>
              <w:t>)</w:t>
            </w:r>
            <w:r>
              <w:rPr>
                <w:rFonts w:hint="eastAsia"/>
              </w:rPr>
              <w:t>以来，投标人承担的普通高等学校食堂项目获省级及以上高校后勤协会组织评审的好食堂等荣誉的（以文件颁布时间为准），</w:t>
            </w:r>
            <w:r>
              <w:rPr>
                <w:rFonts w:hint="eastAsia"/>
                <w:lang w:val="en-US" w:eastAsia="zh-CN"/>
              </w:rPr>
              <w:t>提供一个得2分，再提供一个得1分</w:t>
            </w:r>
            <w:r>
              <w:rPr>
                <w:rFonts w:hint="eastAsia"/>
              </w:rPr>
              <w:t>，</w:t>
            </w:r>
            <w:r>
              <w:rPr>
                <w:rFonts w:hint="eastAsia"/>
                <w:lang w:val="en-US" w:eastAsia="zh-CN"/>
              </w:rPr>
              <w:t>本项</w:t>
            </w:r>
            <w:r>
              <w:rPr>
                <w:rFonts w:hint="eastAsia"/>
              </w:rPr>
              <w:t>最高得3分。</w:t>
            </w:r>
          </w:p>
          <w:p>
            <w:pPr>
              <w:spacing w:line="400" w:lineRule="exact"/>
            </w:pPr>
            <w:r>
              <w:rPr>
                <w:rFonts w:hint="eastAsia"/>
              </w:rPr>
              <w:t>5、</w:t>
            </w:r>
            <w:r>
              <w:t>201</w:t>
            </w:r>
            <w:r>
              <w:rPr>
                <w:rFonts w:hint="eastAsia"/>
              </w:rPr>
              <w:t>7年</w:t>
            </w:r>
            <w:r>
              <w:t>(</w:t>
            </w:r>
            <w:r>
              <w:rPr>
                <w:rFonts w:hint="eastAsia"/>
              </w:rPr>
              <w:t>含</w:t>
            </w:r>
            <w:r>
              <w:t>)</w:t>
            </w:r>
            <w:r>
              <w:rPr>
                <w:rFonts w:hint="eastAsia"/>
              </w:rPr>
              <w:t>以来，投标人承担的普通高等学校食堂项目获县市行政部门关于食堂的表彰或荣誉的（比如食品安全量化分级管理A级，以文件颁布时间为准），一项得1分，最高得2分。</w:t>
            </w:r>
          </w:p>
        </w:tc>
        <w:tc>
          <w:tcPr>
            <w:tcW w:w="2122" w:type="dxa"/>
            <w:vAlign w:val="center"/>
          </w:tcPr>
          <w:p>
            <w:pPr>
              <w:spacing w:line="400" w:lineRule="exact"/>
              <w:rPr>
                <w:rFonts w:asciiTheme="minorEastAsia" w:hAnsiTheme="minorEastAsia"/>
              </w:rPr>
            </w:pPr>
            <w:r>
              <w:rPr>
                <w:rFonts w:hint="eastAsia" w:asciiTheme="minorEastAsia" w:hAnsiTheme="minorEastAsia"/>
              </w:rPr>
              <w:t>提供合同或表彰材料或证明材料（原件备查）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1119" w:type="dxa"/>
            <w:vAlign w:val="center"/>
          </w:tcPr>
          <w:p>
            <w:pPr>
              <w:spacing w:line="400" w:lineRule="exact"/>
              <w:rPr>
                <w:rFonts w:asciiTheme="minorEastAsia" w:hAnsiTheme="minorEastAsia"/>
              </w:rPr>
            </w:pPr>
            <w:r>
              <w:rPr>
                <w:rFonts w:hint="eastAsia" w:asciiTheme="minorEastAsia" w:hAnsiTheme="minorEastAsia"/>
              </w:rPr>
              <w:t>人员</w:t>
            </w:r>
          </w:p>
          <w:p>
            <w:pPr>
              <w:spacing w:line="400" w:lineRule="exact"/>
              <w:rPr>
                <w:rFonts w:asciiTheme="minorEastAsia" w:hAnsiTheme="minorEastAsia"/>
              </w:rPr>
            </w:pPr>
            <w:r>
              <w:rPr>
                <w:rFonts w:hint="eastAsia" w:asciiTheme="minorEastAsia" w:hAnsiTheme="minorEastAsia"/>
              </w:rPr>
              <w:t>配备</w:t>
            </w:r>
          </w:p>
          <w:p>
            <w:pPr>
              <w:spacing w:line="400" w:lineRule="exact"/>
              <w:rPr>
                <w:rFonts w:asciiTheme="minorEastAsia" w:hAnsiTheme="minorEastAsia"/>
              </w:rPr>
            </w:pPr>
            <w:r>
              <w:rPr>
                <w:rFonts w:hint="eastAsia" w:asciiTheme="minorEastAsia" w:hAnsiTheme="minorEastAsia"/>
              </w:rPr>
              <w:t>10分</w:t>
            </w:r>
          </w:p>
        </w:tc>
        <w:tc>
          <w:tcPr>
            <w:tcW w:w="6450" w:type="dxa"/>
            <w:vAlign w:val="center"/>
          </w:tcPr>
          <w:p>
            <w:pPr>
              <w:spacing w:line="400" w:lineRule="exact"/>
              <w:rPr>
                <w:rFonts w:asciiTheme="minorEastAsia" w:hAnsiTheme="minorEastAsia"/>
                <w:color w:val="auto"/>
              </w:rPr>
            </w:pPr>
            <w:r>
              <w:rPr>
                <w:rFonts w:hint="eastAsia"/>
              </w:rPr>
              <w:t>1</w:t>
            </w:r>
            <w:r>
              <w:rPr>
                <w:rFonts w:hint="eastAsia"/>
                <w:color w:val="auto"/>
              </w:rPr>
              <w:t>、拟派的项目负责人1名</w:t>
            </w:r>
            <w:r>
              <w:rPr>
                <w:rFonts w:hint="eastAsia"/>
                <w:color w:val="auto"/>
                <w:lang w:eastAsia="zh-CN"/>
              </w:rPr>
              <w:t>，</w:t>
            </w:r>
            <w:r>
              <w:rPr>
                <w:rFonts w:hint="eastAsia"/>
                <w:color w:val="auto"/>
              </w:rPr>
              <w:t>需专职在食堂工作。具有从事普通高等</w:t>
            </w:r>
            <w:r>
              <w:rPr>
                <w:rFonts w:hint="eastAsia"/>
              </w:rPr>
              <w:t>学校餐饮管理工作满3年的得5分（从事普通高等学校餐饮管理工作满3年的</w:t>
            </w:r>
            <w:r>
              <w:rPr>
                <w:rFonts w:hint="eastAsia"/>
                <w:lang w:val="en-US" w:eastAsia="zh-CN"/>
              </w:rPr>
              <w:t>以签订合同项目负责人或项目经理为准，如合同中未显示项目负责人或项目经理姓名的，则须同时提供加盖被服务单位公章的书面原件证明材料）</w:t>
            </w:r>
            <w:r>
              <w:rPr>
                <w:rFonts w:hint="eastAsia"/>
              </w:rPr>
              <w:t>同时附社保部门出具的投标人为其办理不少于3年的养老保险证明</w:t>
            </w:r>
            <w:r>
              <w:rPr>
                <w:rFonts w:hint="eastAsia"/>
                <w:lang w:val="en-US" w:eastAsia="zh-CN"/>
              </w:rPr>
              <w:t>及身份证复印件</w:t>
            </w:r>
            <w:r>
              <w:rPr>
                <w:rFonts w:hint="eastAsia"/>
              </w:rPr>
              <w:t>，法人代表不需要提供养老保险证明）；</w:t>
            </w:r>
            <w:r>
              <w:rPr>
                <w:rFonts w:hint="eastAsia"/>
                <w:color w:val="auto"/>
              </w:rPr>
              <w:t>有餐饮经理人证书得2分；</w:t>
            </w:r>
            <w:r>
              <w:rPr>
                <w:rFonts w:hint="eastAsia" w:asciiTheme="minorEastAsia" w:hAnsiTheme="minorEastAsia"/>
                <w:color w:val="auto"/>
              </w:rPr>
              <w:t>具有食品安全管理员培训证书得2分。</w:t>
            </w:r>
          </w:p>
          <w:p>
            <w:pPr>
              <w:spacing w:line="400" w:lineRule="exact"/>
              <w:rPr>
                <w:rFonts w:hint="eastAsia" w:eastAsia="宋体" w:asciiTheme="minorEastAsia" w:hAnsiTheme="minorEastAsia"/>
                <w:lang w:eastAsia="zh-CN"/>
              </w:rPr>
            </w:pPr>
            <w:r>
              <w:rPr>
                <w:rFonts w:hint="eastAsia" w:asciiTheme="minorEastAsia" w:hAnsiTheme="minorEastAsia"/>
                <w:color w:val="auto"/>
              </w:rPr>
              <w:t>2、配备具有中式烹调技师红白案各一名的厨师（须有证书）得1分</w:t>
            </w:r>
            <w:r>
              <w:rPr>
                <w:rFonts w:hint="eastAsia" w:asciiTheme="minorEastAsia" w:hAnsiTheme="minorEastAsia"/>
                <w:color w:val="auto"/>
                <w:lang w:eastAsia="zh-CN"/>
              </w:rPr>
              <w:t>。</w:t>
            </w:r>
          </w:p>
        </w:tc>
        <w:tc>
          <w:tcPr>
            <w:tcW w:w="2122" w:type="dxa"/>
            <w:vAlign w:val="center"/>
          </w:tcPr>
          <w:p>
            <w:pPr>
              <w:spacing w:line="400" w:lineRule="exact"/>
              <w:rPr>
                <w:rFonts w:asciiTheme="minorEastAsia" w:hAnsiTheme="minorEastAsia"/>
              </w:rPr>
            </w:pPr>
            <w:r>
              <w:rPr>
                <w:rFonts w:hint="eastAsia" w:asciiTheme="minorEastAsia" w:hAnsiTheme="minorEastAsia"/>
              </w:rPr>
              <w:t>提供证书及投标人</w:t>
            </w:r>
          </w:p>
          <w:p>
            <w:pPr>
              <w:spacing w:line="400" w:lineRule="exact"/>
              <w:rPr>
                <w:rFonts w:asciiTheme="minorEastAsia" w:hAnsiTheme="minorEastAsia"/>
              </w:rPr>
            </w:pPr>
            <w:r>
              <w:rPr>
                <w:rFonts w:hint="eastAsia" w:asciiTheme="minorEastAsia" w:hAnsiTheme="minorEastAsia"/>
              </w:rPr>
              <w:t>为其缴纳的社保证明材料（原件备查），提供证书国家证书官网查询截图及投标人为其缴纳的社保证明材（原件备查）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119" w:type="dxa"/>
            <w:vAlign w:val="center"/>
          </w:tcPr>
          <w:p>
            <w:pPr>
              <w:spacing w:line="400" w:lineRule="exact"/>
              <w:rPr>
                <w:rFonts w:asciiTheme="minorEastAsia" w:hAnsiTheme="minorEastAsia"/>
              </w:rPr>
            </w:pPr>
            <w:r>
              <w:rPr>
                <w:rFonts w:hint="eastAsia" w:asciiTheme="minorEastAsia" w:hAnsiTheme="minorEastAsia"/>
              </w:rPr>
              <w:t>环境调整提升方案</w:t>
            </w:r>
          </w:p>
          <w:p>
            <w:pPr>
              <w:spacing w:line="400" w:lineRule="exact"/>
              <w:rPr>
                <w:rFonts w:asciiTheme="minorEastAsia" w:hAnsiTheme="minorEastAsia"/>
              </w:rPr>
            </w:pPr>
            <w:r>
              <w:rPr>
                <w:rFonts w:hint="eastAsia" w:asciiTheme="minorEastAsia" w:hAnsiTheme="minorEastAsia"/>
              </w:rPr>
              <w:t>10分</w:t>
            </w:r>
          </w:p>
        </w:tc>
        <w:tc>
          <w:tcPr>
            <w:tcW w:w="6450" w:type="dxa"/>
            <w:vAlign w:val="center"/>
          </w:tcPr>
          <w:p>
            <w:pPr>
              <w:spacing w:line="400" w:lineRule="exact"/>
              <w:rPr>
                <w:rFonts w:asciiTheme="minorEastAsia" w:hAnsiTheme="minorEastAsia"/>
              </w:rPr>
            </w:pPr>
            <w:r>
              <w:rPr>
                <w:rFonts w:hint="eastAsia" w:asciiTheme="minorEastAsia" w:hAnsiTheme="minorEastAsia"/>
              </w:rPr>
              <w:t xml:space="preserve">  投标人须根据所投标段实际经营需要和招标人的要求，提供提升方案</w:t>
            </w:r>
            <w:r>
              <w:rPr>
                <w:rFonts w:hint="eastAsia" w:asciiTheme="minorEastAsia" w:hAnsiTheme="minorEastAsia"/>
                <w:color w:val="auto"/>
                <w:lang w:eastAsia="zh-CN"/>
              </w:rPr>
              <w:t>包含但不限于</w:t>
            </w:r>
            <w:r>
              <w:rPr>
                <w:rFonts w:hint="eastAsia" w:asciiTheme="minorEastAsia" w:hAnsiTheme="minorEastAsia"/>
                <w:color w:val="auto"/>
              </w:rPr>
              <w:t>平面</w:t>
            </w:r>
            <w:r>
              <w:rPr>
                <w:rFonts w:hint="eastAsia" w:asciiTheme="minorEastAsia" w:hAnsiTheme="minorEastAsia"/>
              </w:rPr>
              <w:t>布置图、投入预算清单（包括但不限于空调、厨具、水电改造、桌椅、监控、保温等）、后期施工方案等。将根据提供平面布置图、预算清单、后期施工等的准确性、与招标人的切合度等进行评定。好的得8-10分，较好的得6-7分，一般的得3-5分，没有提供的不得分。</w:t>
            </w:r>
          </w:p>
        </w:tc>
        <w:tc>
          <w:tcPr>
            <w:tcW w:w="2122" w:type="dxa"/>
            <w:vAlign w:val="center"/>
          </w:tcPr>
          <w:p>
            <w:pPr>
              <w:autoSpaceDE w:val="0"/>
              <w:autoSpaceDN w:val="0"/>
              <w:adjustRightInd w:val="0"/>
              <w:spacing w:line="400" w:lineRule="exact"/>
              <w:jc w:val="left"/>
              <w:rPr>
                <w:rFonts w:asciiTheme="minorEastAsia" w:hAnsiTheme="minorEastAsia"/>
              </w:rPr>
            </w:pPr>
            <w:r>
              <w:rPr>
                <w:rFonts w:hint="eastAsia" w:asciiTheme="minorEastAsia" w:hAnsiTheme="minorEastAsia"/>
              </w:rPr>
              <w:t>提供提升方案、平面布置图、投入预算清单、后期施工方案等材料（含电子版）</w:t>
            </w:r>
          </w:p>
        </w:tc>
      </w:tr>
    </w:tbl>
    <w:p>
      <w:pPr>
        <w:rPr>
          <w:rFonts w:asciiTheme="minorEastAsia" w:hAnsiTheme="minorEastAsia"/>
          <w:sz w:val="24"/>
          <w:szCs w:val="24"/>
        </w:rPr>
      </w:pPr>
    </w:p>
    <w:p>
      <w:pPr>
        <w:pStyle w:val="17"/>
        <w:ind w:firstLine="600"/>
      </w:pPr>
    </w:p>
    <w:p>
      <w:pPr>
        <w:pStyle w:val="17"/>
        <w:ind w:firstLine="600"/>
      </w:pPr>
    </w:p>
    <w:p>
      <w:pPr>
        <w:pStyle w:val="17"/>
        <w:ind w:firstLine="600"/>
      </w:pPr>
    </w:p>
    <w:p>
      <w:pPr>
        <w:pStyle w:val="17"/>
        <w:ind w:firstLine="600"/>
      </w:pPr>
    </w:p>
    <w:p>
      <w:pPr>
        <w:pStyle w:val="17"/>
        <w:ind w:left="0" w:leftChars="0" w:firstLine="0" w:firstLineChars="0"/>
      </w:pPr>
    </w:p>
    <w:p>
      <w:pPr>
        <w:snapToGrid w:val="0"/>
        <w:spacing w:before="50" w:line="360" w:lineRule="auto"/>
        <w:ind w:firstLine="601"/>
        <w:jc w:val="center"/>
        <w:rPr>
          <w:rFonts w:hint="eastAsia" w:eastAsia="黑体"/>
          <w:sz w:val="32"/>
          <w:szCs w:val="32"/>
        </w:rPr>
      </w:pPr>
    </w:p>
    <w:p>
      <w:pPr>
        <w:snapToGrid w:val="0"/>
        <w:spacing w:before="50" w:line="360" w:lineRule="auto"/>
        <w:ind w:firstLine="601"/>
        <w:jc w:val="center"/>
        <w:rPr>
          <w:rFonts w:hint="eastAsia" w:eastAsia="黑体"/>
          <w:sz w:val="32"/>
          <w:szCs w:val="32"/>
        </w:rPr>
      </w:pPr>
    </w:p>
    <w:p>
      <w:pPr>
        <w:snapToGrid w:val="0"/>
        <w:spacing w:before="50" w:line="360" w:lineRule="auto"/>
        <w:ind w:firstLine="601"/>
        <w:jc w:val="center"/>
        <w:rPr>
          <w:rFonts w:hint="eastAsia" w:eastAsia="黑体"/>
          <w:sz w:val="32"/>
          <w:szCs w:val="32"/>
        </w:rPr>
      </w:pPr>
    </w:p>
    <w:p>
      <w:pPr>
        <w:snapToGrid w:val="0"/>
        <w:spacing w:before="50" w:line="360" w:lineRule="auto"/>
        <w:jc w:val="center"/>
        <w:rPr>
          <w:rFonts w:eastAsia="黑体"/>
          <w:sz w:val="32"/>
          <w:szCs w:val="32"/>
        </w:rPr>
      </w:pPr>
      <w:r>
        <w:rPr>
          <w:rFonts w:hint="eastAsia" w:eastAsia="黑体"/>
          <w:sz w:val="32"/>
          <w:szCs w:val="32"/>
        </w:rPr>
        <w:t>第六章投标文件的组成及格式</w:t>
      </w:r>
    </w:p>
    <w:p>
      <w:pPr>
        <w:pStyle w:val="18"/>
      </w:pPr>
    </w:p>
    <w:p>
      <w:pPr>
        <w:jc w:val="center"/>
        <w:rPr>
          <w:rFonts w:ascii="仿宋_GB2312" w:hAnsi="Arial" w:eastAsia="仿宋_GB2312"/>
        </w:rPr>
      </w:pPr>
    </w:p>
    <w:p>
      <w:pPr>
        <w:jc w:val="center"/>
        <w:rPr>
          <w:rFonts w:hint="eastAsia" w:ascii="黑体" w:hAnsi="Arial" w:eastAsia="黑体"/>
          <w:b/>
          <w:sz w:val="84"/>
          <w:szCs w:val="84"/>
        </w:rPr>
      </w:pPr>
    </w:p>
    <w:p>
      <w:pPr>
        <w:jc w:val="center"/>
        <w:rPr>
          <w:rFonts w:ascii="黑体" w:hAnsi="Arial" w:eastAsia="黑体"/>
          <w:sz w:val="84"/>
          <w:szCs w:val="84"/>
        </w:rPr>
      </w:pPr>
      <w:r>
        <w:rPr>
          <w:rFonts w:hint="eastAsia" w:ascii="黑体" w:hAnsi="Arial" w:eastAsia="黑体"/>
          <w:b/>
          <w:sz w:val="84"/>
          <w:szCs w:val="84"/>
        </w:rPr>
        <w:t>投   标   文   件</w:t>
      </w:r>
    </w:p>
    <w:p>
      <w:pPr>
        <w:jc w:val="center"/>
        <w:rPr>
          <w:rStyle w:val="132"/>
          <w:rFonts w:ascii="宋体" w:hAnsi="宋体"/>
          <w:b/>
          <w:sz w:val="72"/>
        </w:rPr>
      </w:pPr>
      <w:r>
        <w:rPr>
          <w:rStyle w:val="132"/>
          <w:rFonts w:ascii="宋体" w:hAnsi="宋体"/>
          <w:b/>
          <w:sz w:val="36"/>
        </w:rPr>
        <w:t>（正或副本）</w:t>
      </w:r>
    </w:p>
    <w:p>
      <w:pPr>
        <w:rPr>
          <w:rFonts w:ascii="黑体" w:hAnsi="Arial" w:eastAsia="黑体"/>
          <w:sz w:val="32"/>
          <w:szCs w:val="32"/>
        </w:rPr>
      </w:pPr>
    </w:p>
    <w:p>
      <w:pPr>
        <w:spacing w:line="800" w:lineRule="exact"/>
        <w:ind w:firstLine="1784" w:firstLineChars="495"/>
        <w:rPr>
          <w:rFonts w:ascii="黑体" w:hAnsi="Arial" w:eastAsia="黑体"/>
          <w:b/>
          <w:sz w:val="36"/>
        </w:rPr>
      </w:pPr>
    </w:p>
    <w:p>
      <w:pPr>
        <w:spacing w:line="800" w:lineRule="exact"/>
        <w:ind w:firstLine="1784" w:firstLineChars="495"/>
        <w:rPr>
          <w:rFonts w:hint="eastAsia" w:ascii="黑体" w:hAnsi="Arial" w:eastAsia="黑体"/>
          <w:b/>
          <w:sz w:val="36"/>
          <w:lang w:val="en-US" w:eastAsia="zh-CN"/>
        </w:rPr>
      </w:pPr>
      <w:r>
        <w:rPr>
          <w:rFonts w:hint="eastAsia" w:ascii="黑体" w:hAnsi="Arial" w:eastAsia="黑体"/>
          <w:b/>
          <w:sz w:val="36"/>
        </w:rPr>
        <w:t>项目编号：</w:t>
      </w:r>
      <w:r>
        <w:rPr>
          <w:rFonts w:hint="eastAsia" w:ascii="黑体" w:hAnsi="Arial" w:eastAsia="黑体"/>
          <w:b/>
          <w:sz w:val="36"/>
          <w:lang w:val="en-US" w:eastAsia="zh-CN"/>
        </w:rPr>
        <w:t>YCYZ2021FW003</w:t>
      </w:r>
    </w:p>
    <w:p>
      <w:pPr>
        <w:spacing w:line="800" w:lineRule="exact"/>
        <w:ind w:left="1260" w:leftChars="600" w:firstLine="530" w:firstLineChars="147"/>
        <w:rPr>
          <w:rFonts w:hint="eastAsia" w:ascii="黑体" w:hAnsi="Arial" w:eastAsia="黑体"/>
          <w:b/>
          <w:sz w:val="36"/>
        </w:rPr>
      </w:pPr>
      <w:r>
        <w:rPr>
          <w:rFonts w:hint="eastAsia" w:ascii="黑体" w:hAnsi="Arial" w:eastAsia="黑体"/>
          <w:b/>
          <w:sz w:val="36"/>
        </w:rPr>
        <w:t>项目名称：盐城幼儿师范高等专科学校</w:t>
      </w:r>
    </w:p>
    <w:p>
      <w:pPr>
        <w:spacing w:line="800" w:lineRule="exact"/>
        <w:ind w:left="1260" w:leftChars="600" w:firstLine="1250" w:firstLineChars="347"/>
        <w:rPr>
          <w:rFonts w:hint="eastAsia" w:ascii="黑体" w:hAnsi="Arial" w:eastAsia="黑体"/>
          <w:b/>
          <w:sz w:val="36"/>
        </w:rPr>
      </w:pPr>
      <w:r>
        <w:rPr>
          <w:rFonts w:hint="eastAsia" w:ascii="黑体" w:hAnsi="Arial" w:eastAsia="黑体"/>
          <w:b/>
          <w:sz w:val="36"/>
        </w:rPr>
        <w:t>2021年餐饮合作经营服务项目</w:t>
      </w:r>
    </w:p>
    <w:p>
      <w:pPr>
        <w:spacing w:line="800" w:lineRule="exact"/>
        <w:ind w:firstLine="1802" w:firstLineChars="500"/>
        <w:jc w:val="left"/>
        <w:rPr>
          <w:rFonts w:ascii="黑体" w:hAnsi="Arial" w:eastAsia="黑体"/>
          <w:b/>
          <w:sz w:val="36"/>
        </w:rPr>
      </w:pPr>
      <w:r>
        <w:rPr>
          <w:rFonts w:hint="eastAsia" w:ascii="黑体" w:hAnsi="Arial" w:eastAsia="黑体"/>
          <w:b/>
          <w:sz w:val="36"/>
        </w:rPr>
        <w:t>投标人名称：</w:t>
      </w:r>
    </w:p>
    <w:p>
      <w:pPr>
        <w:spacing w:line="800" w:lineRule="exact"/>
        <w:ind w:firstLine="1802" w:firstLineChars="500"/>
        <w:jc w:val="left"/>
        <w:rPr>
          <w:rFonts w:hint="eastAsia" w:ascii="黑体" w:hAnsi="Arial" w:eastAsia="黑体"/>
          <w:b/>
          <w:sz w:val="36"/>
        </w:rPr>
      </w:pPr>
      <w:r>
        <w:rPr>
          <w:rFonts w:hint="eastAsia" w:ascii="黑体" w:hAnsi="Arial" w:eastAsia="黑体"/>
          <w:b/>
          <w:sz w:val="36"/>
        </w:rPr>
        <w:t>标段：　　　</w:t>
      </w:r>
    </w:p>
    <w:p>
      <w:pPr>
        <w:spacing w:line="800" w:lineRule="exact"/>
        <w:ind w:firstLine="3586" w:firstLineChars="995"/>
        <w:rPr>
          <w:rFonts w:ascii="宋体"/>
          <w:b/>
          <w:sz w:val="36"/>
          <w:u w:val="single"/>
        </w:rPr>
      </w:pPr>
    </w:p>
    <w:p>
      <w:pPr>
        <w:rPr>
          <w:rFonts w:hAnsi="Arial" w:eastAsia="黑体"/>
          <w:sz w:val="32"/>
          <w:szCs w:val="32"/>
        </w:rPr>
      </w:pPr>
    </w:p>
    <w:p>
      <w:pPr>
        <w:adjustRightInd w:val="0"/>
        <w:snapToGrid w:val="0"/>
        <w:spacing w:line="360" w:lineRule="auto"/>
        <w:ind w:firstLine="4137" w:firstLineChars="1293"/>
        <w:rPr>
          <w:rFonts w:ascii="黑体" w:eastAsia="黑体"/>
          <w:sz w:val="32"/>
          <w:szCs w:val="32"/>
        </w:rPr>
      </w:pPr>
      <w:r>
        <w:rPr>
          <w:rFonts w:ascii="黑体" w:eastAsia="黑体"/>
          <w:sz w:val="32"/>
          <w:szCs w:val="32"/>
        </w:rPr>
        <w:t>年   月   日</w:t>
      </w:r>
    </w:p>
    <w:p>
      <w:pPr>
        <w:pStyle w:val="17"/>
        <w:ind w:firstLine="600"/>
      </w:pPr>
    </w:p>
    <w:p>
      <w:pPr>
        <w:jc w:val="both"/>
        <w:rPr>
          <w:rStyle w:val="132"/>
          <w:rFonts w:hint="eastAsia" w:ascii="宋体" w:hAnsi="宋体" w:cs="宋体"/>
          <w:b/>
          <w:bCs/>
          <w:sz w:val="32"/>
          <w:szCs w:val="32"/>
        </w:rPr>
      </w:pPr>
      <w:bookmarkStart w:id="6" w:name="_Toc157775468"/>
    </w:p>
    <w:p>
      <w:pPr>
        <w:jc w:val="center"/>
        <w:rPr>
          <w:rStyle w:val="132"/>
          <w:rFonts w:ascii="宋体" w:hAnsi="宋体" w:cs="宋体"/>
          <w:b/>
          <w:bCs/>
          <w:sz w:val="32"/>
          <w:szCs w:val="32"/>
        </w:rPr>
      </w:pPr>
      <w:r>
        <w:rPr>
          <w:rStyle w:val="132"/>
          <w:rFonts w:hint="eastAsia" w:ascii="宋体" w:hAnsi="宋体" w:cs="宋体"/>
          <w:b/>
          <w:bCs/>
          <w:sz w:val="32"/>
          <w:szCs w:val="32"/>
        </w:rPr>
        <w:t>一、</w:t>
      </w:r>
      <w:r>
        <w:rPr>
          <w:rStyle w:val="132"/>
          <w:rFonts w:ascii="宋体" w:hAnsi="宋体" w:cs="宋体"/>
          <w:b/>
          <w:bCs/>
          <w:sz w:val="32"/>
          <w:szCs w:val="32"/>
        </w:rPr>
        <w:t>投标主要文件目录</w:t>
      </w:r>
    </w:p>
    <w:p>
      <w:pPr>
        <w:spacing w:line="440" w:lineRule="exact"/>
        <w:jc w:val="center"/>
        <w:rPr>
          <w:rStyle w:val="132"/>
          <w:rFonts w:ascii="宋体" w:hAnsi="宋体" w:cs="宋体"/>
          <w:b/>
          <w:bCs/>
          <w:sz w:val="32"/>
          <w:szCs w:val="32"/>
        </w:rPr>
      </w:pPr>
    </w:p>
    <w:p>
      <w:pPr>
        <w:ind w:firstLine="480" w:firstLineChars="200"/>
        <w:rPr>
          <w:rStyle w:val="132"/>
          <w:rFonts w:ascii="宋体" w:hAnsi="宋体"/>
          <w:sz w:val="24"/>
        </w:rPr>
      </w:pPr>
      <w:r>
        <w:rPr>
          <w:rStyle w:val="132"/>
          <w:rFonts w:ascii="宋体" w:hAnsi="宋体"/>
          <w:sz w:val="24"/>
        </w:rPr>
        <w:t>一、</w:t>
      </w:r>
      <w:r>
        <w:rPr>
          <w:rStyle w:val="132"/>
          <w:rFonts w:ascii="宋体" w:hAnsi="宋体" w:cs="宋体"/>
          <w:bCs/>
          <w:sz w:val="24"/>
        </w:rPr>
        <w:t>资信证明文件</w:t>
      </w:r>
    </w:p>
    <w:p>
      <w:pPr>
        <w:ind w:firstLine="480" w:firstLineChars="200"/>
        <w:rPr>
          <w:rStyle w:val="132"/>
          <w:rFonts w:ascii="宋体" w:hAnsi="宋体" w:cs="宋体"/>
          <w:bCs/>
          <w:sz w:val="24"/>
        </w:rPr>
      </w:pPr>
      <w:r>
        <w:rPr>
          <w:rStyle w:val="132"/>
          <w:rFonts w:ascii="宋体" w:hAnsi="宋体" w:cs="宋体"/>
          <w:b/>
          <w:bCs/>
          <w:sz w:val="24"/>
        </w:rPr>
        <w:t>二</w:t>
      </w:r>
      <w:r>
        <w:rPr>
          <w:rStyle w:val="132"/>
          <w:rFonts w:ascii="宋体" w:hAnsi="宋体"/>
          <w:sz w:val="24"/>
        </w:rPr>
        <w:t>、</w:t>
      </w:r>
      <w:r>
        <w:rPr>
          <w:rStyle w:val="132"/>
          <w:rFonts w:hint="eastAsia" w:ascii="宋体" w:hAnsi="宋体"/>
          <w:sz w:val="24"/>
        </w:rPr>
        <w:t>评分证明材料</w:t>
      </w:r>
    </w:p>
    <w:p>
      <w:pPr>
        <w:ind w:firstLine="480" w:firstLineChars="200"/>
        <w:rPr>
          <w:rStyle w:val="132"/>
          <w:rFonts w:ascii="宋体" w:hAnsi="宋体"/>
          <w:sz w:val="24"/>
        </w:rPr>
      </w:pPr>
      <w:r>
        <w:rPr>
          <w:rStyle w:val="132"/>
          <w:rFonts w:hint="eastAsia" w:ascii="宋体" w:hAnsi="宋体"/>
          <w:sz w:val="24"/>
        </w:rPr>
        <w:t>三</w:t>
      </w:r>
      <w:r>
        <w:rPr>
          <w:rStyle w:val="132"/>
          <w:rFonts w:ascii="宋体" w:hAnsi="宋体"/>
          <w:sz w:val="24"/>
        </w:rPr>
        <w:t>、</w:t>
      </w:r>
      <w:r>
        <w:rPr>
          <w:rStyle w:val="132"/>
          <w:rFonts w:hint="eastAsia" w:ascii="宋体" w:hAnsi="宋体"/>
          <w:sz w:val="24"/>
        </w:rPr>
        <w:t>授权委托书</w:t>
      </w:r>
    </w:p>
    <w:p>
      <w:pPr>
        <w:ind w:firstLine="480" w:firstLineChars="200"/>
        <w:rPr>
          <w:rStyle w:val="132"/>
          <w:rFonts w:ascii="宋体" w:hAnsi="宋体"/>
          <w:sz w:val="24"/>
        </w:rPr>
      </w:pPr>
      <w:r>
        <w:rPr>
          <w:rStyle w:val="132"/>
          <w:rFonts w:hint="eastAsia" w:ascii="宋体" w:hAnsi="宋体"/>
          <w:sz w:val="24"/>
        </w:rPr>
        <w:t>四、</w:t>
      </w:r>
      <w:r>
        <w:rPr>
          <w:rStyle w:val="132"/>
          <w:rFonts w:ascii="宋体" w:hAnsi="宋体"/>
          <w:sz w:val="24"/>
        </w:rPr>
        <w:t>投标函</w:t>
      </w:r>
    </w:p>
    <w:p>
      <w:pPr>
        <w:ind w:firstLine="480" w:firstLineChars="200"/>
        <w:rPr>
          <w:rStyle w:val="132"/>
          <w:rFonts w:ascii="宋体" w:hAnsi="宋体"/>
          <w:sz w:val="24"/>
        </w:rPr>
      </w:pPr>
      <w:r>
        <w:rPr>
          <w:rStyle w:val="132"/>
          <w:rFonts w:hint="eastAsia" w:ascii="宋体" w:hAnsi="宋体"/>
          <w:sz w:val="24"/>
        </w:rPr>
        <w:t>五、</w:t>
      </w:r>
      <w:r>
        <w:rPr>
          <w:rStyle w:val="132"/>
          <w:rFonts w:ascii="宋体" w:hAnsi="宋体"/>
          <w:sz w:val="24"/>
        </w:rPr>
        <w:t>开标一览表</w:t>
      </w:r>
    </w:p>
    <w:p>
      <w:pPr>
        <w:ind w:firstLine="480" w:firstLineChars="200"/>
        <w:rPr>
          <w:rStyle w:val="132"/>
          <w:rFonts w:ascii="宋体" w:hAnsi="宋体" w:cs="Calibri"/>
          <w:color w:val="auto"/>
          <w:sz w:val="24"/>
        </w:rPr>
      </w:pPr>
      <w:r>
        <w:rPr>
          <w:rStyle w:val="132"/>
          <w:rFonts w:hint="eastAsia" w:ascii="宋体" w:hAnsi="宋体" w:cs="Calibri"/>
          <w:color w:val="auto"/>
          <w:sz w:val="24"/>
          <w:lang w:val="en-US" w:eastAsia="zh-CN"/>
        </w:rPr>
        <w:t>六、</w:t>
      </w:r>
      <w:r>
        <w:rPr>
          <w:rStyle w:val="132"/>
          <w:rFonts w:hint="eastAsia" w:ascii="宋体" w:hAnsi="宋体" w:cs="Calibri"/>
          <w:color w:val="auto"/>
          <w:sz w:val="24"/>
        </w:rPr>
        <w:t>环境调整提升方案</w:t>
      </w:r>
    </w:p>
    <w:p>
      <w:pPr>
        <w:ind w:firstLine="480" w:firstLineChars="200"/>
        <w:rPr>
          <w:rStyle w:val="132"/>
          <w:rFonts w:hint="eastAsia" w:ascii="宋体" w:hAnsi="宋体"/>
          <w:sz w:val="24"/>
          <w:szCs w:val="22"/>
          <w:lang w:val="en-US" w:eastAsia="zh-CN"/>
        </w:rPr>
      </w:pPr>
    </w:p>
    <w:p>
      <w:pPr>
        <w:pStyle w:val="2"/>
      </w:pPr>
    </w:p>
    <w:p>
      <w:pPr>
        <w:ind w:firstLine="480" w:firstLineChars="200"/>
        <w:rPr>
          <w:rStyle w:val="132"/>
          <w:rFonts w:ascii="宋体" w:hAnsi="宋体"/>
          <w:sz w:val="24"/>
        </w:rPr>
      </w:pPr>
    </w:p>
    <w:p>
      <w:pPr>
        <w:ind w:firstLine="480" w:firstLineChars="200"/>
        <w:rPr>
          <w:rStyle w:val="132"/>
          <w:rFonts w:ascii="宋体" w:hAnsi="宋体"/>
          <w:sz w:val="24"/>
        </w:rPr>
      </w:pPr>
    </w:p>
    <w:p>
      <w:pPr>
        <w:pStyle w:val="18"/>
        <w:rPr>
          <w:rStyle w:val="132"/>
          <w:rFonts w:ascii="宋体" w:hAnsi="宋体"/>
          <w:sz w:val="24"/>
        </w:rPr>
      </w:pPr>
    </w:p>
    <w:p>
      <w:pPr>
        <w:pStyle w:val="19"/>
        <w:rPr>
          <w:rStyle w:val="132"/>
          <w:rFonts w:hAnsi="宋体"/>
          <w:sz w:val="24"/>
        </w:rPr>
      </w:pPr>
    </w:p>
    <w:p>
      <w:pPr>
        <w:pStyle w:val="20"/>
        <w:rPr>
          <w:rStyle w:val="132"/>
          <w:rFonts w:ascii="宋体" w:hAnsi="宋体"/>
          <w:sz w:val="24"/>
        </w:rPr>
      </w:pPr>
    </w:p>
    <w:p>
      <w:pPr>
        <w:rPr>
          <w:rStyle w:val="132"/>
          <w:rFonts w:ascii="宋体" w:hAnsi="宋体"/>
          <w:sz w:val="24"/>
        </w:rPr>
      </w:pPr>
    </w:p>
    <w:p>
      <w:pPr>
        <w:pStyle w:val="18"/>
        <w:rPr>
          <w:rStyle w:val="132"/>
          <w:rFonts w:ascii="宋体" w:hAnsi="宋体"/>
          <w:sz w:val="24"/>
        </w:rPr>
      </w:pPr>
    </w:p>
    <w:p>
      <w:pPr>
        <w:pStyle w:val="19"/>
        <w:rPr>
          <w:rStyle w:val="132"/>
          <w:rFonts w:hAnsi="宋体"/>
          <w:sz w:val="24"/>
        </w:rPr>
      </w:pPr>
    </w:p>
    <w:p>
      <w:pPr>
        <w:pStyle w:val="20"/>
        <w:rPr>
          <w:rStyle w:val="132"/>
          <w:rFonts w:ascii="宋体" w:hAnsi="宋体"/>
          <w:sz w:val="24"/>
        </w:rPr>
      </w:pPr>
    </w:p>
    <w:p>
      <w:pPr>
        <w:rPr>
          <w:rStyle w:val="132"/>
          <w:rFonts w:ascii="宋体" w:hAnsi="宋体"/>
          <w:sz w:val="24"/>
        </w:rPr>
      </w:pPr>
    </w:p>
    <w:p>
      <w:pPr>
        <w:pStyle w:val="18"/>
        <w:rPr>
          <w:rStyle w:val="132"/>
          <w:rFonts w:ascii="宋体" w:hAnsi="宋体"/>
          <w:sz w:val="24"/>
        </w:rPr>
      </w:pPr>
    </w:p>
    <w:p/>
    <w:p>
      <w:pPr>
        <w:pStyle w:val="2"/>
      </w:pPr>
    </w:p>
    <w:p>
      <w:pPr>
        <w:pStyle w:val="27"/>
        <w:adjustRightInd w:val="0"/>
        <w:snapToGrid w:val="0"/>
        <w:spacing w:beforeLines="50" w:afterLines="50" w:line="640" w:lineRule="exact"/>
        <w:jc w:val="center"/>
        <w:rPr>
          <w:rFonts w:hAnsi="宋体" w:cs="宋体"/>
          <w:b/>
          <w:bCs/>
          <w:sz w:val="32"/>
          <w:szCs w:val="32"/>
        </w:rPr>
      </w:pPr>
      <w:r>
        <w:rPr>
          <w:rFonts w:hint="eastAsia" w:hAnsi="宋体" w:cs="宋体"/>
          <w:b/>
          <w:sz w:val="32"/>
          <w:szCs w:val="32"/>
          <w:lang w:val="en-US" w:eastAsia="zh-CN"/>
        </w:rPr>
        <w:t>一</w:t>
      </w:r>
      <w:r>
        <w:rPr>
          <w:rFonts w:hint="eastAsia" w:hAnsi="宋体" w:cs="宋体"/>
          <w:b/>
          <w:sz w:val="32"/>
          <w:szCs w:val="32"/>
        </w:rPr>
        <w:t>、资格审查时投标人必须提供的资格证明文件</w:t>
      </w:r>
    </w:p>
    <w:p>
      <w:pPr>
        <w:adjustRightInd w:val="0"/>
        <w:snapToGrid w:val="0"/>
        <w:spacing w:line="300" w:lineRule="auto"/>
        <w:ind w:firstLine="480" w:firstLineChars="200"/>
        <w:rPr>
          <w:rFonts w:hint="eastAsia" w:hAnsi="宋体" w:cs="宋体"/>
          <w:sz w:val="24"/>
          <w:szCs w:val="24"/>
        </w:rPr>
      </w:pPr>
    </w:p>
    <w:p>
      <w:pPr>
        <w:adjustRightInd w:val="0"/>
        <w:snapToGrid w:val="0"/>
        <w:spacing w:line="300" w:lineRule="auto"/>
        <w:ind w:firstLine="480" w:firstLineChars="200"/>
        <w:rPr>
          <w:rFonts w:ascii="宋体" w:hAnsi="宋体" w:cs="宋体"/>
          <w:sz w:val="24"/>
        </w:rPr>
      </w:pPr>
      <w:r>
        <w:rPr>
          <w:rFonts w:hint="eastAsia" w:hAnsi="宋体" w:cs="宋体"/>
          <w:sz w:val="24"/>
          <w:szCs w:val="24"/>
        </w:rPr>
        <w:t>1、</w:t>
      </w:r>
      <w:r>
        <w:rPr>
          <w:rFonts w:hint="eastAsia" w:ascii="宋体" w:hAnsi="宋体" w:cs="宋体"/>
          <w:sz w:val="24"/>
        </w:rPr>
        <w:t>提供授权委托书（原件、必须提供，格式详见下表；受托人为</w:t>
      </w:r>
      <w:r>
        <w:rPr>
          <w:rFonts w:hint="eastAsia" w:hAnsi="宋体" w:cs="宋体"/>
          <w:sz w:val="24"/>
          <w:szCs w:val="24"/>
        </w:rPr>
        <w:t>法定代表人的，不需要提供</w:t>
      </w:r>
      <w:r>
        <w:rPr>
          <w:rFonts w:hint="eastAsia" w:ascii="宋体" w:hAnsi="宋体" w:cs="宋体"/>
          <w:sz w:val="24"/>
        </w:rPr>
        <w:t>）和</w:t>
      </w:r>
      <w:r>
        <w:rPr>
          <w:rFonts w:hint="eastAsia" w:ascii="宋体" w:hAnsi="宋体" w:cs="宋体"/>
          <w:bCs/>
          <w:sz w:val="24"/>
        </w:rPr>
        <w:t>受托人身份证（复印件并加盖</w:t>
      </w:r>
      <w:r>
        <w:rPr>
          <w:rFonts w:hint="eastAsia" w:ascii="宋体" w:hAnsi="宋体" w:cs="宋体"/>
          <w:sz w:val="24"/>
        </w:rPr>
        <w:t>投标人</w:t>
      </w:r>
      <w:r>
        <w:rPr>
          <w:rFonts w:hint="eastAsia" w:ascii="宋体" w:hAnsi="宋体" w:cs="宋体"/>
          <w:bCs/>
          <w:sz w:val="24"/>
        </w:rPr>
        <w:t>公章，</w:t>
      </w:r>
      <w:r>
        <w:rPr>
          <w:rFonts w:hint="eastAsia" w:ascii="宋体" w:hAnsi="宋体" w:cs="宋体"/>
          <w:b/>
          <w:sz w:val="24"/>
        </w:rPr>
        <w:t>原件带至投标现场备查</w:t>
      </w:r>
      <w:r>
        <w:rPr>
          <w:rFonts w:hint="eastAsia" w:ascii="宋体" w:hAnsi="宋体" w:cs="宋体"/>
          <w:bCs/>
          <w:sz w:val="24"/>
        </w:rPr>
        <w:t>）</w:t>
      </w:r>
      <w:r>
        <w:rPr>
          <w:rFonts w:hint="eastAsia" w:ascii="宋体" w:hAnsi="宋体" w:cs="宋体"/>
          <w:sz w:val="24"/>
        </w:rPr>
        <w:t>。</w:t>
      </w:r>
    </w:p>
    <w:p>
      <w:pPr>
        <w:pStyle w:val="27"/>
        <w:adjustRightInd w:val="0"/>
        <w:snapToGrid w:val="0"/>
        <w:spacing w:line="300" w:lineRule="auto"/>
        <w:ind w:firstLine="480" w:firstLineChars="200"/>
        <w:rPr>
          <w:rFonts w:hAnsi="宋体" w:cs="宋体"/>
          <w:sz w:val="24"/>
          <w:szCs w:val="24"/>
        </w:rPr>
      </w:pPr>
      <w:r>
        <w:rPr>
          <w:rFonts w:hint="eastAsia" w:hAnsi="宋体" w:cs="宋体"/>
          <w:sz w:val="24"/>
          <w:szCs w:val="24"/>
        </w:rPr>
        <w:t>2、</w:t>
      </w:r>
      <w:r>
        <w:rPr>
          <w:rFonts w:hint="eastAsia" w:hAnsi="宋体" w:cs="宋体"/>
          <w:bCs/>
          <w:sz w:val="24"/>
          <w:szCs w:val="24"/>
        </w:rPr>
        <w:t>提供有效的法人营业执照。</w:t>
      </w:r>
      <w:r>
        <w:rPr>
          <w:rFonts w:hint="eastAsia" w:hAnsi="宋体" w:cs="宋体"/>
          <w:sz w:val="24"/>
          <w:szCs w:val="24"/>
        </w:rPr>
        <w:t>（复印件并加盖投标人公章，必须提供）</w:t>
      </w:r>
    </w:p>
    <w:p>
      <w:pPr>
        <w:pStyle w:val="27"/>
        <w:adjustRightInd w:val="0"/>
        <w:snapToGrid w:val="0"/>
        <w:spacing w:line="300" w:lineRule="auto"/>
        <w:ind w:firstLine="480" w:firstLineChars="200"/>
        <w:rPr>
          <w:rFonts w:hAnsi="宋体" w:cs="宋体"/>
          <w:sz w:val="24"/>
          <w:szCs w:val="24"/>
        </w:rPr>
      </w:pPr>
      <w:r>
        <w:rPr>
          <w:rFonts w:hint="eastAsia" w:hAnsi="宋体" w:cs="宋体"/>
          <w:sz w:val="24"/>
          <w:szCs w:val="24"/>
        </w:rPr>
        <w:t>3、提供有效的食品经营许可证。（复印件并加盖投标人公章，必须提供）</w:t>
      </w:r>
    </w:p>
    <w:p>
      <w:pPr>
        <w:pStyle w:val="27"/>
        <w:adjustRightInd w:val="0"/>
        <w:snapToGrid w:val="0"/>
        <w:spacing w:line="300" w:lineRule="auto"/>
        <w:ind w:firstLine="480" w:firstLineChars="200"/>
        <w:rPr>
          <w:rFonts w:hAnsi="宋体" w:cs="宋体"/>
          <w:sz w:val="24"/>
          <w:szCs w:val="24"/>
        </w:rPr>
      </w:pPr>
      <w:r>
        <w:rPr>
          <w:rFonts w:hint="eastAsia" w:hAnsi="宋体" w:cs="宋体"/>
          <w:sz w:val="24"/>
          <w:szCs w:val="24"/>
          <w:lang w:val="en-US" w:eastAsia="zh-CN"/>
        </w:rPr>
        <w:t>4</w:t>
      </w:r>
      <w:r>
        <w:rPr>
          <w:rFonts w:hint="eastAsia" w:hAnsi="宋体" w:cs="宋体"/>
          <w:sz w:val="24"/>
          <w:szCs w:val="24"/>
        </w:rPr>
        <w:t>、未被“信用中国”网站（www.creditchina.gov.cn）等列入失信被执行人、重大税收违法案件当事人名单的证明材料（截图复印件，加盖投标人公章，必须提供）。</w:t>
      </w:r>
    </w:p>
    <w:p>
      <w:pPr>
        <w:pStyle w:val="27"/>
        <w:adjustRightInd w:val="0"/>
        <w:snapToGrid w:val="0"/>
        <w:spacing w:line="300" w:lineRule="auto"/>
        <w:ind w:firstLine="480" w:firstLineChars="200"/>
        <w:rPr>
          <w:rFonts w:hAnsi="宋体" w:cs="宋体"/>
          <w:sz w:val="24"/>
          <w:szCs w:val="24"/>
        </w:rPr>
      </w:pPr>
      <w:r>
        <w:rPr>
          <w:rFonts w:hint="eastAsia" w:hAnsi="宋体" w:cs="宋体"/>
          <w:sz w:val="24"/>
          <w:szCs w:val="24"/>
          <w:lang w:val="en-US" w:eastAsia="zh-CN"/>
        </w:rPr>
        <w:t>5</w:t>
      </w:r>
      <w:r>
        <w:rPr>
          <w:rFonts w:hint="eastAsia" w:hAnsi="宋体" w:cs="宋体"/>
          <w:sz w:val="24"/>
          <w:szCs w:val="24"/>
        </w:rPr>
        <w:t>、《履约承诺书》（原件放在投标文件正本中，副本中可以放置复印件）。</w:t>
      </w:r>
    </w:p>
    <w:p>
      <w:pPr>
        <w:pStyle w:val="27"/>
        <w:adjustRightInd w:val="0"/>
        <w:snapToGrid w:val="0"/>
        <w:spacing w:line="300" w:lineRule="auto"/>
        <w:ind w:firstLine="480" w:firstLineChars="200"/>
        <w:rPr>
          <w:rFonts w:hAnsi="宋体" w:cs="宋体"/>
          <w:sz w:val="24"/>
          <w:szCs w:val="24"/>
        </w:rPr>
      </w:pPr>
      <w:r>
        <w:rPr>
          <w:rFonts w:hint="eastAsia" w:hAnsi="宋体" w:cs="宋体"/>
          <w:sz w:val="24"/>
          <w:szCs w:val="24"/>
          <w:lang w:val="en-US" w:eastAsia="zh-CN"/>
        </w:rPr>
        <w:t>6</w:t>
      </w:r>
      <w:r>
        <w:rPr>
          <w:rFonts w:hint="eastAsia" w:hAnsi="宋体" w:cs="宋体"/>
          <w:sz w:val="24"/>
          <w:szCs w:val="24"/>
        </w:rPr>
        <w:t>、《盐城市政府采购事前信用承诺书》（原件放在投标文件正本中，副本中可以放置复印件）</w:t>
      </w:r>
    </w:p>
    <w:p>
      <w:pPr>
        <w:pStyle w:val="27"/>
        <w:adjustRightInd w:val="0"/>
        <w:snapToGrid w:val="0"/>
        <w:spacing w:line="300" w:lineRule="auto"/>
        <w:ind w:firstLine="480" w:firstLineChars="200"/>
        <w:rPr>
          <w:rFonts w:hAnsi="宋体" w:cs="宋体"/>
          <w:sz w:val="24"/>
          <w:szCs w:val="24"/>
        </w:rPr>
      </w:pPr>
      <w:r>
        <w:rPr>
          <w:rFonts w:hint="eastAsia" w:hAnsi="宋体" w:cs="宋体"/>
          <w:sz w:val="24"/>
          <w:szCs w:val="24"/>
          <w:lang w:val="en-US" w:eastAsia="zh-CN"/>
        </w:rPr>
        <w:t>7</w:t>
      </w:r>
      <w:r>
        <w:rPr>
          <w:rFonts w:hint="eastAsia" w:hAnsi="宋体" w:cs="宋体"/>
          <w:sz w:val="24"/>
          <w:szCs w:val="24"/>
        </w:rPr>
        <w:t>、《现场踏勘证明书》（原件放在投标文件正本中，副本中放置复印件）</w:t>
      </w:r>
    </w:p>
    <w:p>
      <w:pPr>
        <w:pStyle w:val="27"/>
        <w:adjustRightInd w:val="0"/>
        <w:snapToGrid w:val="0"/>
        <w:spacing w:line="300" w:lineRule="auto"/>
        <w:ind w:firstLine="480" w:firstLineChars="200"/>
        <w:rPr>
          <w:rFonts w:hAnsi="宋体" w:cs="宋体"/>
          <w:sz w:val="24"/>
          <w:szCs w:val="24"/>
        </w:rPr>
      </w:pPr>
      <w:r>
        <w:rPr>
          <w:rFonts w:hint="eastAsia" w:hAnsi="宋体" w:cs="宋体"/>
          <w:sz w:val="24"/>
          <w:szCs w:val="24"/>
          <w:lang w:val="en-US" w:eastAsia="zh-CN"/>
        </w:rPr>
        <w:t>8</w:t>
      </w:r>
      <w:r>
        <w:rPr>
          <w:rFonts w:hint="eastAsia" w:hAnsi="宋体" w:cs="宋体"/>
          <w:sz w:val="24"/>
          <w:szCs w:val="24"/>
        </w:rPr>
        <w:t>、其他根据招标文件要求需要提供的材料。</w:t>
      </w:r>
    </w:p>
    <w:p>
      <w:pPr>
        <w:adjustRightInd w:val="0"/>
        <w:snapToGrid w:val="0"/>
        <w:spacing w:line="264" w:lineRule="auto"/>
        <w:rPr>
          <w:rFonts w:ascii="宋体" w:hAnsi="宋体" w:cs="宋体"/>
          <w:b/>
          <w:sz w:val="24"/>
        </w:rPr>
      </w:pPr>
      <w:r>
        <w:rPr>
          <w:rFonts w:hint="eastAsia" w:ascii="宋体" w:hAnsi="宋体" w:cs="宋体"/>
          <w:b/>
          <w:sz w:val="24"/>
        </w:rPr>
        <w:t>注:⑴上述是对投标人资格审查时，投标人必须要提供的资格证明文件。如投标人未能提供上述资格证明文件以及发现投标人的资格条件不符合招标文件要求，可随时取消其投标或中标资格。</w:t>
      </w:r>
    </w:p>
    <w:p>
      <w:pPr>
        <w:adjustRightInd w:val="0"/>
        <w:snapToGrid w:val="0"/>
        <w:spacing w:line="264" w:lineRule="auto"/>
        <w:rPr>
          <w:rFonts w:ascii="宋体" w:hAnsi="宋体" w:cs="宋体"/>
          <w:b/>
          <w:sz w:val="24"/>
        </w:rPr>
      </w:pPr>
      <w:r>
        <w:rPr>
          <w:rFonts w:hint="eastAsia" w:ascii="宋体" w:hAnsi="宋体" w:cs="宋体"/>
          <w:b/>
          <w:bCs/>
          <w:sz w:val="24"/>
        </w:rPr>
        <w:t>⑵投标人所提供的资格证明材料应真实、有效，招标人保留对投标人提供的资格证明材料进行核查的权利，如发现投标人提供虚假资格证明材料，招标人将对其进行严肃处理。</w:t>
      </w:r>
    </w:p>
    <w:bookmarkEnd w:id="6"/>
    <w:p>
      <w:pPr>
        <w:pStyle w:val="27"/>
        <w:adjustRightInd w:val="0"/>
        <w:snapToGrid w:val="0"/>
        <w:spacing w:line="300" w:lineRule="auto"/>
        <w:rPr>
          <w:rFonts w:hAnsi="宋体" w:cs="宋体"/>
          <w:b/>
          <w:bCs/>
          <w:sz w:val="24"/>
          <w:szCs w:val="24"/>
        </w:rPr>
      </w:pPr>
    </w:p>
    <w:p>
      <w:pPr>
        <w:pStyle w:val="27"/>
        <w:adjustRightInd w:val="0"/>
        <w:snapToGrid w:val="0"/>
        <w:spacing w:line="300" w:lineRule="auto"/>
        <w:rPr>
          <w:rFonts w:hAnsi="宋体" w:cs="宋体"/>
          <w:b/>
          <w:bCs/>
          <w:sz w:val="24"/>
          <w:szCs w:val="24"/>
        </w:rPr>
      </w:pPr>
    </w:p>
    <w:p>
      <w:pPr>
        <w:pStyle w:val="27"/>
        <w:adjustRightInd w:val="0"/>
        <w:snapToGrid w:val="0"/>
        <w:spacing w:line="300" w:lineRule="auto"/>
        <w:rPr>
          <w:rFonts w:hAnsi="宋体" w:cs="宋体"/>
          <w:b/>
          <w:bCs/>
          <w:sz w:val="24"/>
          <w:szCs w:val="24"/>
        </w:rPr>
      </w:pPr>
    </w:p>
    <w:p>
      <w:pPr>
        <w:pStyle w:val="27"/>
        <w:adjustRightInd w:val="0"/>
        <w:snapToGrid w:val="0"/>
        <w:spacing w:line="300" w:lineRule="auto"/>
        <w:rPr>
          <w:rFonts w:hAnsi="宋体" w:cs="宋体"/>
          <w:b/>
          <w:bCs/>
          <w:sz w:val="24"/>
          <w:szCs w:val="24"/>
        </w:rPr>
      </w:pPr>
    </w:p>
    <w:p>
      <w:pPr>
        <w:pStyle w:val="27"/>
        <w:adjustRightInd w:val="0"/>
        <w:snapToGrid w:val="0"/>
        <w:spacing w:line="300" w:lineRule="auto"/>
        <w:rPr>
          <w:rFonts w:hAnsi="宋体" w:cs="宋体"/>
          <w:b/>
          <w:bCs/>
          <w:sz w:val="24"/>
          <w:szCs w:val="24"/>
        </w:rPr>
      </w:pPr>
    </w:p>
    <w:p>
      <w:pPr>
        <w:pStyle w:val="27"/>
        <w:adjustRightInd w:val="0"/>
        <w:snapToGrid w:val="0"/>
        <w:spacing w:line="300" w:lineRule="auto"/>
        <w:rPr>
          <w:rFonts w:hAnsi="宋体" w:cs="宋体"/>
          <w:b/>
          <w:bCs/>
          <w:sz w:val="24"/>
          <w:szCs w:val="24"/>
        </w:rPr>
      </w:pPr>
    </w:p>
    <w:p>
      <w:pPr>
        <w:pStyle w:val="27"/>
        <w:adjustRightInd w:val="0"/>
        <w:snapToGrid w:val="0"/>
        <w:spacing w:line="300" w:lineRule="auto"/>
        <w:rPr>
          <w:rFonts w:hAnsi="宋体" w:cs="宋体"/>
          <w:b/>
          <w:bCs/>
          <w:sz w:val="24"/>
          <w:szCs w:val="24"/>
        </w:rPr>
      </w:pPr>
    </w:p>
    <w:p>
      <w:pPr>
        <w:pStyle w:val="27"/>
        <w:adjustRightInd w:val="0"/>
        <w:snapToGrid w:val="0"/>
        <w:spacing w:line="300" w:lineRule="auto"/>
        <w:rPr>
          <w:rFonts w:hAnsi="宋体" w:cs="宋体"/>
          <w:b/>
          <w:bCs/>
          <w:sz w:val="24"/>
          <w:szCs w:val="24"/>
        </w:rPr>
      </w:pPr>
    </w:p>
    <w:p>
      <w:pPr>
        <w:autoSpaceDE w:val="0"/>
        <w:autoSpaceDN w:val="0"/>
        <w:adjustRightInd w:val="0"/>
        <w:snapToGrid w:val="0"/>
        <w:spacing w:beforeLines="50" w:afterLines="50" w:line="360" w:lineRule="auto"/>
        <w:jc w:val="center"/>
        <w:rPr>
          <w:rFonts w:hint="eastAsia" w:ascii="宋体" w:hAnsi="宋体" w:cs="宋体"/>
          <w:b/>
          <w:bCs/>
          <w:sz w:val="32"/>
          <w:szCs w:val="32"/>
          <w:lang w:val="zh-CN"/>
        </w:rPr>
      </w:pPr>
    </w:p>
    <w:p>
      <w:pPr>
        <w:autoSpaceDE w:val="0"/>
        <w:autoSpaceDN w:val="0"/>
        <w:adjustRightInd w:val="0"/>
        <w:snapToGrid w:val="0"/>
        <w:spacing w:beforeLines="50" w:afterLines="50" w:line="360" w:lineRule="auto"/>
        <w:jc w:val="center"/>
        <w:rPr>
          <w:rFonts w:hint="eastAsia" w:ascii="宋体" w:hAnsi="宋体" w:cs="宋体"/>
          <w:b/>
          <w:bCs/>
          <w:sz w:val="32"/>
          <w:szCs w:val="32"/>
          <w:lang w:val="zh-CN"/>
        </w:rPr>
      </w:pPr>
    </w:p>
    <w:p>
      <w:pPr>
        <w:autoSpaceDE w:val="0"/>
        <w:autoSpaceDN w:val="0"/>
        <w:adjustRightInd w:val="0"/>
        <w:snapToGrid w:val="0"/>
        <w:spacing w:beforeLines="50" w:afterLines="50" w:line="360" w:lineRule="auto"/>
        <w:jc w:val="center"/>
        <w:rPr>
          <w:rFonts w:hint="eastAsia" w:ascii="宋体" w:hAnsi="宋体" w:cs="宋体"/>
          <w:b/>
          <w:bCs/>
          <w:sz w:val="32"/>
          <w:szCs w:val="32"/>
          <w:lang w:val="zh-CN"/>
        </w:rPr>
      </w:pPr>
    </w:p>
    <w:p>
      <w:pPr>
        <w:autoSpaceDE w:val="0"/>
        <w:autoSpaceDN w:val="0"/>
        <w:adjustRightInd w:val="0"/>
        <w:snapToGrid w:val="0"/>
        <w:spacing w:beforeLines="50" w:afterLines="50" w:line="360" w:lineRule="auto"/>
        <w:jc w:val="center"/>
        <w:rPr>
          <w:rFonts w:hint="eastAsia" w:ascii="宋体" w:hAnsi="宋体" w:cs="宋体"/>
          <w:b/>
          <w:bCs/>
          <w:sz w:val="32"/>
          <w:szCs w:val="32"/>
          <w:lang w:val="zh-CN"/>
        </w:rPr>
      </w:pPr>
    </w:p>
    <w:p>
      <w:pPr>
        <w:autoSpaceDE w:val="0"/>
        <w:autoSpaceDN w:val="0"/>
        <w:adjustRightInd w:val="0"/>
        <w:snapToGrid w:val="0"/>
        <w:spacing w:beforeLines="50" w:afterLines="50" w:line="360" w:lineRule="auto"/>
        <w:jc w:val="center"/>
        <w:rPr>
          <w:rFonts w:ascii="宋体" w:hAnsi="宋体" w:cs="宋体"/>
          <w:b/>
          <w:bCs/>
          <w:sz w:val="32"/>
          <w:szCs w:val="32"/>
          <w:lang w:val="zh-CN"/>
        </w:rPr>
      </w:pPr>
      <w:r>
        <w:rPr>
          <w:rFonts w:hint="eastAsia" w:ascii="宋体" w:hAnsi="宋体" w:cs="宋体"/>
          <w:b/>
          <w:bCs/>
          <w:sz w:val="32"/>
          <w:szCs w:val="32"/>
          <w:lang w:val="zh-CN"/>
        </w:rPr>
        <w:t>履约承诺书</w:t>
      </w:r>
    </w:p>
    <w:p>
      <w:pPr>
        <w:autoSpaceDE w:val="0"/>
        <w:autoSpaceDN w:val="0"/>
        <w:adjustRightInd w:val="0"/>
        <w:snapToGrid w:val="0"/>
        <w:spacing w:line="360" w:lineRule="auto"/>
        <w:jc w:val="left"/>
        <w:rPr>
          <w:rFonts w:ascii="宋体" w:hAnsi="宋体" w:cs="宋体"/>
          <w:kern w:val="0"/>
          <w:sz w:val="24"/>
        </w:rPr>
      </w:pPr>
      <w:r>
        <w:rPr>
          <w:rFonts w:hint="eastAsia" w:ascii="宋体" w:hAnsi="宋体" w:cs="宋体"/>
          <w:kern w:val="0"/>
          <w:sz w:val="24"/>
        </w:rPr>
        <w:t>盐城幼儿师范高等专科学校：</w:t>
      </w:r>
    </w:p>
    <w:p>
      <w:pPr>
        <w:pStyle w:val="18"/>
        <w:tabs>
          <w:tab w:val="left" w:pos="2020"/>
          <w:tab w:val="center" w:pos="4535"/>
        </w:tabs>
        <w:adjustRightInd w:val="0"/>
        <w:snapToGrid w:val="0"/>
        <w:spacing w:line="360" w:lineRule="auto"/>
        <w:ind w:firstLine="480" w:firstLineChars="200"/>
        <w:rPr>
          <w:rFonts w:ascii="宋体" w:eastAsia="宋体" w:cs="宋体"/>
          <w:sz w:val="24"/>
        </w:rPr>
      </w:pPr>
      <w:r>
        <w:rPr>
          <w:rFonts w:hint="eastAsia" w:ascii="宋体" w:eastAsia="宋体" w:cs="宋体"/>
          <w:sz w:val="24"/>
          <w:lang w:val="zh-CN"/>
        </w:rPr>
        <w:t>我方一旦中标，我方自愿按照招标文件要求和投标文件中明确的内容进行履约并接受招标人和招标人委托的相关专业第三方的审</w:t>
      </w:r>
      <w:r>
        <w:rPr>
          <w:rFonts w:hint="eastAsia" w:ascii="宋体" w:eastAsia="宋体" w:cs="宋体"/>
          <w:sz w:val="24"/>
        </w:rPr>
        <w:t>核</w:t>
      </w:r>
      <w:r>
        <w:rPr>
          <w:rFonts w:hint="eastAsia" w:ascii="宋体" w:eastAsia="宋体" w:cs="宋体"/>
          <w:sz w:val="24"/>
          <w:lang w:val="zh-CN"/>
        </w:rPr>
        <w:t>和监督，如有不符合约定中任一情形的，我方自愿接受招标人的处罚（违约金人民币</w:t>
      </w:r>
      <w:r>
        <w:rPr>
          <w:rFonts w:hint="eastAsia" w:ascii="宋体" w:eastAsia="宋体" w:cs="宋体"/>
          <w:sz w:val="24"/>
        </w:rPr>
        <w:t>5000元--10</w:t>
      </w:r>
      <w:r>
        <w:rPr>
          <w:rFonts w:hint="eastAsia" w:ascii="宋体" w:eastAsia="宋体" w:cs="宋体"/>
          <w:sz w:val="24"/>
          <w:lang w:val="zh-CN"/>
        </w:rPr>
        <w:t>0000元，具体处罚数额由招标人确定，我方无条件接受）并在10日内整改</w:t>
      </w:r>
      <w:r>
        <w:rPr>
          <w:rFonts w:hint="eastAsia" w:ascii="宋体" w:eastAsia="宋体" w:cs="宋体"/>
          <w:sz w:val="24"/>
        </w:rPr>
        <w:t>完毕</w:t>
      </w:r>
      <w:r>
        <w:rPr>
          <w:rFonts w:hint="eastAsia" w:ascii="宋体" w:eastAsia="宋体" w:cs="宋体"/>
          <w:sz w:val="24"/>
          <w:lang w:val="zh-CN"/>
        </w:rPr>
        <w:t>，否则招标人有权单方解除合同。</w:t>
      </w:r>
    </w:p>
    <w:p>
      <w:pPr>
        <w:pStyle w:val="27"/>
        <w:adjustRightInd w:val="0"/>
        <w:snapToGrid w:val="0"/>
        <w:spacing w:line="360" w:lineRule="auto"/>
        <w:rPr>
          <w:rFonts w:hAnsi="宋体" w:cs="宋体"/>
          <w:sz w:val="24"/>
          <w:szCs w:val="24"/>
        </w:rPr>
      </w:pPr>
    </w:p>
    <w:p>
      <w:pPr>
        <w:autoSpaceDE w:val="0"/>
        <w:autoSpaceDN w:val="0"/>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特此承诺！</w:t>
      </w:r>
    </w:p>
    <w:p>
      <w:pPr>
        <w:autoSpaceDE w:val="0"/>
        <w:autoSpaceDN w:val="0"/>
        <w:adjustRightInd w:val="0"/>
        <w:snapToGrid w:val="0"/>
        <w:spacing w:line="360" w:lineRule="auto"/>
        <w:jc w:val="center"/>
        <w:rPr>
          <w:rFonts w:ascii="宋体" w:hAnsi="宋体" w:cs="宋体"/>
          <w:sz w:val="24"/>
        </w:rPr>
      </w:pPr>
    </w:p>
    <w:p>
      <w:pPr>
        <w:autoSpaceDE w:val="0"/>
        <w:autoSpaceDN w:val="0"/>
        <w:adjustRightInd w:val="0"/>
        <w:snapToGrid w:val="0"/>
        <w:spacing w:line="360" w:lineRule="auto"/>
        <w:jc w:val="center"/>
        <w:rPr>
          <w:rFonts w:ascii="宋体" w:hAnsi="宋体" w:cs="宋体"/>
          <w:sz w:val="24"/>
        </w:rPr>
      </w:pPr>
      <w:r>
        <w:rPr>
          <w:rFonts w:hint="eastAsia" w:ascii="宋体" w:hAnsi="宋体" w:cs="宋体"/>
          <w:sz w:val="24"/>
        </w:rPr>
        <w:t xml:space="preserve">               投标人:(盖章)</w:t>
      </w:r>
    </w:p>
    <w:p>
      <w:pPr>
        <w:autoSpaceDE w:val="0"/>
        <w:autoSpaceDN w:val="0"/>
        <w:adjustRightInd w:val="0"/>
        <w:snapToGrid w:val="0"/>
        <w:spacing w:line="360" w:lineRule="auto"/>
        <w:jc w:val="center"/>
        <w:rPr>
          <w:rFonts w:ascii="宋体" w:hAnsi="宋体" w:cs="宋体"/>
          <w:sz w:val="24"/>
        </w:rPr>
      </w:pPr>
      <w:r>
        <w:rPr>
          <w:rFonts w:hint="eastAsia" w:ascii="宋体" w:hAnsi="宋体" w:cs="宋体"/>
          <w:sz w:val="24"/>
        </w:rPr>
        <w:t xml:space="preserve">                       法定代表人（或其委托受托人）:  </w:t>
      </w:r>
      <w:r>
        <w:rPr>
          <w:rFonts w:hint="eastAsia" w:ascii="宋体" w:hAnsi="宋体" w:cs="宋体"/>
          <w:sz w:val="24"/>
          <w:u w:val="single"/>
        </w:rPr>
        <w:t xml:space="preserve">  (</w:t>
      </w:r>
      <w:r>
        <w:rPr>
          <w:rFonts w:hint="eastAsia" w:ascii="宋体" w:hAnsi="宋体" w:cs="宋体"/>
          <w:sz w:val="24"/>
        </w:rPr>
        <w:t>签字或盖章）</w:t>
      </w:r>
    </w:p>
    <w:p>
      <w:pPr>
        <w:autoSpaceDE w:val="0"/>
        <w:autoSpaceDN w:val="0"/>
        <w:adjustRightInd w:val="0"/>
        <w:snapToGrid w:val="0"/>
        <w:spacing w:line="360" w:lineRule="auto"/>
        <w:jc w:val="center"/>
        <w:rPr>
          <w:rFonts w:ascii="宋体" w:hAnsi="宋体" w:cs="宋体"/>
          <w:sz w:val="24"/>
        </w:rPr>
      </w:pPr>
      <w:r>
        <w:rPr>
          <w:rFonts w:hint="eastAsia" w:ascii="宋体" w:hAnsi="宋体" w:cs="宋体"/>
          <w:sz w:val="24"/>
        </w:rPr>
        <w:t xml:space="preserve">                       日期:        年      月    日</w:t>
      </w:r>
    </w:p>
    <w:p>
      <w:pPr>
        <w:snapToGrid w:val="0"/>
        <w:spacing w:line="640" w:lineRule="exact"/>
        <w:ind w:left="-359" w:leftChars="-171" w:firstLine="356" w:firstLineChars="111"/>
        <w:rPr>
          <w:rFonts w:ascii="宋体" w:hAnsi="宋体" w:cs="宋体"/>
          <w:b/>
          <w:sz w:val="32"/>
        </w:rPr>
      </w:pPr>
    </w:p>
    <w:p>
      <w:pPr>
        <w:pStyle w:val="18"/>
        <w:rPr>
          <w:rFonts w:ascii="宋体" w:hAnsi="宋体" w:cs="宋体"/>
          <w:b/>
          <w:sz w:val="32"/>
        </w:rPr>
      </w:pPr>
    </w:p>
    <w:p>
      <w:pPr>
        <w:pStyle w:val="19"/>
        <w:rPr>
          <w:rFonts w:hAnsi="宋体" w:cs="宋体"/>
          <w:b/>
          <w:sz w:val="32"/>
        </w:rPr>
      </w:pPr>
    </w:p>
    <w:p>
      <w:pPr>
        <w:pStyle w:val="20"/>
        <w:rPr>
          <w:rFonts w:ascii="宋体" w:hAnsi="宋体" w:cs="宋体"/>
          <w:b/>
          <w:sz w:val="32"/>
        </w:rPr>
      </w:pPr>
    </w:p>
    <w:p>
      <w:pPr>
        <w:rPr>
          <w:rFonts w:ascii="宋体" w:hAnsi="宋体" w:cs="宋体"/>
          <w:b/>
          <w:sz w:val="32"/>
        </w:rPr>
      </w:pPr>
    </w:p>
    <w:p>
      <w:pPr>
        <w:pStyle w:val="18"/>
        <w:rPr>
          <w:rFonts w:ascii="宋体" w:hAnsi="宋体" w:cs="宋体"/>
          <w:b/>
          <w:sz w:val="32"/>
        </w:rPr>
      </w:pPr>
    </w:p>
    <w:p>
      <w:pPr>
        <w:pStyle w:val="19"/>
        <w:rPr>
          <w:rFonts w:hAnsi="宋体" w:cs="宋体"/>
          <w:b/>
          <w:sz w:val="32"/>
        </w:rPr>
      </w:pPr>
    </w:p>
    <w:p>
      <w:pPr>
        <w:pStyle w:val="20"/>
        <w:rPr>
          <w:rFonts w:ascii="宋体" w:hAnsi="宋体" w:cs="宋体"/>
          <w:b/>
          <w:sz w:val="32"/>
        </w:rPr>
      </w:pPr>
    </w:p>
    <w:p>
      <w:pPr>
        <w:rPr>
          <w:rFonts w:ascii="宋体" w:hAnsi="宋体" w:cs="宋体"/>
          <w:b/>
          <w:sz w:val="32"/>
        </w:rPr>
      </w:pPr>
    </w:p>
    <w:p>
      <w:pPr>
        <w:pStyle w:val="19"/>
      </w:pPr>
    </w:p>
    <w:p>
      <w:pPr>
        <w:widowControl/>
        <w:spacing w:line="500" w:lineRule="exact"/>
        <w:jc w:val="center"/>
        <w:rPr>
          <w:rFonts w:ascii="黑体" w:eastAsia="黑体"/>
          <w:sz w:val="32"/>
          <w:szCs w:val="32"/>
        </w:rPr>
      </w:pPr>
      <w:r>
        <w:rPr>
          <w:rFonts w:hint="eastAsia" w:ascii="黑体" w:eastAsia="黑体"/>
          <w:sz w:val="32"/>
          <w:szCs w:val="32"/>
        </w:rPr>
        <w:t>盐城市政府采购事前信用承诺书</w:t>
      </w:r>
    </w:p>
    <w:p>
      <w:pPr>
        <w:widowControl/>
        <w:spacing w:line="500" w:lineRule="exact"/>
        <w:ind w:firstLine="480" w:firstLineChars="200"/>
        <w:jc w:val="left"/>
        <w:rPr>
          <w:b/>
          <w:bCs/>
          <w:sz w:val="24"/>
          <w:szCs w:val="24"/>
        </w:rPr>
      </w:pPr>
      <w:r>
        <w:rPr>
          <w:rFonts w:hint="eastAsia"/>
          <w:b/>
          <w:bCs/>
          <w:sz w:val="24"/>
          <w:szCs w:val="24"/>
        </w:rPr>
        <w:t>盐城幼儿师范高等专科学校：</w:t>
      </w:r>
    </w:p>
    <w:p>
      <w:pPr>
        <w:widowControl/>
        <w:spacing w:line="500" w:lineRule="exact"/>
        <w:ind w:firstLine="480" w:firstLineChars="200"/>
        <w:jc w:val="left"/>
        <w:rPr>
          <w:sz w:val="24"/>
          <w:szCs w:val="24"/>
        </w:rPr>
      </w:pPr>
      <w:r>
        <w:rPr>
          <w:rFonts w:hint="eastAsia"/>
          <w:sz w:val="24"/>
          <w:szCs w:val="24"/>
        </w:rPr>
        <w:t>为营造公开、公平、公正、诚实守信的政府采购交易环境，树立诚信守法的投标人形象，本人代表本单位作出以下承诺：</w:t>
      </w:r>
    </w:p>
    <w:p>
      <w:pPr>
        <w:widowControl/>
        <w:numPr>
          <w:ilvl w:val="0"/>
          <w:numId w:val="8"/>
        </w:numPr>
        <w:spacing w:line="500" w:lineRule="exact"/>
        <w:jc w:val="left"/>
        <w:rPr>
          <w:sz w:val="24"/>
          <w:szCs w:val="24"/>
        </w:rPr>
      </w:pPr>
      <w:r>
        <w:rPr>
          <w:rFonts w:hint="eastAsia"/>
          <w:sz w:val="24"/>
          <w:szCs w:val="24"/>
        </w:rPr>
        <w:t>本单位对所提交的企（事）业单位基本信息、企（事）业负责人、项目负责人、技术负责人、从业资质和资格、业绩、财务状况、信誉等所有资料，均合法、真实、准确、有效，无任何伪造、修改、虚假成份，并对所提供资料的真实性负责；</w:t>
      </w:r>
      <w:r>
        <w:rPr>
          <w:rFonts w:hint="eastAsia"/>
          <w:b/>
          <w:bCs/>
          <w:sz w:val="24"/>
          <w:szCs w:val="24"/>
        </w:rPr>
        <w:t>否则贵校可视为我单位不诚信，有权取消我单位投标资格、中标资格（如果中标），我单位无异议，完全服从，不诚信责任均由我单位自行承担。</w:t>
      </w:r>
    </w:p>
    <w:p>
      <w:pPr>
        <w:widowControl/>
        <w:spacing w:line="500" w:lineRule="exact"/>
        <w:ind w:left="480"/>
        <w:jc w:val="left"/>
        <w:rPr>
          <w:sz w:val="24"/>
          <w:szCs w:val="24"/>
        </w:rPr>
      </w:pPr>
      <w:r>
        <w:rPr>
          <w:rFonts w:hint="eastAsia"/>
          <w:sz w:val="24"/>
          <w:szCs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widowControl/>
        <w:spacing w:line="500" w:lineRule="exact"/>
        <w:jc w:val="left"/>
        <w:rPr>
          <w:sz w:val="24"/>
          <w:szCs w:val="24"/>
        </w:rPr>
      </w:pPr>
      <w:r>
        <w:rPr>
          <w:rFonts w:hint="eastAsia"/>
          <w:sz w:val="24"/>
          <w:szCs w:val="24"/>
        </w:rPr>
        <w:t xml:space="preserve">   （三）严格依照国家和省、市关于政府采购的法律、法规、规章、规范性文件，参加政府采购投标活动；积极履行社会责任，促进廉政建设； </w:t>
      </w:r>
    </w:p>
    <w:p>
      <w:pPr>
        <w:widowControl/>
        <w:spacing w:line="500" w:lineRule="exact"/>
        <w:jc w:val="left"/>
        <w:rPr>
          <w:sz w:val="24"/>
          <w:szCs w:val="24"/>
        </w:rPr>
      </w:pPr>
      <w:r>
        <w:rPr>
          <w:rFonts w:hint="eastAsia"/>
          <w:sz w:val="24"/>
          <w:szCs w:val="24"/>
        </w:rPr>
        <w:t>   （四）严格遵守即时信息公示规定，及时维护和更新维护和更新盐城市幼儿师范高等专科学校网中与本单位相关的信息；</w:t>
      </w:r>
    </w:p>
    <w:p>
      <w:pPr>
        <w:widowControl/>
        <w:spacing w:line="500" w:lineRule="exact"/>
        <w:jc w:val="left"/>
        <w:rPr>
          <w:sz w:val="24"/>
          <w:szCs w:val="24"/>
        </w:rPr>
      </w:pPr>
      <w:r>
        <w:rPr>
          <w:rFonts w:hint="eastAsia"/>
          <w:sz w:val="24"/>
          <w:szCs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widowControl/>
        <w:spacing w:line="500" w:lineRule="exact"/>
        <w:jc w:val="left"/>
        <w:rPr>
          <w:sz w:val="24"/>
          <w:szCs w:val="24"/>
        </w:rPr>
      </w:pPr>
      <w:r>
        <w:rPr>
          <w:rFonts w:hint="eastAsia"/>
          <w:sz w:val="24"/>
          <w:szCs w:val="24"/>
        </w:rPr>
        <w:t>   （六）自觉接受政府、行业组织、社会公众、新闻舆论的监督；</w:t>
      </w:r>
    </w:p>
    <w:p>
      <w:pPr>
        <w:widowControl/>
        <w:spacing w:line="500" w:lineRule="exact"/>
        <w:ind w:firstLine="480" w:firstLineChars="200"/>
        <w:jc w:val="left"/>
        <w:rPr>
          <w:sz w:val="24"/>
          <w:szCs w:val="24"/>
        </w:rPr>
      </w:pPr>
      <w:r>
        <w:rPr>
          <w:rFonts w:hint="eastAsia"/>
          <w:sz w:val="24"/>
          <w:szCs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widowControl/>
        <w:spacing w:line="500" w:lineRule="exact"/>
        <w:jc w:val="left"/>
        <w:rPr>
          <w:sz w:val="24"/>
          <w:szCs w:val="24"/>
        </w:rPr>
      </w:pPr>
      <w:r>
        <w:rPr>
          <w:rFonts w:hint="eastAsia"/>
          <w:sz w:val="24"/>
          <w:szCs w:val="24"/>
        </w:rPr>
        <w:t>   （八）本人已认真阅读了上述承诺，并向本单位员工作了宣传教育。</w:t>
      </w:r>
    </w:p>
    <w:p>
      <w:pPr>
        <w:widowControl/>
        <w:spacing w:line="500" w:lineRule="exact"/>
        <w:jc w:val="left"/>
        <w:rPr>
          <w:sz w:val="24"/>
          <w:szCs w:val="24"/>
        </w:rPr>
      </w:pPr>
    </w:p>
    <w:p>
      <w:pPr>
        <w:widowControl/>
        <w:spacing w:line="500" w:lineRule="exact"/>
        <w:jc w:val="center"/>
        <w:rPr>
          <w:sz w:val="24"/>
          <w:szCs w:val="24"/>
        </w:rPr>
      </w:pPr>
      <w:r>
        <w:rPr>
          <w:rFonts w:hint="eastAsia"/>
          <w:sz w:val="24"/>
          <w:szCs w:val="24"/>
        </w:rPr>
        <w:t xml:space="preserve">                 法定代表人签名：</w:t>
      </w:r>
    </w:p>
    <w:p>
      <w:pPr>
        <w:widowControl/>
        <w:spacing w:line="500" w:lineRule="exact"/>
        <w:jc w:val="center"/>
        <w:rPr>
          <w:sz w:val="24"/>
          <w:szCs w:val="24"/>
        </w:rPr>
      </w:pPr>
      <w:r>
        <w:rPr>
          <w:rFonts w:hint="eastAsia"/>
          <w:sz w:val="24"/>
          <w:szCs w:val="24"/>
        </w:rPr>
        <w:t xml:space="preserve">                   单位名称（盖章）：</w:t>
      </w:r>
    </w:p>
    <w:p>
      <w:pPr>
        <w:widowControl/>
        <w:spacing w:line="500" w:lineRule="exact"/>
        <w:jc w:val="center"/>
        <w:rPr>
          <w:sz w:val="24"/>
          <w:szCs w:val="24"/>
        </w:rPr>
      </w:pPr>
      <w:r>
        <w:rPr>
          <w:rFonts w:hint="eastAsia"/>
          <w:sz w:val="24"/>
          <w:szCs w:val="24"/>
        </w:rPr>
        <w:t xml:space="preserve">                      年    月    日</w:t>
      </w:r>
    </w:p>
    <w:p>
      <w:pPr>
        <w:pStyle w:val="6"/>
        <w:spacing w:line="460" w:lineRule="exact"/>
        <w:jc w:val="center"/>
        <w:rPr>
          <w:rFonts w:ascii="黑体" w:hAnsi="黑体" w:eastAsia="黑体"/>
          <w:b w:val="0"/>
          <w:bCs w:val="0"/>
        </w:rPr>
      </w:pPr>
      <w:r>
        <w:rPr>
          <w:rFonts w:hint="eastAsia" w:ascii="黑体" w:hAnsi="黑体" w:eastAsia="黑体"/>
          <w:b w:val="0"/>
          <w:bCs w:val="0"/>
        </w:rPr>
        <w:t>现场踏勘证明书</w:t>
      </w:r>
    </w:p>
    <w:tbl>
      <w:tblPr>
        <w:tblStyle w:val="54"/>
        <w:tblW w:w="9298" w:type="dxa"/>
        <w:tblInd w:w="-1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38"/>
        <w:gridCol w:w="2957"/>
        <w:gridCol w:w="1515"/>
        <w:gridCol w:w="20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6"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37"/>
              <w:spacing w:line="460" w:lineRule="exact"/>
              <w:ind w:right="520"/>
              <w:jc w:val="center"/>
              <w:rPr>
                <w:rFonts w:ascii="宋体" w:hAnsi="宋体" w:cs="Calibri"/>
                <w:sz w:val="28"/>
                <w:szCs w:val="28"/>
              </w:rPr>
            </w:pPr>
            <w:r>
              <w:rPr>
                <w:rFonts w:hint="eastAsia" w:ascii="宋体" w:hAnsi="宋体" w:cs="Calibri"/>
                <w:sz w:val="28"/>
                <w:szCs w:val="28"/>
              </w:rPr>
              <w:t>项目名称</w:t>
            </w:r>
          </w:p>
        </w:tc>
        <w:tc>
          <w:tcPr>
            <w:tcW w:w="2957" w:type="dxa"/>
            <w:tcBorders>
              <w:top w:val="single" w:color="000000" w:sz="4" w:space="0"/>
              <w:left w:val="nil"/>
              <w:bottom w:val="single" w:color="000000" w:sz="4" w:space="0"/>
              <w:right w:val="single" w:color="000000" w:sz="4" w:space="0"/>
            </w:tcBorders>
            <w:vAlign w:val="center"/>
          </w:tcPr>
          <w:p>
            <w:pPr>
              <w:pStyle w:val="137"/>
              <w:spacing w:line="460" w:lineRule="exact"/>
              <w:jc w:val="center"/>
              <w:rPr>
                <w:rFonts w:ascii="宋体" w:hAnsi="宋体" w:cs="Calibri"/>
                <w:sz w:val="28"/>
                <w:szCs w:val="28"/>
              </w:rPr>
            </w:pPr>
          </w:p>
        </w:tc>
        <w:tc>
          <w:tcPr>
            <w:tcW w:w="1515" w:type="dxa"/>
            <w:tcBorders>
              <w:top w:val="single" w:color="000000" w:sz="4" w:space="0"/>
              <w:left w:val="nil"/>
              <w:bottom w:val="single" w:color="000000" w:sz="4" w:space="0"/>
              <w:right w:val="single" w:color="000000" w:sz="4" w:space="0"/>
            </w:tcBorders>
            <w:vAlign w:val="center"/>
          </w:tcPr>
          <w:p>
            <w:pPr>
              <w:pStyle w:val="137"/>
              <w:spacing w:line="460" w:lineRule="exact"/>
              <w:ind w:right="104"/>
              <w:jc w:val="center"/>
              <w:rPr>
                <w:rFonts w:ascii="宋体" w:hAnsi="宋体" w:cs="Calibri"/>
                <w:sz w:val="28"/>
                <w:szCs w:val="28"/>
              </w:rPr>
            </w:pPr>
            <w:r>
              <w:rPr>
                <w:rFonts w:hint="eastAsia" w:ascii="宋体" w:hAnsi="宋体" w:cs="Calibri"/>
                <w:sz w:val="28"/>
                <w:szCs w:val="28"/>
              </w:rPr>
              <w:t>项目编号</w:t>
            </w:r>
          </w:p>
        </w:tc>
        <w:tc>
          <w:tcPr>
            <w:tcW w:w="2088" w:type="dxa"/>
            <w:tcBorders>
              <w:top w:val="single" w:color="000000" w:sz="4" w:space="0"/>
              <w:left w:val="nil"/>
              <w:bottom w:val="single" w:color="000000" w:sz="4" w:space="0"/>
              <w:right w:val="single" w:color="000000" w:sz="4" w:space="0"/>
            </w:tcBorders>
            <w:vAlign w:val="center"/>
          </w:tcPr>
          <w:p>
            <w:pPr>
              <w:pStyle w:val="137"/>
              <w:spacing w:line="46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6"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37"/>
              <w:spacing w:line="460" w:lineRule="exact"/>
              <w:ind w:right="251"/>
              <w:jc w:val="center"/>
              <w:rPr>
                <w:rFonts w:ascii="宋体" w:hAnsi="宋体" w:cs="Calibri"/>
                <w:sz w:val="28"/>
                <w:szCs w:val="28"/>
              </w:rPr>
            </w:pPr>
            <w:r>
              <w:rPr>
                <w:rFonts w:hint="eastAsia" w:ascii="宋体" w:hAnsi="宋体" w:cs="Calibri"/>
                <w:sz w:val="28"/>
                <w:szCs w:val="28"/>
              </w:rPr>
              <w:t>招标单位名称</w:t>
            </w:r>
          </w:p>
        </w:tc>
        <w:tc>
          <w:tcPr>
            <w:tcW w:w="2957" w:type="dxa"/>
            <w:tcBorders>
              <w:top w:val="single" w:color="000000" w:sz="4" w:space="0"/>
              <w:left w:val="nil"/>
              <w:bottom w:val="single" w:color="000000" w:sz="4" w:space="0"/>
              <w:right w:val="single" w:color="000000" w:sz="4" w:space="0"/>
            </w:tcBorders>
            <w:vAlign w:val="center"/>
          </w:tcPr>
          <w:p>
            <w:pPr>
              <w:pStyle w:val="137"/>
              <w:spacing w:line="460" w:lineRule="exact"/>
              <w:jc w:val="center"/>
              <w:rPr>
                <w:rFonts w:ascii="宋体" w:hAnsi="宋体" w:cs="Calibri"/>
                <w:sz w:val="28"/>
                <w:szCs w:val="28"/>
              </w:rPr>
            </w:pPr>
          </w:p>
        </w:tc>
        <w:tc>
          <w:tcPr>
            <w:tcW w:w="1515" w:type="dxa"/>
            <w:tcBorders>
              <w:top w:val="single" w:color="000000" w:sz="4" w:space="0"/>
              <w:left w:val="nil"/>
              <w:bottom w:val="single" w:color="000000" w:sz="4" w:space="0"/>
              <w:right w:val="single" w:color="000000" w:sz="4" w:space="0"/>
            </w:tcBorders>
            <w:vAlign w:val="center"/>
          </w:tcPr>
          <w:p>
            <w:pPr>
              <w:pStyle w:val="137"/>
              <w:spacing w:line="460" w:lineRule="exact"/>
              <w:ind w:right="104"/>
              <w:jc w:val="center"/>
              <w:rPr>
                <w:rFonts w:ascii="宋体" w:hAnsi="宋体" w:cs="Calibri"/>
                <w:sz w:val="28"/>
                <w:szCs w:val="28"/>
              </w:rPr>
            </w:pPr>
            <w:r>
              <w:rPr>
                <w:rFonts w:hint="eastAsia" w:ascii="宋体" w:hAnsi="宋体" w:cs="Calibri"/>
                <w:sz w:val="28"/>
                <w:szCs w:val="28"/>
              </w:rPr>
              <w:t>工程地点</w:t>
            </w:r>
          </w:p>
        </w:tc>
        <w:tc>
          <w:tcPr>
            <w:tcW w:w="2088" w:type="dxa"/>
            <w:tcBorders>
              <w:top w:val="single" w:color="000000" w:sz="4" w:space="0"/>
              <w:left w:val="nil"/>
              <w:bottom w:val="single" w:color="000000" w:sz="4" w:space="0"/>
              <w:right w:val="single" w:color="000000" w:sz="4" w:space="0"/>
            </w:tcBorders>
            <w:vAlign w:val="center"/>
          </w:tcPr>
          <w:p>
            <w:pPr>
              <w:pStyle w:val="137"/>
              <w:spacing w:line="46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9"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37"/>
              <w:spacing w:line="460" w:lineRule="exact"/>
              <w:ind w:right="393"/>
              <w:jc w:val="center"/>
              <w:rPr>
                <w:rFonts w:ascii="宋体" w:hAnsi="宋体" w:cs="Calibri"/>
                <w:sz w:val="28"/>
                <w:szCs w:val="28"/>
              </w:rPr>
            </w:pPr>
            <w:r>
              <w:rPr>
                <w:rFonts w:hint="eastAsia" w:ascii="宋体" w:hAnsi="宋体" w:cs="Calibri"/>
                <w:sz w:val="28"/>
                <w:szCs w:val="28"/>
              </w:rPr>
              <w:t>现场踏勘时间</w:t>
            </w:r>
          </w:p>
        </w:tc>
        <w:tc>
          <w:tcPr>
            <w:tcW w:w="6560" w:type="dxa"/>
            <w:gridSpan w:val="3"/>
            <w:tcBorders>
              <w:top w:val="single" w:color="000000" w:sz="4" w:space="0"/>
              <w:left w:val="nil"/>
              <w:bottom w:val="single" w:color="000000" w:sz="4" w:space="0"/>
              <w:right w:val="single" w:color="000000" w:sz="4" w:space="0"/>
            </w:tcBorders>
            <w:vAlign w:val="center"/>
          </w:tcPr>
          <w:p>
            <w:pPr>
              <w:pStyle w:val="137"/>
              <w:spacing w:line="460" w:lineRule="exact"/>
              <w:ind w:firstLine="1120" w:firstLineChars="400"/>
              <w:jc w:val="center"/>
              <w:rPr>
                <w:rFonts w:ascii="宋体" w:hAnsi="宋体" w:cs="Calibri"/>
                <w:sz w:val="28"/>
                <w:szCs w:val="28"/>
              </w:rPr>
            </w:pPr>
            <w:r>
              <w:rPr>
                <w:rFonts w:hint="eastAsia" w:ascii="宋体" w:hAnsi="宋体" w:cs="Calibri"/>
                <w:sz w:val="28"/>
                <w:szCs w:val="28"/>
              </w:rPr>
              <w:t>年  月   日   时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37"/>
              <w:spacing w:before="174" w:line="300" w:lineRule="exact"/>
              <w:ind w:right="520"/>
              <w:jc w:val="center"/>
              <w:rPr>
                <w:rFonts w:ascii="宋体" w:hAnsi="宋体" w:cs="Calibri"/>
                <w:sz w:val="28"/>
                <w:szCs w:val="28"/>
              </w:rPr>
            </w:pPr>
            <w:r>
              <w:rPr>
                <w:rFonts w:hint="eastAsia" w:ascii="宋体" w:hAnsi="宋体" w:cs="Calibri"/>
                <w:sz w:val="28"/>
                <w:szCs w:val="28"/>
              </w:rPr>
              <w:t>投标人名称</w:t>
            </w:r>
          </w:p>
        </w:tc>
        <w:tc>
          <w:tcPr>
            <w:tcW w:w="6560" w:type="dxa"/>
            <w:gridSpan w:val="3"/>
            <w:tcBorders>
              <w:top w:val="single" w:color="000000" w:sz="4" w:space="0"/>
              <w:left w:val="nil"/>
              <w:bottom w:val="single" w:color="000000" w:sz="4" w:space="0"/>
              <w:right w:val="single" w:color="000000" w:sz="4" w:space="0"/>
            </w:tcBorders>
            <w:vAlign w:val="center"/>
          </w:tcPr>
          <w:p>
            <w:pPr>
              <w:pStyle w:val="137"/>
              <w:spacing w:line="30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37"/>
              <w:spacing w:before="174" w:line="300" w:lineRule="exact"/>
              <w:ind w:right="520"/>
              <w:jc w:val="center"/>
              <w:rPr>
                <w:rFonts w:ascii="宋体" w:hAnsi="宋体" w:cs="Calibri"/>
                <w:sz w:val="28"/>
                <w:szCs w:val="28"/>
              </w:rPr>
            </w:pPr>
            <w:r>
              <w:rPr>
                <w:rFonts w:hint="eastAsia" w:ascii="宋体" w:hAnsi="宋体" w:cs="Calibri"/>
                <w:sz w:val="28"/>
                <w:szCs w:val="28"/>
              </w:rPr>
              <w:t>投标人资质</w:t>
            </w:r>
          </w:p>
        </w:tc>
        <w:tc>
          <w:tcPr>
            <w:tcW w:w="6560" w:type="dxa"/>
            <w:gridSpan w:val="3"/>
            <w:tcBorders>
              <w:top w:val="single" w:color="000000" w:sz="4" w:space="0"/>
              <w:left w:val="nil"/>
              <w:bottom w:val="single" w:color="000000" w:sz="4" w:space="0"/>
              <w:right w:val="single" w:color="000000" w:sz="4" w:space="0"/>
            </w:tcBorders>
            <w:vAlign w:val="center"/>
          </w:tcPr>
          <w:p>
            <w:pPr>
              <w:pStyle w:val="137"/>
              <w:spacing w:line="30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4"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37"/>
              <w:spacing w:before="174" w:line="300" w:lineRule="exact"/>
              <w:ind w:right="520"/>
              <w:jc w:val="center"/>
              <w:rPr>
                <w:rFonts w:ascii="宋体" w:hAnsi="宋体" w:cs="Calibri"/>
                <w:sz w:val="28"/>
                <w:szCs w:val="28"/>
              </w:rPr>
            </w:pPr>
            <w:r>
              <w:rPr>
                <w:rFonts w:hint="eastAsia" w:ascii="宋体" w:hAnsi="宋体" w:cs="Calibri"/>
                <w:sz w:val="28"/>
                <w:szCs w:val="28"/>
              </w:rPr>
              <w:t>投标人资质复印件是否收存</w:t>
            </w:r>
          </w:p>
        </w:tc>
        <w:tc>
          <w:tcPr>
            <w:tcW w:w="6560" w:type="dxa"/>
            <w:gridSpan w:val="3"/>
            <w:tcBorders>
              <w:top w:val="single" w:color="000000" w:sz="4" w:space="0"/>
              <w:left w:val="nil"/>
              <w:bottom w:val="single" w:color="000000" w:sz="4" w:space="0"/>
              <w:right w:val="single" w:color="000000" w:sz="4" w:space="0"/>
            </w:tcBorders>
            <w:vAlign w:val="center"/>
          </w:tcPr>
          <w:p>
            <w:pPr>
              <w:pStyle w:val="137"/>
              <w:spacing w:line="300" w:lineRule="exact"/>
              <w:jc w:val="center"/>
              <w:rPr>
                <w:rFonts w:ascii="宋体" w:hAnsi="宋体" w:cs="Calibri"/>
                <w:sz w:val="28"/>
                <w:szCs w:val="28"/>
              </w:rPr>
            </w:pPr>
            <w:r>
              <w:rPr>
                <w:rFonts w:hint="eastAsia" w:ascii="宋体" w:hAnsi="宋体" w:cs="Calibri"/>
                <w:sz w:val="28"/>
                <w:szCs w:val="28"/>
              </w:rPr>
              <w:t>是【      】       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37"/>
              <w:spacing w:before="174" w:line="300" w:lineRule="exact"/>
              <w:ind w:right="520"/>
              <w:jc w:val="center"/>
              <w:rPr>
                <w:rFonts w:ascii="宋体" w:hAnsi="宋体" w:cs="Calibri"/>
                <w:sz w:val="28"/>
                <w:szCs w:val="28"/>
              </w:rPr>
            </w:pPr>
            <w:r>
              <w:rPr>
                <w:rFonts w:hint="eastAsia" w:ascii="宋体" w:hAnsi="宋体" w:cs="Calibri"/>
                <w:sz w:val="28"/>
                <w:szCs w:val="28"/>
              </w:rPr>
              <w:t>授权代表姓名</w:t>
            </w:r>
          </w:p>
        </w:tc>
        <w:tc>
          <w:tcPr>
            <w:tcW w:w="6560" w:type="dxa"/>
            <w:gridSpan w:val="3"/>
            <w:tcBorders>
              <w:top w:val="single" w:color="000000" w:sz="4" w:space="0"/>
              <w:left w:val="nil"/>
              <w:bottom w:val="single" w:color="000000" w:sz="4" w:space="0"/>
              <w:right w:val="single" w:color="000000" w:sz="4" w:space="0"/>
            </w:tcBorders>
            <w:vAlign w:val="center"/>
          </w:tcPr>
          <w:p>
            <w:pPr>
              <w:pStyle w:val="137"/>
              <w:spacing w:line="30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4"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37"/>
              <w:spacing w:before="174" w:line="300" w:lineRule="exact"/>
              <w:ind w:right="520"/>
              <w:jc w:val="center"/>
              <w:rPr>
                <w:rFonts w:ascii="宋体" w:hAnsi="宋体" w:cs="Calibri"/>
                <w:sz w:val="28"/>
                <w:szCs w:val="28"/>
              </w:rPr>
            </w:pPr>
            <w:r>
              <w:rPr>
                <w:rFonts w:hint="eastAsia" w:ascii="宋体" w:hAnsi="宋体" w:cs="Calibri"/>
                <w:sz w:val="28"/>
                <w:szCs w:val="28"/>
              </w:rPr>
              <w:t>授权委托书复印件是否收存</w:t>
            </w:r>
          </w:p>
        </w:tc>
        <w:tc>
          <w:tcPr>
            <w:tcW w:w="6560" w:type="dxa"/>
            <w:gridSpan w:val="3"/>
            <w:tcBorders>
              <w:top w:val="single" w:color="000000" w:sz="4" w:space="0"/>
              <w:left w:val="nil"/>
              <w:bottom w:val="single" w:color="000000" w:sz="4" w:space="0"/>
              <w:right w:val="single" w:color="000000" w:sz="4" w:space="0"/>
            </w:tcBorders>
            <w:vAlign w:val="center"/>
          </w:tcPr>
          <w:p>
            <w:pPr>
              <w:pStyle w:val="137"/>
              <w:spacing w:line="300" w:lineRule="exact"/>
              <w:jc w:val="center"/>
              <w:rPr>
                <w:rFonts w:ascii="宋体" w:hAnsi="宋体" w:cs="Calibri"/>
                <w:sz w:val="28"/>
                <w:szCs w:val="28"/>
              </w:rPr>
            </w:pPr>
            <w:r>
              <w:rPr>
                <w:rFonts w:hint="eastAsia" w:ascii="宋体" w:hAnsi="宋体" w:cs="Calibri"/>
                <w:sz w:val="28"/>
                <w:szCs w:val="28"/>
              </w:rPr>
              <w:t>是【      】       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37"/>
              <w:spacing w:before="174" w:line="300" w:lineRule="exact"/>
              <w:ind w:right="520"/>
              <w:jc w:val="center"/>
              <w:rPr>
                <w:rFonts w:ascii="宋体" w:hAnsi="宋体" w:cs="Calibri"/>
                <w:sz w:val="28"/>
                <w:szCs w:val="28"/>
              </w:rPr>
            </w:pPr>
            <w:r>
              <w:rPr>
                <w:rFonts w:hint="eastAsia" w:ascii="宋体" w:hAnsi="宋体" w:cs="Calibri"/>
                <w:sz w:val="28"/>
                <w:szCs w:val="28"/>
              </w:rPr>
              <w:t>身份证号码</w:t>
            </w:r>
          </w:p>
        </w:tc>
        <w:tc>
          <w:tcPr>
            <w:tcW w:w="6560" w:type="dxa"/>
            <w:gridSpan w:val="3"/>
            <w:tcBorders>
              <w:top w:val="single" w:color="000000" w:sz="4" w:space="0"/>
              <w:left w:val="nil"/>
              <w:bottom w:val="single" w:color="000000" w:sz="4" w:space="0"/>
              <w:right w:val="single" w:color="000000" w:sz="4" w:space="0"/>
            </w:tcBorders>
            <w:vAlign w:val="center"/>
          </w:tcPr>
          <w:p>
            <w:pPr>
              <w:pStyle w:val="137"/>
              <w:spacing w:line="30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4"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37"/>
              <w:spacing w:before="174" w:line="300" w:lineRule="exact"/>
              <w:ind w:right="520"/>
              <w:jc w:val="center"/>
              <w:rPr>
                <w:rFonts w:ascii="宋体" w:hAnsi="宋体" w:cs="Calibri"/>
                <w:sz w:val="28"/>
                <w:szCs w:val="28"/>
              </w:rPr>
            </w:pPr>
            <w:r>
              <w:rPr>
                <w:rFonts w:hint="eastAsia" w:ascii="宋体" w:hAnsi="宋体" w:cs="Calibri"/>
                <w:sz w:val="28"/>
                <w:szCs w:val="28"/>
              </w:rPr>
              <w:t>身份证复印件是否收存</w:t>
            </w:r>
          </w:p>
        </w:tc>
        <w:tc>
          <w:tcPr>
            <w:tcW w:w="6560" w:type="dxa"/>
            <w:gridSpan w:val="3"/>
            <w:tcBorders>
              <w:top w:val="single" w:color="000000" w:sz="4" w:space="0"/>
              <w:left w:val="nil"/>
              <w:bottom w:val="single" w:color="000000" w:sz="4" w:space="0"/>
              <w:right w:val="single" w:color="000000" w:sz="4" w:space="0"/>
            </w:tcBorders>
            <w:vAlign w:val="center"/>
          </w:tcPr>
          <w:p>
            <w:pPr>
              <w:pStyle w:val="137"/>
              <w:spacing w:line="300" w:lineRule="exact"/>
              <w:jc w:val="center"/>
              <w:rPr>
                <w:rFonts w:ascii="宋体" w:hAnsi="宋体" w:cs="Calibri"/>
                <w:sz w:val="28"/>
                <w:szCs w:val="28"/>
              </w:rPr>
            </w:pPr>
            <w:r>
              <w:rPr>
                <w:rFonts w:hint="eastAsia" w:ascii="宋体" w:hAnsi="宋体" w:cs="Calibri"/>
                <w:sz w:val="28"/>
                <w:szCs w:val="28"/>
              </w:rPr>
              <w:t>是【      】       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37"/>
              <w:spacing w:before="174" w:line="300" w:lineRule="exact"/>
              <w:ind w:right="520"/>
              <w:jc w:val="center"/>
              <w:rPr>
                <w:rFonts w:ascii="宋体" w:hAnsi="宋体" w:cs="Calibri"/>
                <w:sz w:val="28"/>
                <w:szCs w:val="28"/>
              </w:rPr>
            </w:pPr>
            <w:r>
              <w:rPr>
                <w:rFonts w:hint="eastAsia" w:ascii="宋体" w:hAnsi="宋体" w:cs="Calibri"/>
                <w:sz w:val="28"/>
                <w:szCs w:val="28"/>
              </w:rPr>
              <w:t>联系电话</w:t>
            </w:r>
          </w:p>
        </w:tc>
        <w:tc>
          <w:tcPr>
            <w:tcW w:w="6560" w:type="dxa"/>
            <w:gridSpan w:val="3"/>
            <w:tcBorders>
              <w:top w:val="single" w:color="000000" w:sz="4" w:space="0"/>
              <w:left w:val="nil"/>
              <w:bottom w:val="single" w:color="000000" w:sz="4" w:space="0"/>
              <w:right w:val="single" w:color="000000" w:sz="4" w:space="0"/>
            </w:tcBorders>
            <w:vAlign w:val="center"/>
          </w:tcPr>
          <w:p>
            <w:pPr>
              <w:pStyle w:val="137"/>
              <w:spacing w:line="30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13" w:hRule="atLeast"/>
        </w:trPr>
        <w:tc>
          <w:tcPr>
            <w:tcW w:w="9298" w:type="dxa"/>
            <w:gridSpan w:val="4"/>
            <w:tcBorders>
              <w:top w:val="single" w:color="000000" w:sz="4" w:space="0"/>
              <w:left w:val="single" w:color="000000" w:sz="4" w:space="0"/>
              <w:bottom w:val="single" w:color="000000" w:sz="4" w:space="0"/>
              <w:right w:val="single" w:color="000000" w:sz="4" w:space="0"/>
            </w:tcBorders>
          </w:tcPr>
          <w:p>
            <w:pPr>
              <w:pStyle w:val="137"/>
              <w:spacing w:before="88" w:line="460" w:lineRule="exact"/>
              <w:ind w:left="108"/>
              <w:rPr>
                <w:rFonts w:ascii="宋体" w:hAnsi="宋体" w:cs="Calibri"/>
                <w:sz w:val="28"/>
                <w:szCs w:val="28"/>
              </w:rPr>
            </w:pPr>
            <w:r>
              <w:rPr>
                <w:rFonts w:hint="eastAsia" w:ascii="宋体" w:hAnsi="宋体" w:cs="Calibri"/>
                <w:sz w:val="28"/>
                <w:szCs w:val="28"/>
              </w:rPr>
              <w:t>踏勘情况：</w:t>
            </w:r>
          </w:p>
          <w:p>
            <w:pPr>
              <w:pStyle w:val="137"/>
              <w:spacing w:line="460" w:lineRule="exact"/>
              <w:rPr>
                <w:rFonts w:ascii="宋体" w:hAnsi="宋体" w:cs="Calibri"/>
                <w:b/>
                <w:bCs/>
                <w:sz w:val="28"/>
                <w:szCs w:val="28"/>
              </w:rPr>
            </w:pPr>
          </w:p>
          <w:p>
            <w:pPr>
              <w:pStyle w:val="137"/>
              <w:spacing w:line="460" w:lineRule="exact"/>
              <w:rPr>
                <w:rFonts w:ascii="宋体" w:hAnsi="宋体" w:cs="Calibri"/>
                <w:b/>
                <w:bCs/>
                <w:sz w:val="28"/>
                <w:szCs w:val="28"/>
              </w:rPr>
            </w:pPr>
          </w:p>
          <w:p>
            <w:pPr>
              <w:pStyle w:val="137"/>
              <w:spacing w:line="460" w:lineRule="exact"/>
              <w:rPr>
                <w:rFonts w:ascii="宋体" w:hAnsi="宋体" w:cs="Calibri"/>
                <w:sz w:val="28"/>
                <w:szCs w:val="28"/>
              </w:rPr>
            </w:pPr>
          </w:p>
          <w:p>
            <w:pPr>
              <w:pStyle w:val="137"/>
              <w:spacing w:line="460" w:lineRule="exact"/>
              <w:ind w:left="108"/>
              <w:rPr>
                <w:rFonts w:ascii="宋体" w:hAnsi="宋体" w:cs="Calibri"/>
                <w:sz w:val="28"/>
                <w:szCs w:val="28"/>
              </w:rPr>
            </w:pPr>
          </w:p>
          <w:p>
            <w:pPr>
              <w:pStyle w:val="137"/>
              <w:spacing w:line="460" w:lineRule="exact"/>
              <w:ind w:left="108"/>
              <w:rPr>
                <w:rFonts w:ascii="宋体" w:hAnsi="宋体" w:cs="Calibri"/>
                <w:sz w:val="28"/>
                <w:szCs w:val="28"/>
              </w:rPr>
            </w:pPr>
          </w:p>
          <w:p>
            <w:pPr>
              <w:pStyle w:val="137"/>
              <w:spacing w:line="460" w:lineRule="exact"/>
              <w:ind w:left="108"/>
              <w:rPr>
                <w:rFonts w:ascii="宋体" w:hAnsi="宋体" w:cs="Calibri"/>
                <w:sz w:val="28"/>
                <w:szCs w:val="28"/>
              </w:rPr>
            </w:pPr>
            <w:r>
              <w:rPr>
                <w:rFonts w:hint="eastAsia" w:ascii="宋体" w:hAnsi="宋体" w:cs="Calibri"/>
                <w:sz w:val="28"/>
                <w:szCs w:val="28"/>
              </w:rPr>
              <w:t>招标人现场踏勘验证人签字并加盖相关公章：</w:t>
            </w:r>
          </w:p>
        </w:tc>
      </w:tr>
    </w:tbl>
    <w:p>
      <w:pPr>
        <w:pStyle w:val="17"/>
        <w:spacing w:line="480" w:lineRule="exact"/>
        <w:ind w:firstLine="560"/>
      </w:pPr>
      <w:r>
        <w:rPr>
          <w:rFonts w:hint="eastAsia" w:ascii="宋体" w:hAnsi="宋体"/>
          <w:sz w:val="28"/>
          <w:szCs w:val="28"/>
        </w:rPr>
        <w:t>注：参与现场踏勘的投标人代表，需携带此表，由招标人代表签字确认。并且将此《现场踏勘证明书》原件附到投标文件正本中（副本中放置复印件），否则视为无效投标。</w:t>
      </w:r>
    </w:p>
    <w:p>
      <w:pPr>
        <w:pStyle w:val="27"/>
        <w:adjustRightInd w:val="0"/>
        <w:snapToGrid w:val="0"/>
        <w:spacing w:line="300" w:lineRule="auto"/>
        <w:rPr>
          <w:rFonts w:hAnsi="宋体" w:cs="宋体"/>
          <w:b/>
          <w:bCs/>
          <w:sz w:val="24"/>
          <w:szCs w:val="24"/>
        </w:rPr>
      </w:pPr>
    </w:p>
    <w:p>
      <w:pPr>
        <w:pStyle w:val="27"/>
        <w:adjustRightInd w:val="0"/>
        <w:snapToGrid w:val="0"/>
        <w:spacing w:line="300" w:lineRule="auto"/>
        <w:rPr>
          <w:rFonts w:hAnsi="宋体" w:cs="宋体"/>
          <w:b/>
          <w:bCs/>
          <w:sz w:val="24"/>
          <w:szCs w:val="24"/>
        </w:rPr>
      </w:pPr>
    </w:p>
    <w:p>
      <w:pPr>
        <w:pStyle w:val="27"/>
        <w:adjustRightInd w:val="0"/>
        <w:snapToGrid w:val="0"/>
        <w:spacing w:line="300" w:lineRule="auto"/>
        <w:jc w:val="center"/>
        <w:rPr>
          <w:rFonts w:hAnsi="宋体" w:cs="宋体"/>
          <w:b/>
          <w:bCs/>
          <w:sz w:val="32"/>
        </w:rPr>
      </w:pPr>
      <w:r>
        <w:rPr>
          <w:rFonts w:hint="eastAsia" w:hAnsi="宋体" w:cs="宋体"/>
          <w:b/>
          <w:bCs/>
          <w:sz w:val="24"/>
          <w:szCs w:val="24"/>
        </w:rPr>
        <w:br w:type="page"/>
      </w:r>
      <w:r>
        <w:rPr>
          <w:rFonts w:hint="eastAsia" w:hAnsi="宋体" w:cs="宋体"/>
          <w:b/>
          <w:sz w:val="32"/>
          <w:szCs w:val="32"/>
          <w:lang w:val="en-US" w:eastAsia="zh-CN"/>
        </w:rPr>
        <w:t>二</w:t>
      </w:r>
      <w:r>
        <w:rPr>
          <w:rFonts w:hint="eastAsia" w:hAnsi="宋体" w:cs="宋体"/>
          <w:b/>
          <w:sz w:val="32"/>
          <w:szCs w:val="32"/>
        </w:rPr>
        <w:t>、综合评分时投标人需提供的文件</w:t>
      </w:r>
    </w:p>
    <w:p>
      <w:pPr>
        <w:adjustRightInd w:val="0"/>
        <w:snapToGrid w:val="0"/>
        <w:spacing w:line="360" w:lineRule="auto"/>
        <w:ind w:firstLine="437"/>
        <w:rPr>
          <w:rFonts w:ascii="宋体" w:hAnsi="宋体" w:cs="宋体"/>
          <w:sz w:val="24"/>
        </w:rPr>
      </w:pPr>
      <w:r>
        <w:rPr>
          <w:rFonts w:hint="eastAsia" w:ascii="宋体" w:hAnsi="宋体" w:cs="宋体"/>
          <w:sz w:val="24"/>
        </w:rPr>
        <w:t>投标人根据招标文件第</w:t>
      </w:r>
      <w:r>
        <w:rPr>
          <w:rFonts w:hint="eastAsia" w:ascii="宋体" w:hAnsi="宋体" w:cs="宋体"/>
          <w:sz w:val="24"/>
          <w:lang w:val="en-US" w:eastAsia="zh-CN"/>
        </w:rPr>
        <w:t>五</w:t>
      </w:r>
      <w:r>
        <w:rPr>
          <w:rFonts w:hint="eastAsia" w:ascii="宋体" w:hAnsi="宋体" w:cs="宋体"/>
          <w:sz w:val="24"/>
        </w:rPr>
        <w:t>章评标标准的要求提供相关材料，其中，相关材料格式和要求详见附件</w:t>
      </w:r>
      <w:r>
        <w:rPr>
          <w:rFonts w:hint="eastAsia" w:hAnsi="宋体" w:cs="宋体"/>
          <w:sz w:val="24"/>
        </w:rPr>
        <w:t>。</w:t>
      </w:r>
    </w:p>
    <w:p>
      <w:pPr>
        <w:snapToGrid w:val="0"/>
        <w:spacing w:afterLines="50"/>
        <w:jc w:val="center"/>
        <w:rPr>
          <w:rFonts w:ascii="仿宋_GB2312" w:hAnsi="宋体" w:eastAsia="仿宋_GB2312"/>
          <w:b/>
          <w:sz w:val="28"/>
          <w:szCs w:val="28"/>
        </w:rPr>
      </w:pPr>
      <w:r>
        <w:rPr>
          <w:rFonts w:hint="eastAsia" w:ascii="仿宋_GB2312" w:hAnsi="宋体" w:eastAsia="仿宋_GB2312"/>
          <w:b/>
          <w:sz w:val="28"/>
          <w:szCs w:val="28"/>
        </w:rPr>
        <w:t>评分材料索引表（样件）</w:t>
      </w:r>
    </w:p>
    <w:tbl>
      <w:tblPr>
        <w:tblStyle w:val="54"/>
        <w:tblW w:w="83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6"/>
        <w:gridCol w:w="5459"/>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vAlign w:val="center"/>
          </w:tcPr>
          <w:p>
            <w:pPr>
              <w:spacing w:line="240" w:lineRule="atLeast"/>
              <w:jc w:val="center"/>
              <w:rPr>
                <w:rFonts w:ascii="仿宋_GB2312" w:hAnsi="宋体" w:eastAsia="仿宋_GB2312"/>
                <w:sz w:val="24"/>
              </w:rPr>
            </w:pPr>
            <w:r>
              <w:rPr>
                <w:rFonts w:hint="eastAsia" w:ascii="仿宋_GB2312" w:hAnsi="宋体" w:eastAsia="仿宋_GB2312"/>
                <w:sz w:val="24"/>
              </w:rPr>
              <w:t>材料类别</w:t>
            </w:r>
          </w:p>
        </w:tc>
        <w:tc>
          <w:tcPr>
            <w:tcW w:w="5475" w:type="dxa"/>
            <w:gridSpan w:val="2"/>
            <w:vAlign w:val="center"/>
          </w:tcPr>
          <w:p>
            <w:pPr>
              <w:spacing w:line="240" w:lineRule="atLeast"/>
              <w:jc w:val="center"/>
              <w:rPr>
                <w:rFonts w:ascii="仿宋_GB2312" w:hAnsi="宋体" w:eastAsia="仿宋_GB2312"/>
                <w:sz w:val="24"/>
              </w:rPr>
            </w:pPr>
            <w:r>
              <w:rPr>
                <w:rFonts w:hint="eastAsia" w:ascii="仿宋_GB2312" w:hAnsi="宋体" w:eastAsia="仿宋_GB2312"/>
                <w:sz w:val="24"/>
              </w:rPr>
              <w:t>对应评审标准提供的材料名称</w:t>
            </w:r>
          </w:p>
        </w:tc>
        <w:tc>
          <w:tcPr>
            <w:tcW w:w="1197" w:type="dxa"/>
            <w:vAlign w:val="center"/>
          </w:tcPr>
          <w:p>
            <w:pPr>
              <w:spacing w:line="240" w:lineRule="atLeast"/>
              <w:jc w:val="center"/>
              <w:rPr>
                <w:rFonts w:ascii="仿宋_GB2312" w:hAnsi="宋体" w:eastAsia="仿宋_GB2312"/>
                <w:sz w:val="24"/>
              </w:rPr>
            </w:pPr>
            <w:r>
              <w:rPr>
                <w:rFonts w:hint="eastAsia" w:ascii="仿宋_GB2312" w:hAnsi="宋体" w:eastAsia="仿宋_GB2312"/>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718" w:type="dxa"/>
            <w:gridSpan w:val="2"/>
            <w:vMerge w:val="restart"/>
            <w:vAlign w:val="center"/>
          </w:tcPr>
          <w:p>
            <w:pPr>
              <w:spacing w:line="240" w:lineRule="atLeast"/>
              <w:jc w:val="center"/>
              <w:rPr>
                <w:rFonts w:ascii="仿宋_GB2312" w:hAnsi="宋体" w:eastAsia="仿宋_GB2312"/>
                <w:sz w:val="24"/>
              </w:rPr>
            </w:pPr>
            <w:r>
              <w:rPr>
                <w:rFonts w:hint="eastAsia" w:asciiTheme="minorEastAsia" w:hAnsiTheme="minorEastAsia"/>
              </w:rPr>
              <w:t>投入报价</w:t>
            </w:r>
          </w:p>
        </w:tc>
        <w:tc>
          <w:tcPr>
            <w:tcW w:w="5459" w:type="dxa"/>
            <w:vAlign w:val="center"/>
          </w:tcPr>
          <w:p>
            <w:pPr>
              <w:spacing w:line="240" w:lineRule="atLeast"/>
              <w:rPr>
                <w:rFonts w:ascii="仿宋_GB2312" w:hAnsi="宋体" w:eastAsia="仿宋_GB2312"/>
                <w:sz w:val="24"/>
              </w:rPr>
            </w:pPr>
          </w:p>
        </w:tc>
        <w:tc>
          <w:tcPr>
            <w:tcW w:w="1197" w:type="dxa"/>
            <w:vAlign w:val="center"/>
          </w:tcPr>
          <w:p>
            <w:pPr>
              <w:spacing w:line="240" w:lineRule="atLeas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718" w:type="dxa"/>
            <w:gridSpan w:val="2"/>
            <w:vMerge w:val="continue"/>
            <w:vAlign w:val="center"/>
          </w:tcPr>
          <w:p>
            <w:pPr>
              <w:spacing w:line="240" w:lineRule="atLeast"/>
              <w:jc w:val="center"/>
              <w:rPr>
                <w:rFonts w:ascii="仿宋_GB2312" w:hAnsi="宋体" w:eastAsia="仿宋_GB2312"/>
                <w:sz w:val="24"/>
              </w:rPr>
            </w:pPr>
          </w:p>
        </w:tc>
        <w:tc>
          <w:tcPr>
            <w:tcW w:w="5459" w:type="dxa"/>
            <w:vAlign w:val="center"/>
          </w:tcPr>
          <w:p>
            <w:pPr>
              <w:spacing w:line="240" w:lineRule="atLeast"/>
              <w:rPr>
                <w:rFonts w:ascii="仿宋_GB2312" w:hAnsi="宋体" w:eastAsia="仿宋_GB2312"/>
                <w:sz w:val="24"/>
              </w:rPr>
            </w:pPr>
          </w:p>
        </w:tc>
        <w:tc>
          <w:tcPr>
            <w:tcW w:w="1197" w:type="dxa"/>
            <w:vAlign w:val="center"/>
          </w:tcPr>
          <w:p>
            <w:pPr>
              <w:spacing w:line="240" w:lineRule="atLeas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718" w:type="dxa"/>
            <w:gridSpan w:val="2"/>
            <w:vMerge w:val="restart"/>
            <w:vAlign w:val="center"/>
          </w:tcPr>
          <w:p>
            <w:pPr>
              <w:spacing w:line="240" w:lineRule="atLeast"/>
              <w:jc w:val="center"/>
              <w:rPr>
                <w:rFonts w:hint="eastAsia" w:asciiTheme="minorEastAsia" w:hAnsiTheme="minorEastAsia"/>
              </w:rPr>
            </w:pPr>
            <w:r>
              <w:rPr>
                <w:rFonts w:hint="eastAsia" w:asciiTheme="minorEastAsia" w:hAnsiTheme="minorEastAsia"/>
                <w:lang w:val="en-US" w:eastAsia="zh-CN"/>
              </w:rPr>
              <w:t>体系</w:t>
            </w:r>
            <w:r>
              <w:rPr>
                <w:rFonts w:hint="eastAsia" w:asciiTheme="minorEastAsia" w:hAnsiTheme="minorEastAsia"/>
              </w:rPr>
              <w:t>认证</w:t>
            </w:r>
          </w:p>
          <w:p>
            <w:pPr>
              <w:spacing w:line="240" w:lineRule="atLeast"/>
              <w:jc w:val="center"/>
              <w:rPr>
                <w:rFonts w:ascii="仿宋_GB2312" w:hAnsi="宋体" w:eastAsia="仿宋_GB2312"/>
                <w:sz w:val="24"/>
              </w:rPr>
            </w:pPr>
            <w:r>
              <w:rPr>
                <w:rFonts w:hint="eastAsia" w:asciiTheme="minorEastAsia" w:hAnsiTheme="minorEastAsia"/>
              </w:rPr>
              <w:t>保险保障</w:t>
            </w:r>
          </w:p>
        </w:tc>
        <w:tc>
          <w:tcPr>
            <w:tcW w:w="5459" w:type="dxa"/>
            <w:vAlign w:val="center"/>
          </w:tcPr>
          <w:p>
            <w:pPr>
              <w:spacing w:line="240" w:lineRule="atLeast"/>
              <w:jc w:val="left"/>
              <w:rPr>
                <w:rFonts w:ascii="仿宋_GB2312" w:hAnsi="宋体" w:eastAsia="仿宋_GB2312"/>
                <w:sz w:val="24"/>
              </w:rPr>
            </w:pPr>
          </w:p>
        </w:tc>
        <w:tc>
          <w:tcPr>
            <w:tcW w:w="1197" w:type="dxa"/>
            <w:vAlign w:val="center"/>
          </w:tcPr>
          <w:p>
            <w:pPr>
              <w:spacing w:line="240" w:lineRule="atLeas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718" w:type="dxa"/>
            <w:gridSpan w:val="2"/>
            <w:vMerge w:val="continue"/>
            <w:vAlign w:val="center"/>
          </w:tcPr>
          <w:p>
            <w:pPr>
              <w:spacing w:line="240" w:lineRule="atLeast"/>
              <w:jc w:val="center"/>
              <w:rPr>
                <w:rFonts w:ascii="仿宋_GB2312" w:eastAsia="仿宋_GB2312"/>
                <w:sz w:val="24"/>
              </w:rPr>
            </w:pPr>
          </w:p>
        </w:tc>
        <w:tc>
          <w:tcPr>
            <w:tcW w:w="5459" w:type="dxa"/>
            <w:vAlign w:val="center"/>
          </w:tcPr>
          <w:p>
            <w:pPr>
              <w:spacing w:line="240" w:lineRule="atLeast"/>
              <w:jc w:val="left"/>
              <w:rPr>
                <w:rFonts w:ascii="仿宋_GB2312" w:hAnsi="宋体" w:eastAsia="仿宋_GB2312" w:cs="宋体"/>
                <w:bCs/>
                <w:snapToGrid w:val="0"/>
                <w:kern w:val="0"/>
                <w:sz w:val="24"/>
              </w:rPr>
            </w:pPr>
          </w:p>
        </w:tc>
        <w:tc>
          <w:tcPr>
            <w:tcW w:w="1197" w:type="dxa"/>
            <w:vAlign w:val="center"/>
          </w:tcPr>
          <w:p>
            <w:pPr>
              <w:spacing w:line="240" w:lineRule="atLeas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718" w:type="dxa"/>
            <w:gridSpan w:val="2"/>
            <w:vMerge w:val="continue"/>
            <w:vAlign w:val="center"/>
          </w:tcPr>
          <w:p>
            <w:pPr>
              <w:spacing w:line="240" w:lineRule="atLeast"/>
              <w:jc w:val="center"/>
              <w:rPr>
                <w:rFonts w:ascii="仿宋_GB2312" w:eastAsia="仿宋_GB2312"/>
                <w:sz w:val="24"/>
              </w:rPr>
            </w:pPr>
          </w:p>
        </w:tc>
        <w:tc>
          <w:tcPr>
            <w:tcW w:w="5459" w:type="dxa"/>
            <w:vAlign w:val="center"/>
          </w:tcPr>
          <w:p>
            <w:pPr>
              <w:spacing w:line="240" w:lineRule="atLeast"/>
              <w:jc w:val="left"/>
              <w:rPr>
                <w:rFonts w:ascii="仿宋_GB2312" w:hAnsi="宋体" w:eastAsia="仿宋_GB2312" w:cs="宋体"/>
                <w:bCs/>
                <w:snapToGrid w:val="0"/>
                <w:kern w:val="0"/>
                <w:sz w:val="24"/>
              </w:rPr>
            </w:pPr>
          </w:p>
        </w:tc>
        <w:tc>
          <w:tcPr>
            <w:tcW w:w="1197" w:type="dxa"/>
            <w:vAlign w:val="center"/>
          </w:tcPr>
          <w:p>
            <w:pPr>
              <w:spacing w:line="240" w:lineRule="atLeas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718" w:type="dxa"/>
            <w:gridSpan w:val="2"/>
            <w:vMerge w:val="continue"/>
            <w:vAlign w:val="center"/>
          </w:tcPr>
          <w:p>
            <w:pPr>
              <w:spacing w:line="240" w:lineRule="atLeast"/>
              <w:jc w:val="center"/>
              <w:rPr>
                <w:rFonts w:ascii="仿宋_GB2312" w:eastAsia="仿宋_GB2312"/>
                <w:sz w:val="24"/>
              </w:rPr>
            </w:pPr>
          </w:p>
        </w:tc>
        <w:tc>
          <w:tcPr>
            <w:tcW w:w="5459" w:type="dxa"/>
            <w:vAlign w:val="center"/>
          </w:tcPr>
          <w:p>
            <w:pPr>
              <w:spacing w:line="240" w:lineRule="atLeast"/>
              <w:jc w:val="left"/>
              <w:rPr>
                <w:rFonts w:ascii="仿宋_GB2312" w:hAnsi="宋体" w:eastAsia="仿宋_GB2312" w:cs="宋体"/>
                <w:bCs/>
                <w:snapToGrid w:val="0"/>
                <w:kern w:val="0"/>
                <w:sz w:val="24"/>
              </w:rPr>
            </w:pPr>
          </w:p>
        </w:tc>
        <w:tc>
          <w:tcPr>
            <w:tcW w:w="1197" w:type="dxa"/>
            <w:vAlign w:val="center"/>
          </w:tcPr>
          <w:p>
            <w:pPr>
              <w:spacing w:line="240" w:lineRule="atLeas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718" w:type="dxa"/>
            <w:gridSpan w:val="2"/>
            <w:vMerge w:val="restart"/>
            <w:vAlign w:val="center"/>
          </w:tcPr>
          <w:p>
            <w:pPr>
              <w:spacing w:line="240" w:lineRule="atLeast"/>
              <w:jc w:val="center"/>
              <w:rPr>
                <w:rFonts w:ascii="仿宋_GB2312" w:hAnsi="宋体" w:eastAsia="仿宋_GB2312"/>
                <w:sz w:val="24"/>
              </w:rPr>
            </w:pPr>
            <w:r>
              <w:rPr>
                <w:rFonts w:hint="eastAsia" w:asciiTheme="minorEastAsia" w:hAnsiTheme="minorEastAsia"/>
              </w:rPr>
              <w:t>经营业绩</w:t>
            </w:r>
          </w:p>
        </w:tc>
        <w:tc>
          <w:tcPr>
            <w:tcW w:w="5459" w:type="dxa"/>
            <w:vAlign w:val="center"/>
          </w:tcPr>
          <w:p>
            <w:pPr>
              <w:spacing w:line="240" w:lineRule="atLeast"/>
              <w:jc w:val="left"/>
              <w:rPr>
                <w:rFonts w:ascii="仿宋_GB2312" w:hAnsi="宋体" w:eastAsia="仿宋_GB2312"/>
                <w:sz w:val="24"/>
              </w:rPr>
            </w:pPr>
          </w:p>
        </w:tc>
        <w:tc>
          <w:tcPr>
            <w:tcW w:w="1197" w:type="dxa"/>
            <w:vAlign w:val="center"/>
          </w:tcPr>
          <w:p>
            <w:pPr>
              <w:spacing w:line="240" w:lineRule="atLeas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718" w:type="dxa"/>
            <w:gridSpan w:val="2"/>
            <w:vMerge w:val="continue"/>
            <w:vAlign w:val="center"/>
          </w:tcPr>
          <w:p>
            <w:pPr>
              <w:spacing w:line="240" w:lineRule="atLeast"/>
              <w:jc w:val="center"/>
              <w:rPr>
                <w:rFonts w:ascii="仿宋_GB2312" w:hAnsi="宋体" w:eastAsia="仿宋_GB2312"/>
                <w:sz w:val="24"/>
              </w:rPr>
            </w:pPr>
          </w:p>
        </w:tc>
        <w:tc>
          <w:tcPr>
            <w:tcW w:w="5459" w:type="dxa"/>
            <w:vAlign w:val="center"/>
          </w:tcPr>
          <w:p>
            <w:pPr>
              <w:spacing w:line="240" w:lineRule="atLeast"/>
              <w:jc w:val="left"/>
              <w:rPr>
                <w:rFonts w:ascii="仿宋_GB2312" w:hAnsi="宋体" w:eastAsia="仿宋_GB2312"/>
                <w:sz w:val="24"/>
              </w:rPr>
            </w:pPr>
          </w:p>
        </w:tc>
        <w:tc>
          <w:tcPr>
            <w:tcW w:w="1197" w:type="dxa"/>
            <w:vAlign w:val="center"/>
          </w:tcPr>
          <w:p>
            <w:pPr>
              <w:spacing w:line="240" w:lineRule="atLeas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718" w:type="dxa"/>
            <w:gridSpan w:val="2"/>
            <w:vMerge w:val="continue"/>
            <w:vAlign w:val="center"/>
          </w:tcPr>
          <w:p>
            <w:pPr>
              <w:spacing w:line="240" w:lineRule="atLeast"/>
              <w:jc w:val="center"/>
              <w:rPr>
                <w:rFonts w:ascii="仿宋_GB2312" w:hAnsi="宋体" w:eastAsia="仿宋_GB2312"/>
                <w:sz w:val="24"/>
              </w:rPr>
            </w:pPr>
          </w:p>
        </w:tc>
        <w:tc>
          <w:tcPr>
            <w:tcW w:w="5459" w:type="dxa"/>
            <w:vAlign w:val="center"/>
          </w:tcPr>
          <w:p>
            <w:pPr>
              <w:spacing w:line="240" w:lineRule="atLeast"/>
              <w:jc w:val="left"/>
              <w:rPr>
                <w:rFonts w:ascii="仿宋_GB2312" w:hAnsi="宋体" w:eastAsia="仿宋_GB2312"/>
                <w:sz w:val="24"/>
              </w:rPr>
            </w:pPr>
          </w:p>
        </w:tc>
        <w:tc>
          <w:tcPr>
            <w:tcW w:w="1197" w:type="dxa"/>
            <w:vAlign w:val="center"/>
          </w:tcPr>
          <w:p>
            <w:pPr>
              <w:spacing w:line="240" w:lineRule="atLeas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718" w:type="dxa"/>
            <w:gridSpan w:val="2"/>
            <w:vMerge w:val="continue"/>
            <w:vAlign w:val="center"/>
          </w:tcPr>
          <w:p>
            <w:pPr>
              <w:spacing w:line="240" w:lineRule="atLeast"/>
              <w:jc w:val="center"/>
              <w:rPr>
                <w:rFonts w:ascii="仿宋_GB2312" w:hAnsi="宋体" w:eastAsia="仿宋_GB2312"/>
                <w:sz w:val="24"/>
              </w:rPr>
            </w:pPr>
          </w:p>
        </w:tc>
        <w:tc>
          <w:tcPr>
            <w:tcW w:w="5459" w:type="dxa"/>
            <w:vAlign w:val="center"/>
          </w:tcPr>
          <w:p>
            <w:pPr>
              <w:spacing w:line="240" w:lineRule="atLeast"/>
              <w:jc w:val="left"/>
              <w:rPr>
                <w:rFonts w:ascii="仿宋_GB2312" w:hAnsi="宋体" w:eastAsia="仿宋_GB2312"/>
                <w:sz w:val="24"/>
              </w:rPr>
            </w:pPr>
          </w:p>
        </w:tc>
        <w:tc>
          <w:tcPr>
            <w:tcW w:w="1197" w:type="dxa"/>
            <w:vAlign w:val="center"/>
          </w:tcPr>
          <w:p>
            <w:pPr>
              <w:spacing w:line="240" w:lineRule="atLeas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718" w:type="dxa"/>
            <w:gridSpan w:val="2"/>
            <w:vMerge w:val="continue"/>
            <w:vAlign w:val="center"/>
          </w:tcPr>
          <w:p>
            <w:pPr>
              <w:spacing w:line="240" w:lineRule="atLeast"/>
              <w:jc w:val="center"/>
              <w:rPr>
                <w:rFonts w:ascii="仿宋_GB2312" w:hAnsi="宋体" w:eastAsia="仿宋_GB2312"/>
                <w:sz w:val="24"/>
              </w:rPr>
            </w:pPr>
          </w:p>
        </w:tc>
        <w:tc>
          <w:tcPr>
            <w:tcW w:w="5459" w:type="dxa"/>
            <w:vAlign w:val="center"/>
          </w:tcPr>
          <w:p>
            <w:pPr>
              <w:spacing w:line="240" w:lineRule="atLeast"/>
              <w:jc w:val="left"/>
              <w:rPr>
                <w:rFonts w:ascii="仿宋_GB2312" w:hAnsi="宋体" w:eastAsia="仿宋_GB2312"/>
                <w:sz w:val="24"/>
              </w:rPr>
            </w:pPr>
          </w:p>
        </w:tc>
        <w:tc>
          <w:tcPr>
            <w:tcW w:w="1197" w:type="dxa"/>
            <w:vAlign w:val="center"/>
          </w:tcPr>
          <w:p>
            <w:pPr>
              <w:spacing w:line="240" w:lineRule="atLeas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718" w:type="dxa"/>
            <w:gridSpan w:val="2"/>
            <w:vMerge w:val="restart"/>
            <w:vAlign w:val="center"/>
          </w:tcPr>
          <w:p>
            <w:pPr>
              <w:spacing w:line="240" w:lineRule="atLeast"/>
              <w:jc w:val="center"/>
              <w:rPr>
                <w:rFonts w:ascii="仿宋_GB2312" w:hAnsi="宋体" w:eastAsia="仿宋_GB2312"/>
                <w:sz w:val="24"/>
              </w:rPr>
            </w:pPr>
            <w:r>
              <w:rPr>
                <w:rFonts w:hint="eastAsia" w:asciiTheme="minorEastAsia" w:hAnsiTheme="minorEastAsia"/>
              </w:rPr>
              <w:t>人员配备</w:t>
            </w:r>
          </w:p>
        </w:tc>
        <w:tc>
          <w:tcPr>
            <w:tcW w:w="5459" w:type="dxa"/>
            <w:vAlign w:val="center"/>
          </w:tcPr>
          <w:p>
            <w:pPr>
              <w:spacing w:line="240" w:lineRule="atLeast"/>
              <w:jc w:val="left"/>
              <w:rPr>
                <w:rFonts w:ascii="仿宋_GB2312" w:hAnsi="宋体" w:eastAsia="仿宋_GB2312"/>
                <w:sz w:val="24"/>
              </w:rPr>
            </w:pPr>
          </w:p>
        </w:tc>
        <w:tc>
          <w:tcPr>
            <w:tcW w:w="1197" w:type="dxa"/>
            <w:vAlign w:val="center"/>
          </w:tcPr>
          <w:p>
            <w:pPr>
              <w:spacing w:line="240" w:lineRule="atLeas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718" w:type="dxa"/>
            <w:gridSpan w:val="2"/>
            <w:vMerge w:val="continue"/>
            <w:vAlign w:val="center"/>
          </w:tcPr>
          <w:p>
            <w:pPr>
              <w:spacing w:line="240" w:lineRule="atLeast"/>
              <w:jc w:val="left"/>
              <w:rPr>
                <w:rFonts w:ascii="仿宋_GB2312" w:hAnsi="华文仿宋" w:eastAsia="仿宋_GB2312" w:cs="宋体"/>
                <w:snapToGrid w:val="0"/>
                <w:spacing w:val="4"/>
                <w:kern w:val="0"/>
                <w:sz w:val="24"/>
              </w:rPr>
            </w:pPr>
          </w:p>
        </w:tc>
        <w:tc>
          <w:tcPr>
            <w:tcW w:w="5459" w:type="dxa"/>
            <w:vAlign w:val="center"/>
          </w:tcPr>
          <w:p>
            <w:pPr>
              <w:spacing w:line="240" w:lineRule="atLeast"/>
              <w:jc w:val="left"/>
              <w:rPr>
                <w:rFonts w:ascii="仿宋_GB2312" w:hAnsi="华文仿宋" w:eastAsia="仿宋_GB2312" w:cs="宋体"/>
                <w:snapToGrid w:val="0"/>
                <w:spacing w:val="4"/>
                <w:kern w:val="0"/>
                <w:sz w:val="24"/>
              </w:rPr>
            </w:pPr>
          </w:p>
        </w:tc>
        <w:tc>
          <w:tcPr>
            <w:tcW w:w="1197" w:type="dxa"/>
            <w:vAlign w:val="center"/>
          </w:tcPr>
          <w:p>
            <w:pPr>
              <w:spacing w:line="240" w:lineRule="atLeas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718" w:type="dxa"/>
            <w:gridSpan w:val="2"/>
            <w:vMerge w:val="continue"/>
            <w:vAlign w:val="center"/>
          </w:tcPr>
          <w:p>
            <w:pPr>
              <w:spacing w:line="240" w:lineRule="atLeast"/>
              <w:jc w:val="left"/>
              <w:rPr>
                <w:rFonts w:ascii="仿宋_GB2312" w:hAnsi="华文仿宋" w:eastAsia="仿宋_GB2312" w:cs="宋体"/>
                <w:snapToGrid w:val="0"/>
                <w:spacing w:val="4"/>
                <w:kern w:val="0"/>
                <w:sz w:val="24"/>
              </w:rPr>
            </w:pPr>
          </w:p>
        </w:tc>
        <w:tc>
          <w:tcPr>
            <w:tcW w:w="5459" w:type="dxa"/>
            <w:vAlign w:val="center"/>
          </w:tcPr>
          <w:p>
            <w:pPr>
              <w:spacing w:line="240" w:lineRule="atLeast"/>
              <w:jc w:val="left"/>
              <w:rPr>
                <w:rFonts w:ascii="仿宋_GB2312" w:hAnsi="华文仿宋" w:eastAsia="仿宋_GB2312" w:cs="宋体"/>
                <w:snapToGrid w:val="0"/>
                <w:spacing w:val="4"/>
                <w:kern w:val="0"/>
                <w:sz w:val="24"/>
              </w:rPr>
            </w:pPr>
          </w:p>
        </w:tc>
        <w:tc>
          <w:tcPr>
            <w:tcW w:w="1197" w:type="dxa"/>
            <w:vAlign w:val="center"/>
          </w:tcPr>
          <w:p>
            <w:pPr>
              <w:spacing w:line="240" w:lineRule="atLeas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718" w:type="dxa"/>
            <w:gridSpan w:val="2"/>
            <w:vMerge w:val="continue"/>
            <w:vAlign w:val="center"/>
          </w:tcPr>
          <w:p>
            <w:pPr>
              <w:spacing w:line="240" w:lineRule="atLeast"/>
              <w:jc w:val="left"/>
              <w:rPr>
                <w:rFonts w:ascii="仿宋_GB2312" w:hAnsi="华文仿宋" w:eastAsia="仿宋_GB2312" w:cs="宋体"/>
                <w:snapToGrid w:val="0"/>
                <w:spacing w:val="4"/>
                <w:kern w:val="0"/>
                <w:sz w:val="24"/>
              </w:rPr>
            </w:pPr>
          </w:p>
        </w:tc>
        <w:tc>
          <w:tcPr>
            <w:tcW w:w="5459" w:type="dxa"/>
            <w:vAlign w:val="center"/>
          </w:tcPr>
          <w:p>
            <w:pPr>
              <w:spacing w:line="240" w:lineRule="atLeast"/>
              <w:jc w:val="left"/>
              <w:rPr>
                <w:rFonts w:ascii="仿宋_GB2312" w:hAnsi="华文仿宋" w:eastAsia="仿宋_GB2312" w:cs="宋体"/>
                <w:snapToGrid w:val="0"/>
                <w:spacing w:val="4"/>
                <w:kern w:val="0"/>
                <w:sz w:val="24"/>
              </w:rPr>
            </w:pPr>
          </w:p>
        </w:tc>
        <w:tc>
          <w:tcPr>
            <w:tcW w:w="1197" w:type="dxa"/>
            <w:vAlign w:val="center"/>
          </w:tcPr>
          <w:p>
            <w:pPr>
              <w:spacing w:line="240" w:lineRule="atLeas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718" w:type="dxa"/>
            <w:gridSpan w:val="2"/>
            <w:vMerge w:val="restart"/>
            <w:vAlign w:val="center"/>
          </w:tcPr>
          <w:p>
            <w:pPr>
              <w:spacing w:line="240" w:lineRule="atLeast"/>
              <w:jc w:val="center"/>
              <w:rPr>
                <w:rFonts w:hint="eastAsia" w:asciiTheme="minorEastAsia" w:hAnsiTheme="minorEastAsia"/>
              </w:rPr>
            </w:pPr>
            <w:r>
              <w:rPr>
                <w:rFonts w:hint="eastAsia" w:asciiTheme="minorEastAsia" w:hAnsiTheme="minorEastAsia"/>
              </w:rPr>
              <w:t>环境调整</w:t>
            </w:r>
          </w:p>
          <w:p>
            <w:pPr>
              <w:spacing w:line="240" w:lineRule="atLeast"/>
              <w:jc w:val="center"/>
              <w:rPr>
                <w:rFonts w:ascii="仿宋_GB2312" w:hAnsi="华文仿宋" w:eastAsia="仿宋_GB2312" w:cs="宋体"/>
                <w:snapToGrid w:val="0"/>
                <w:spacing w:val="4"/>
                <w:kern w:val="0"/>
                <w:sz w:val="24"/>
              </w:rPr>
            </w:pPr>
            <w:r>
              <w:rPr>
                <w:rFonts w:hint="eastAsia" w:asciiTheme="minorEastAsia" w:hAnsiTheme="minorEastAsia"/>
              </w:rPr>
              <w:t>提升方案</w:t>
            </w:r>
          </w:p>
        </w:tc>
        <w:tc>
          <w:tcPr>
            <w:tcW w:w="5459" w:type="dxa"/>
            <w:vAlign w:val="center"/>
          </w:tcPr>
          <w:p>
            <w:pPr>
              <w:spacing w:line="240" w:lineRule="atLeast"/>
              <w:jc w:val="left"/>
              <w:rPr>
                <w:rFonts w:ascii="仿宋_GB2312" w:hAnsi="华文仿宋" w:eastAsia="仿宋_GB2312" w:cs="宋体"/>
                <w:snapToGrid w:val="0"/>
                <w:spacing w:val="4"/>
                <w:kern w:val="0"/>
                <w:sz w:val="24"/>
              </w:rPr>
            </w:pPr>
          </w:p>
        </w:tc>
        <w:tc>
          <w:tcPr>
            <w:tcW w:w="1197" w:type="dxa"/>
            <w:vAlign w:val="center"/>
          </w:tcPr>
          <w:p>
            <w:pPr>
              <w:spacing w:line="240" w:lineRule="atLeas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718" w:type="dxa"/>
            <w:gridSpan w:val="2"/>
            <w:vMerge w:val="continue"/>
            <w:vAlign w:val="center"/>
          </w:tcPr>
          <w:p>
            <w:pPr>
              <w:spacing w:line="240" w:lineRule="atLeast"/>
              <w:jc w:val="left"/>
              <w:rPr>
                <w:rFonts w:ascii="仿宋_GB2312" w:hAnsi="华文仿宋" w:eastAsia="仿宋_GB2312" w:cs="宋体"/>
                <w:snapToGrid w:val="0"/>
                <w:spacing w:val="4"/>
                <w:kern w:val="0"/>
                <w:sz w:val="24"/>
              </w:rPr>
            </w:pPr>
          </w:p>
        </w:tc>
        <w:tc>
          <w:tcPr>
            <w:tcW w:w="5459" w:type="dxa"/>
            <w:vAlign w:val="center"/>
          </w:tcPr>
          <w:p>
            <w:pPr>
              <w:spacing w:line="240" w:lineRule="atLeast"/>
              <w:jc w:val="left"/>
              <w:rPr>
                <w:rFonts w:ascii="仿宋_GB2312" w:hAnsi="华文仿宋" w:eastAsia="仿宋_GB2312" w:cs="宋体"/>
                <w:snapToGrid w:val="0"/>
                <w:spacing w:val="4"/>
                <w:kern w:val="0"/>
                <w:sz w:val="24"/>
              </w:rPr>
            </w:pPr>
          </w:p>
        </w:tc>
        <w:tc>
          <w:tcPr>
            <w:tcW w:w="1197" w:type="dxa"/>
            <w:vAlign w:val="center"/>
          </w:tcPr>
          <w:p>
            <w:pPr>
              <w:spacing w:line="240" w:lineRule="atLeas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718" w:type="dxa"/>
            <w:gridSpan w:val="2"/>
            <w:vMerge w:val="continue"/>
            <w:vAlign w:val="center"/>
          </w:tcPr>
          <w:p>
            <w:pPr>
              <w:spacing w:line="240" w:lineRule="atLeast"/>
              <w:jc w:val="left"/>
              <w:rPr>
                <w:rFonts w:ascii="仿宋_GB2312" w:hAnsi="华文仿宋" w:eastAsia="仿宋_GB2312" w:cs="宋体"/>
                <w:snapToGrid w:val="0"/>
                <w:spacing w:val="4"/>
                <w:kern w:val="0"/>
                <w:sz w:val="24"/>
              </w:rPr>
            </w:pPr>
          </w:p>
        </w:tc>
        <w:tc>
          <w:tcPr>
            <w:tcW w:w="5459" w:type="dxa"/>
            <w:vAlign w:val="center"/>
          </w:tcPr>
          <w:p>
            <w:pPr>
              <w:spacing w:line="240" w:lineRule="atLeast"/>
              <w:jc w:val="left"/>
              <w:rPr>
                <w:rFonts w:ascii="仿宋_GB2312" w:hAnsi="华文仿宋" w:eastAsia="仿宋_GB2312" w:cs="宋体"/>
                <w:snapToGrid w:val="0"/>
                <w:spacing w:val="4"/>
                <w:kern w:val="0"/>
                <w:sz w:val="24"/>
              </w:rPr>
            </w:pPr>
          </w:p>
        </w:tc>
        <w:tc>
          <w:tcPr>
            <w:tcW w:w="1197" w:type="dxa"/>
            <w:vAlign w:val="center"/>
          </w:tcPr>
          <w:p>
            <w:pPr>
              <w:spacing w:line="240" w:lineRule="atLeas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718" w:type="dxa"/>
            <w:gridSpan w:val="2"/>
            <w:vMerge w:val="continue"/>
            <w:vAlign w:val="center"/>
          </w:tcPr>
          <w:p>
            <w:pPr>
              <w:spacing w:line="240" w:lineRule="atLeast"/>
              <w:jc w:val="left"/>
              <w:rPr>
                <w:rFonts w:ascii="仿宋_GB2312" w:hAnsi="华文仿宋" w:eastAsia="仿宋_GB2312" w:cs="宋体"/>
                <w:snapToGrid w:val="0"/>
                <w:spacing w:val="4"/>
                <w:kern w:val="0"/>
                <w:sz w:val="24"/>
              </w:rPr>
            </w:pPr>
          </w:p>
        </w:tc>
        <w:tc>
          <w:tcPr>
            <w:tcW w:w="5459" w:type="dxa"/>
            <w:vAlign w:val="center"/>
          </w:tcPr>
          <w:p>
            <w:pPr>
              <w:spacing w:line="240" w:lineRule="atLeast"/>
              <w:jc w:val="left"/>
              <w:rPr>
                <w:rFonts w:ascii="仿宋_GB2312" w:hAnsi="华文仿宋" w:eastAsia="仿宋_GB2312" w:cs="宋体"/>
                <w:snapToGrid w:val="0"/>
                <w:spacing w:val="4"/>
                <w:kern w:val="0"/>
                <w:sz w:val="24"/>
              </w:rPr>
            </w:pPr>
          </w:p>
        </w:tc>
        <w:tc>
          <w:tcPr>
            <w:tcW w:w="1197" w:type="dxa"/>
            <w:vAlign w:val="center"/>
          </w:tcPr>
          <w:p>
            <w:pPr>
              <w:spacing w:line="240" w:lineRule="atLeast"/>
              <w:jc w:val="center"/>
              <w:rPr>
                <w:rFonts w:ascii="仿宋_GB2312" w:hAnsi="宋体" w:eastAsia="仿宋_GB2312"/>
                <w:sz w:val="24"/>
              </w:rPr>
            </w:pPr>
          </w:p>
        </w:tc>
      </w:tr>
    </w:tbl>
    <w:p>
      <w:pPr>
        <w:spacing w:line="480" w:lineRule="exact"/>
        <w:rPr>
          <w:rFonts w:ascii="仿宋_GB2312" w:eastAsia="仿宋_GB2312"/>
          <w:sz w:val="24"/>
        </w:rPr>
      </w:pPr>
      <w:r>
        <w:rPr>
          <w:rFonts w:hint="eastAsia" w:ascii="仿宋_GB2312" w:eastAsia="仿宋_GB2312"/>
          <w:sz w:val="24"/>
        </w:rPr>
        <w:t>注：1、对照评审标准归类列出；2、表式、内容可根据需要扩展。</w:t>
      </w:r>
    </w:p>
    <w:p>
      <w:pPr>
        <w:pStyle w:val="17"/>
        <w:ind w:firstLine="600"/>
      </w:pPr>
    </w:p>
    <w:p>
      <w:pPr>
        <w:pStyle w:val="17"/>
        <w:ind w:firstLine="600"/>
      </w:pPr>
    </w:p>
    <w:p>
      <w:pPr>
        <w:pStyle w:val="17"/>
        <w:ind w:firstLine="600"/>
      </w:pPr>
    </w:p>
    <w:p>
      <w:pPr>
        <w:pStyle w:val="17"/>
        <w:ind w:firstLine="600"/>
      </w:pPr>
    </w:p>
    <w:p>
      <w:pPr>
        <w:pStyle w:val="17"/>
        <w:ind w:firstLine="600"/>
      </w:pPr>
    </w:p>
    <w:p>
      <w:pPr>
        <w:autoSpaceDE w:val="0"/>
        <w:autoSpaceDN w:val="0"/>
        <w:adjustRightInd w:val="0"/>
        <w:snapToGrid w:val="0"/>
        <w:spacing w:beforeLines="50" w:afterLines="50" w:line="360" w:lineRule="auto"/>
        <w:jc w:val="center"/>
        <w:rPr>
          <w:rFonts w:ascii="宋体" w:hAnsi="宋体" w:cs="宋体"/>
          <w:b/>
          <w:bCs/>
          <w:sz w:val="32"/>
          <w:szCs w:val="32"/>
          <w:lang w:val="zh-CN"/>
        </w:rPr>
      </w:pPr>
      <w:r>
        <w:rPr>
          <w:rFonts w:hint="eastAsia" w:ascii="宋体" w:hAnsi="宋体" w:cs="宋体"/>
          <w:b/>
          <w:bCs/>
          <w:sz w:val="32"/>
          <w:szCs w:val="32"/>
          <w:lang w:val="en-US" w:eastAsia="zh-CN"/>
        </w:rPr>
        <w:t>三</w:t>
      </w:r>
      <w:r>
        <w:rPr>
          <w:rFonts w:hint="eastAsia" w:ascii="宋体" w:hAnsi="宋体" w:cs="宋体"/>
          <w:b/>
          <w:bCs/>
          <w:sz w:val="32"/>
          <w:szCs w:val="32"/>
          <w:lang w:val="zh-CN"/>
        </w:rPr>
        <w:t>、授权委托书</w:t>
      </w:r>
    </w:p>
    <w:p>
      <w:pPr>
        <w:spacing w:line="520" w:lineRule="exact"/>
        <w:rPr>
          <w:rFonts w:ascii="宋体" w:hAnsi="宋体" w:cs="宋体"/>
          <w:bCs/>
          <w:sz w:val="24"/>
        </w:rPr>
      </w:pPr>
      <w:r>
        <w:rPr>
          <w:rFonts w:hint="eastAsia" w:ascii="宋体" w:hAnsi="宋体" w:cs="宋体"/>
          <w:bCs/>
          <w:sz w:val="24"/>
        </w:rPr>
        <w:t>致盐城幼儿师范高等专科学校:</w:t>
      </w:r>
    </w:p>
    <w:p>
      <w:pPr>
        <w:spacing w:line="520" w:lineRule="exact"/>
        <w:ind w:firstLine="480" w:firstLineChars="200"/>
        <w:rPr>
          <w:rFonts w:ascii="宋体" w:hAnsi="宋体" w:cs="宋体"/>
          <w:sz w:val="24"/>
        </w:rPr>
      </w:pPr>
      <w:r>
        <w:rPr>
          <w:rFonts w:hint="eastAsia" w:ascii="宋体" w:hAnsi="宋体" w:cs="宋体"/>
          <w:sz w:val="24"/>
        </w:rPr>
        <w:t>本授权书宣告:</w:t>
      </w:r>
    </w:p>
    <w:p>
      <w:pPr>
        <w:snapToGrid w:val="0"/>
        <w:spacing w:line="520" w:lineRule="exact"/>
        <w:ind w:firstLine="480" w:firstLineChars="200"/>
        <w:rPr>
          <w:rFonts w:ascii="宋体" w:hAnsi="宋体" w:cs="宋体"/>
          <w:sz w:val="24"/>
          <w:u w:val="single"/>
        </w:rPr>
      </w:pPr>
      <w:r>
        <w:rPr>
          <w:rFonts w:hint="eastAsia" w:ascii="宋体" w:hAnsi="宋体" w:cs="宋体"/>
          <w:sz w:val="24"/>
        </w:rPr>
        <w:t xml:space="preserve">委托方: </w:t>
      </w:r>
    </w:p>
    <w:p>
      <w:pPr>
        <w:snapToGrid w:val="0"/>
        <w:spacing w:line="520" w:lineRule="exact"/>
        <w:ind w:firstLine="480" w:firstLineChars="200"/>
        <w:rPr>
          <w:rFonts w:ascii="宋体" w:hAnsi="宋体" w:cs="宋体"/>
          <w:sz w:val="24"/>
        </w:rPr>
      </w:pPr>
      <w:r>
        <w:rPr>
          <w:rFonts w:hint="eastAsia" w:ascii="宋体" w:hAnsi="宋体" w:cs="宋体"/>
          <w:sz w:val="24"/>
        </w:rPr>
        <w:t xml:space="preserve">地址: </w:t>
      </w:r>
    </w:p>
    <w:p>
      <w:pPr>
        <w:snapToGrid w:val="0"/>
        <w:spacing w:line="520" w:lineRule="exact"/>
        <w:ind w:firstLine="480" w:firstLineChars="200"/>
        <w:rPr>
          <w:rFonts w:ascii="宋体" w:hAnsi="宋体" w:cs="宋体"/>
          <w:sz w:val="24"/>
          <w:u w:val="single"/>
        </w:rPr>
      </w:pPr>
      <w:r>
        <w:rPr>
          <w:rFonts w:hint="eastAsia" w:ascii="宋体" w:hAnsi="宋体" w:cs="宋体"/>
          <w:sz w:val="24"/>
        </w:rPr>
        <w:t xml:space="preserve">法定代表人: </w:t>
      </w:r>
    </w:p>
    <w:p>
      <w:pPr>
        <w:snapToGrid w:val="0"/>
        <w:spacing w:line="520" w:lineRule="exact"/>
        <w:ind w:firstLine="480" w:firstLineChars="200"/>
        <w:rPr>
          <w:rFonts w:ascii="宋体" w:hAnsi="宋体" w:cs="宋体"/>
          <w:sz w:val="24"/>
          <w:u w:val="single"/>
        </w:rPr>
      </w:pPr>
      <w:r>
        <w:rPr>
          <w:rFonts w:hint="eastAsia" w:ascii="宋体" w:hAnsi="宋体" w:cs="宋体"/>
          <w:sz w:val="24"/>
        </w:rPr>
        <w:t xml:space="preserve">身 份 证: </w:t>
      </w:r>
    </w:p>
    <w:p>
      <w:pPr>
        <w:snapToGrid w:val="0"/>
        <w:spacing w:line="520" w:lineRule="exact"/>
        <w:ind w:firstLine="480" w:firstLineChars="200"/>
      </w:pPr>
      <w:r>
        <w:rPr>
          <w:rFonts w:hint="eastAsia" w:ascii="宋体" w:hAnsi="宋体" w:cs="宋体"/>
          <w:sz w:val="24"/>
        </w:rPr>
        <w:t xml:space="preserve">联系方式: </w:t>
      </w:r>
    </w:p>
    <w:p>
      <w:pPr>
        <w:snapToGrid w:val="0"/>
        <w:spacing w:line="520" w:lineRule="exact"/>
        <w:ind w:firstLine="480" w:firstLineChars="200"/>
        <w:rPr>
          <w:rFonts w:ascii="宋体" w:hAnsi="宋体" w:cs="宋体"/>
          <w:sz w:val="24"/>
        </w:rPr>
      </w:pPr>
      <w:r>
        <w:rPr>
          <w:rFonts w:hint="eastAsia" w:ascii="宋体" w:hAnsi="宋体" w:cs="宋体"/>
          <w:sz w:val="24"/>
        </w:rPr>
        <w:t>受托人:姓名 性别:  出生日期: 年月日</w:t>
      </w:r>
    </w:p>
    <w:p>
      <w:pPr>
        <w:snapToGrid w:val="0"/>
        <w:spacing w:line="520" w:lineRule="exact"/>
        <w:ind w:firstLine="480" w:firstLineChars="200"/>
        <w:rPr>
          <w:rFonts w:ascii="宋体" w:hAnsi="宋体" w:cs="宋体"/>
          <w:sz w:val="24"/>
        </w:rPr>
      </w:pPr>
      <w:r>
        <w:rPr>
          <w:rFonts w:hint="eastAsia" w:ascii="宋体" w:hAnsi="宋体" w:cs="宋体"/>
          <w:sz w:val="24"/>
        </w:rPr>
        <w:t xml:space="preserve">所在单位: 职务: </w:t>
      </w:r>
    </w:p>
    <w:p>
      <w:pPr>
        <w:snapToGrid w:val="0"/>
        <w:spacing w:line="520" w:lineRule="exact"/>
        <w:ind w:firstLine="480" w:firstLineChars="200"/>
        <w:rPr>
          <w:rFonts w:ascii="宋体" w:hAnsi="宋体" w:cs="宋体"/>
          <w:sz w:val="24"/>
        </w:rPr>
      </w:pPr>
      <w:r>
        <w:rPr>
          <w:rFonts w:hint="eastAsia" w:ascii="宋体" w:hAnsi="宋体" w:cs="宋体"/>
          <w:sz w:val="24"/>
        </w:rPr>
        <w:t xml:space="preserve">身 份 证: 联系方式: </w:t>
      </w:r>
    </w:p>
    <w:p>
      <w:pPr>
        <w:snapToGrid w:val="0"/>
        <w:spacing w:line="520" w:lineRule="exact"/>
        <w:ind w:firstLine="480" w:firstLineChars="200"/>
        <w:rPr>
          <w:rFonts w:ascii="宋体" w:hAnsi="宋体" w:cs="宋体"/>
          <w:sz w:val="24"/>
        </w:rPr>
      </w:pPr>
      <w:r>
        <w:rPr>
          <w:rFonts w:hint="eastAsia" w:ascii="宋体" w:hAnsi="宋体" w:cs="宋体"/>
          <w:sz w:val="24"/>
        </w:rPr>
        <w:t>兹委托受托人代表我公司参加项目的招标活动，受托人有权在该招标活动中，以我单位的名义签署投标函和投标文件，与招标人或招标代理机构协商、澄清、解释，签订合同书并执行一切与此有关的事项。</w:t>
      </w:r>
    </w:p>
    <w:p>
      <w:pPr>
        <w:snapToGrid w:val="0"/>
        <w:spacing w:line="520" w:lineRule="exact"/>
        <w:rPr>
          <w:rFonts w:ascii="宋体" w:hAnsi="宋体" w:cs="宋体"/>
          <w:sz w:val="24"/>
        </w:rPr>
      </w:pPr>
      <w:r>
        <w:rPr>
          <w:rFonts w:hint="eastAsia" w:ascii="宋体" w:hAnsi="宋体" w:cs="宋体"/>
          <w:sz w:val="24"/>
        </w:rPr>
        <w:t xml:space="preserve">    受托人在办理上述事宜过程中以其自己的名义所签署的所有文件我公司均予以承认。受托人无转委托权。</w:t>
      </w:r>
    </w:p>
    <w:p>
      <w:pPr>
        <w:snapToGrid w:val="0"/>
        <w:spacing w:line="520" w:lineRule="exact"/>
        <w:ind w:firstLine="480" w:firstLineChars="200"/>
        <w:rPr>
          <w:rFonts w:ascii="宋体" w:hAnsi="宋体" w:cs="宋体"/>
          <w:sz w:val="24"/>
        </w:rPr>
      </w:pPr>
      <w:r>
        <w:rPr>
          <w:rFonts w:hint="eastAsia" w:ascii="宋体" w:hAnsi="宋体" w:cs="宋体"/>
          <w:sz w:val="24"/>
        </w:rPr>
        <w:t>委托期限:至上述事宜处理完毕止。</w:t>
      </w:r>
    </w:p>
    <w:p>
      <w:pPr>
        <w:snapToGrid w:val="0"/>
        <w:spacing w:line="520" w:lineRule="exact"/>
        <w:ind w:firstLine="600"/>
        <w:rPr>
          <w:rFonts w:ascii="宋体" w:hAnsi="宋体" w:cs="宋体"/>
          <w:b/>
          <w:sz w:val="24"/>
        </w:rPr>
      </w:pPr>
    </w:p>
    <w:p>
      <w:pPr>
        <w:snapToGrid w:val="0"/>
        <w:spacing w:line="520" w:lineRule="exact"/>
        <w:rPr>
          <w:rFonts w:ascii="宋体" w:hAnsi="宋体" w:cs="宋体"/>
          <w:sz w:val="24"/>
        </w:rPr>
      </w:pPr>
    </w:p>
    <w:p>
      <w:pPr>
        <w:snapToGrid w:val="0"/>
        <w:spacing w:line="520" w:lineRule="exact"/>
        <w:ind w:firstLine="3856" w:firstLineChars="1607"/>
        <w:rPr>
          <w:rFonts w:ascii="宋体" w:hAnsi="宋体" w:cs="宋体"/>
          <w:sz w:val="24"/>
          <w:u w:val="single"/>
        </w:rPr>
      </w:pPr>
      <w:r>
        <w:rPr>
          <w:rFonts w:hint="eastAsia" w:ascii="宋体" w:hAnsi="宋体" w:cs="宋体"/>
          <w:sz w:val="24"/>
        </w:rPr>
        <w:t>委托单位：</w:t>
      </w:r>
      <w:r>
        <w:rPr>
          <w:rFonts w:hint="eastAsia" w:ascii="宋体" w:hAnsi="宋体" w:cs="宋体"/>
          <w:sz w:val="24"/>
          <w:u w:val="single"/>
        </w:rPr>
        <w:t xml:space="preserve">       （公章）    </w:t>
      </w:r>
    </w:p>
    <w:p>
      <w:pPr>
        <w:snapToGrid w:val="0"/>
        <w:spacing w:line="520" w:lineRule="exact"/>
        <w:rPr>
          <w:rFonts w:ascii="宋体" w:hAnsi="宋体" w:cs="宋体"/>
          <w:sz w:val="24"/>
          <w:lang w:val="zh-CN"/>
        </w:rPr>
      </w:pPr>
      <w:r>
        <w:rPr>
          <w:rFonts w:hint="eastAsia" w:ascii="宋体" w:hAnsi="宋体" w:cs="宋体"/>
          <w:sz w:val="24"/>
          <w:lang w:val="zh-CN"/>
        </w:rPr>
        <w:t>日期:年 月日</w:t>
      </w:r>
    </w:p>
    <w:p>
      <w:pPr>
        <w:snapToGrid w:val="0"/>
        <w:spacing w:line="520" w:lineRule="exact"/>
        <w:rPr>
          <w:rFonts w:ascii="宋体" w:hAnsi="宋体" w:cs="宋体"/>
          <w:b/>
          <w:bCs/>
          <w:sz w:val="24"/>
        </w:rPr>
      </w:pPr>
    </w:p>
    <w:p>
      <w:pPr>
        <w:spacing w:line="520" w:lineRule="exact"/>
        <w:ind w:firstLine="561" w:firstLineChars="200"/>
        <w:rPr>
          <w:rFonts w:ascii="宋体" w:hAnsi="宋体" w:cs="宋体"/>
          <w:b/>
          <w:bCs/>
          <w:sz w:val="28"/>
        </w:rPr>
      </w:pPr>
    </w:p>
    <w:p>
      <w:pPr>
        <w:snapToGrid w:val="0"/>
        <w:spacing w:before="50" w:after="50"/>
        <w:jc w:val="center"/>
        <w:rPr>
          <w:rStyle w:val="132"/>
          <w:rFonts w:ascii="宋体" w:hAnsi="宋体"/>
          <w:sz w:val="32"/>
          <w:szCs w:val="32"/>
        </w:rPr>
      </w:pPr>
    </w:p>
    <w:p>
      <w:pPr>
        <w:snapToGrid w:val="0"/>
        <w:spacing w:before="50" w:after="50"/>
        <w:jc w:val="center"/>
        <w:rPr>
          <w:rStyle w:val="132"/>
          <w:rFonts w:ascii="宋体" w:hAnsi="宋体"/>
          <w:sz w:val="32"/>
          <w:szCs w:val="32"/>
        </w:rPr>
      </w:pPr>
    </w:p>
    <w:p>
      <w:pPr>
        <w:snapToGrid w:val="0"/>
        <w:spacing w:before="50" w:after="50"/>
        <w:jc w:val="center"/>
        <w:rPr>
          <w:rStyle w:val="132"/>
          <w:rFonts w:ascii="宋体" w:hAnsi="宋体"/>
          <w:sz w:val="32"/>
          <w:szCs w:val="32"/>
        </w:rPr>
      </w:pPr>
    </w:p>
    <w:p>
      <w:pPr>
        <w:snapToGrid w:val="0"/>
        <w:spacing w:before="50" w:after="50"/>
        <w:jc w:val="center"/>
        <w:rPr>
          <w:rStyle w:val="132"/>
          <w:rFonts w:ascii="宋体" w:hAnsi="宋体"/>
          <w:sz w:val="32"/>
          <w:szCs w:val="32"/>
        </w:rPr>
      </w:pPr>
      <w:r>
        <w:rPr>
          <w:rStyle w:val="132"/>
          <w:rFonts w:hint="eastAsia" w:ascii="宋体" w:hAnsi="宋体"/>
          <w:sz w:val="32"/>
          <w:szCs w:val="32"/>
          <w:lang w:val="en-US" w:eastAsia="zh-CN"/>
        </w:rPr>
        <w:t>四</w:t>
      </w:r>
      <w:r>
        <w:rPr>
          <w:rStyle w:val="132"/>
          <w:rFonts w:ascii="宋体" w:hAnsi="宋体"/>
          <w:sz w:val="32"/>
          <w:szCs w:val="32"/>
        </w:rPr>
        <w:t>、投标函（格式）</w:t>
      </w:r>
    </w:p>
    <w:p>
      <w:pPr>
        <w:pStyle w:val="135"/>
        <w:spacing w:before="0" w:after="0" w:line="420" w:lineRule="exact"/>
        <w:ind w:firstLine="0"/>
        <w:rPr>
          <w:rStyle w:val="132"/>
          <w:rFonts w:ascii="宋体" w:hAnsi="宋体"/>
          <w:b/>
          <w:bCs/>
          <w:kern w:val="2"/>
          <w:szCs w:val="21"/>
        </w:rPr>
      </w:pPr>
      <w:r>
        <w:rPr>
          <w:rStyle w:val="132"/>
          <w:rFonts w:ascii="宋体" w:hAnsi="宋体"/>
          <w:b/>
          <w:bCs/>
          <w:kern w:val="2"/>
          <w:szCs w:val="21"/>
        </w:rPr>
        <w:t>致：</w:t>
      </w:r>
      <w:r>
        <w:rPr>
          <w:rStyle w:val="132"/>
          <w:rFonts w:ascii="宋体" w:hAnsi="宋体"/>
          <w:b/>
          <w:bCs/>
          <w:kern w:val="2"/>
          <w:szCs w:val="21"/>
          <w:u w:val="single" w:color="000000"/>
        </w:rPr>
        <w:t>盐城</w:t>
      </w:r>
      <w:r>
        <w:rPr>
          <w:rStyle w:val="132"/>
          <w:rFonts w:hint="eastAsia" w:ascii="宋体" w:hAnsi="宋体"/>
          <w:b/>
          <w:bCs/>
          <w:kern w:val="2"/>
          <w:szCs w:val="21"/>
          <w:u w:val="single" w:color="000000"/>
        </w:rPr>
        <w:t>幼儿师范高等专科学校</w:t>
      </w:r>
    </w:p>
    <w:p>
      <w:pPr>
        <w:pStyle w:val="135"/>
        <w:spacing w:before="0" w:after="0" w:line="480" w:lineRule="exact"/>
        <w:ind w:firstLineChars="200"/>
        <w:rPr>
          <w:rStyle w:val="132"/>
          <w:rFonts w:ascii="宋体" w:hAnsi="宋体"/>
          <w:kern w:val="2"/>
          <w:szCs w:val="21"/>
        </w:rPr>
      </w:pPr>
      <w:r>
        <w:rPr>
          <w:rStyle w:val="132"/>
          <w:rFonts w:ascii="宋体" w:hAnsi="宋体"/>
          <w:kern w:val="2"/>
          <w:szCs w:val="21"/>
        </w:rPr>
        <w:t>根据贵方的招标文件，正式授权下述签字人_________________(姓名)代表我方______________（投标人的名称），全权处理本次项目投标的有关事宜。</w:t>
      </w:r>
    </w:p>
    <w:p>
      <w:pPr>
        <w:pStyle w:val="135"/>
        <w:spacing w:before="0" w:after="0" w:line="480" w:lineRule="exact"/>
        <w:ind w:firstLineChars="200"/>
        <w:rPr>
          <w:rStyle w:val="132"/>
          <w:rFonts w:ascii="宋体" w:hAnsi="宋体"/>
          <w:kern w:val="2"/>
          <w:szCs w:val="21"/>
        </w:rPr>
      </w:pPr>
      <w:r>
        <w:rPr>
          <w:rStyle w:val="132"/>
          <w:rFonts w:ascii="宋体" w:hAnsi="宋体"/>
          <w:kern w:val="2"/>
          <w:szCs w:val="21"/>
        </w:rPr>
        <w:t>据此函，__________签字人兹宣布同意如下：</w:t>
      </w:r>
    </w:p>
    <w:p>
      <w:pPr>
        <w:pStyle w:val="135"/>
        <w:spacing w:before="0" w:after="0" w:line="480" w:lineRule="exact"/>
        <w:rPr>
          <w:rStyle w:val="132"/>
          <w:rFonts w:ascii="宋体" w:hAnsi="宋体"/>
          <w:kern w:val="2"/>
          <w:szCs w:val="21"/>
        </w:rPr>
      </w:pPr>
      <w:r>
        <w:rPr>
          <w:rStyle w:val="132"/>
          <w:rFonts w:ascii="宋体" w:hAnsi="宋体"/>
          <w:kern w:val="2"/>
          <w:szCs w:val="21"/>
        </w:rPr>
        <w:t>1.按招标文件规定的各项要求，向买方提供所需货物与服务。</w:t>
      </w:r>
    </w:p>
    <w:p>
      <w:pPr>
        <w:pStyle w:val="135"/>
        <w:spacing w:before="0" w:after="0" w:line="480" w:lineRule="exact"/>
        <w:ind w:firstLineChars="200"/>
        <w:rPr>
          <w:rStyle w:val="132"/>
          <w:rFonts w:ascii="宋体" w:hAnsi="宋体"/>
          <w:kern w:val="2"/>
          <w:szCs w:val="21"/>
        </w:rPr>
      </w:pPr>
      <w:r>
        <w:rPr>
          <w:rStyle w:val="132"/>
          <w:rFonts w:ascii="宋体" w:hAnsi="宋体"/>
          <w:kern w:val="2"/>
          <w:szCs w:val="21"/>
        </w:rPr>
        <w:t>2.我们完全理解贵方不一定将合同授予最低报价的投标人。</w:t>
      </w:r>
    </w:p>
    <w:p>
      <w:pPr>
        <w:pStyle w:val="135"/>
        <w:spacing w:before="0" w:after="0" w:line="480" w:lineRule="exact"/>
        <w:ind w:firstLineChars="200"/>
        <w:rPr>
          <w:rStyle w:val="132"/>
          <w:rFonts w:ascii="宋体" w:hAnsi="宋体"/>
          <w:kern w:val="2"/>
          <w:szCs w:val="21"/>
        </w:rPr>
      </w:pPr>
      <w:r>
        <w:rPr>
          <w:rStyle w:val="132"/>
          <w:rFonts w:ascii="宋体" w:hAnsi="宋体"/>
          <w:kern w:val="2"/>
          <w:szCs w:val="21"/>
        </w:rPr>
        <w:t>3.我们已详细审核全部招标文件及其有效补充文件，我们知道必须放弃提出含糊不清或误解问题的权利。</w:t>
      </w:r>
    </w:p>
    <w:p>
      <w:pPr>
        <w:pStyle w:val="135"/>
        <w:spacing w:before="0" w:after="0" w:line="480" w:lineRule="exact"/>
        <w:rPr>
          <w:rStyle w:val="132"/>
          <w:rFonts w:ascii="宋体" w:hAnsi="宋体"/>
          <w:kern w:val="2"/>
          <w:szCs w:val="21"/>
        </w:rPr>
      </w:pPr>
      <w:r>
        <w:rPr>
          <w:rStyle w:val="132"/>
          <w:rFonts w:ascii="宋体" w:hAnsi="宋体"/>
          <w:kern w:val="2"/>
          <w:szCs w:val="21"/>
        </w:rPr>
        <w:t>4.我们同意从规定的开标日期起遵循本投标文件，并在规定的投标有效期期满之前均具有约束力。</w:t>
      </w:r>
    </w:p>
    <w:p>
      <w:pPr>
        <w:pStyle w:val="135"/>
        <w:spacing w:before="0" w:after="0" w:line="480" w:lineRule="exact"/>
        <w:rPr>
          <w:rStyle w:val="132"/>
          <w:rFonts w:ascii="宋体" w:hAnsi="宋体"/>
          <w:kern w:val="2"/>
          <w:szCs w:val="21"/>
        </w:rPr>
      </w:pPr>
      <w:r>
        <w:rPr>
          <w:rStyle w:val="132"/>
          <w:rFonts w:ascii="宋体" w:hAnsi="宋体"/>
          <w:kern w:val="2"/>
          <w:szCs w:val="21"/>
        </w:rPr>
        <w:t>5.如果在开标后规定的投标有效期内撤回投标或中标后拒绝签订合同，我们的投标保证金可不予退还。</w:t>
      </w:r>
    </w:p>
    <w:p>
      <w:pPr>
        <w:pStyle w:val="135"/>
        <w:spacing w:before="0" w:after="0" w:line="480" w:lineRule="exact"/>
        <w:rPr>
          <w:rStyle w:val="132"/>
          <w:rFonts w:ascii="宋体" w:hAnsi="宋体"/>
          <w:kern w:val="2"/>
          <w:szCs w:val="21"/>
        </w:rPr>
      </w:pPr>
      <w:r>
        <w:rPr>
          <w:rStyle w:val="132"/>
          <w:rFonts w:ascii="宋体" w:hAnsi="宋体"/>
          <w:kern w:val="2"/>
          <w:szCs w:val="21"/>
        </w:rPr>
        <w:t>6.同意向贵方提供贵方可能另外要求的与投标有关的任何证据或资料，并保证我方已提供和将要提供的文件是真实的、准确的。</w:t>
      </w:r>
    </w:p>
    <w:p>
      <w:pPr>
        <w:pStyle w:val="135"/>
        <w:spacing w:before="0" w:after="0" w:line="480" w:lineRule="exact"/>
        <w:rPr>
          <w:rStyle w:val="132"/>
          <w:rFonts w:ascii="宋体" w:hAnsi="宋体"/>
          <w:kern w:val="2"/>
          <w:szCs w:val="21"/>
        </w:rPr>
      </w:pPr>
      <w:r>
        <w:rPr>
          <w:rStyle w:val="132"/>
          <w:rFonts w:ascii="宋体" w:hAnsi="宋体"/>
          <w:kern w:val="2"/>
          <w:szCs w:val="21"/>
        </w:rPr>
        <w:t>7.一旦我方中标,我方将根据招标文件的规定，严格履行合同的责任和义务,并保证在招标文件规定的时间完成项目，交付买方验收、使用。</w:t>
      </w:r>
    </w:p>
    <w:p>
      <w:pPr>
        <w:pStyle w:val="135"/>
        <w:spacing w:before="0" w:after="0" w:line="480" w:lineRule="exact"/>
        <w:ind w:left="425" w:firstLine="0"/>
        <w:rPr>
          <w:rStyle w:val="132"/>
          <w:rFonts w:ascii="宋体" w:hAnsi="宋体"/>
          <w:kern w:val="2"/>
          <w:szCs w:val="21"/>
        </w:rPr>
      </w:pPr>
      <w:r>
        <w:rPr>
          <w:rStyle w:val="132"/>
          <w:rFonts w:ascii="宋体" w:hAnsi="宋体"/>
          <w:kern w:val="2"/>
          <w:szCs w:val="21"/>
        </w:rPr>
        <w:t>8.与本投标有关的正式通讯地址为：</w:t>
      </w:r>
    </w:p>
    <w:p>
      <w:pPr>
        <w:pStyle w:val="135"/>
        <w:spacing w:before="0" w:after="0" w:line="420" w:lineRule="exact"/>
        <w:ind w:left="425" w:firstLine="0"/>
        <w:rPr>
          <w:rStyle w:val="132"/>
          <w:rFonts w:ascii="宋体" w:hAnsi="宋体"/>
          <w:kern w:val="2"/>
          <w:szCs w:val="21"/>
        </w:rPr>
      </w:pPr>
    </w:p>
    <w:p>
      <w:pPr>
        <w:pStyle w:val="135"/>
        <w:spacing w:before="0" w:after="0" w:line="420" w:lineRule="exact"/>
        <w:ind w:left="420" w:leftChars="200" w:firstLineChars="200"/>
        <w:rPr>
          <w:rStyle w:val="132"/>
          <w:rFonts w:ascii="宋体" w:hAnsi="宋体"/>
          <w:kern w:val="2"/>
          <w:szCs w:val="21"/>
        </w:rPr>
      </w:pPr>
      <w:r>
        <w:rPr>
          <w:rStyle w:val="132"/>
          <w:rFonts w:ascii="宋体" w:hAnsi="宋体"/>
          <w:kern w:val="2"/>
          <w:szCs w:val="21"/>
        </w:rPr>
        <w:t>地          址：</w:t>
      </w:r>
    </w:p>
    <w:p>
      <w:pPr>
        <w:pStyle w:val="135"/>
        <w:spacing w:before="0" w:after="0" w:line="420" w:lineRule="exact"/>
        <w:ind w:left="420" w:leftChars="200" w:firstLineChars="200"/>
        <w:rPr>
          <w:rStyle w:val="132"/>
          <w:rFonts w:ascii="宋体" w:hAnsi="宋体"/>
          <w:kern w:val="2"/>
          <w:szCs w:val="21"/>
        </w:rPr>
      </w:pPr>
      <w:r>
        <w:rPr>
          <w:rStyle w:val="132"/>
          <w:rFonts w:ascii="宋体" w:hAnsi="宋体"/>
          <w:kern w:val="2"/>
          <w:szCs w:val="21"/>
        </w:rPr>
        <w:t>邮          编：</w:t>
      </w:r>
    </w:p>
    <w:p>
      <w:pPr>
        <w:pStyle w:val="135"/>
        <w:spacing w:before="0" w:after="0" w:line="420" w:lineRule="exact"/>
        <w:ind w:left="420" w:leftChars="200" w:firstLineChars="200"/>
        <w:rPr>
          <w:rStyle w:val="132"/>
          <w:rFonts w:ascii="宋体" w:hAnsi="宋体"/>
          <w:kern w:val="2"/>
          <w:szCs w:val="21"/>
        </w:rPr>
      </w:pPr>
      <w:r>
        <w:rPr>
          <w:rStyle w:val="132"/>
          <w:rFonts w:ascii="宋体" w:hAnsi="宋体"/>
          <w:kern w:val="2"/>
          <w:szCs w:val="21"/>
        </w:rPr>
        <w:t>电          话：</w:t>
      </w:r>
    </w:p>
    <w:p>
      <w:pPr>
        <w:pStyle w:val="135"/>
        <w:spacing w:before="0" w:after="0" w:line="420" w:lineRule="exact"/>
        <w:ind w:left="420" w:leftChars="200" w:firstLineChars="200"/>
        <w:rPr>
          <w:rStyle w:val="132"/>
          <w:rFonts w:ascii="宋体" w:hAnsi="宋体"/>
          <w:kern w:val="2"/>
          <w:szCs w:val="21"/>
        </w:rPr>
      </w:pPr>
      <w:r>
        <w:rPr>
          <w:rStyle w:val="132"/>
          <w:rFonts w:ascii="宋体" w:hAnsi="宋体"/>
          <w:kern w:val="2"/>
          <w:szCs w:val="21"/>
        </w:rPr>
        <w:t>传          真：</w:t>
      </w:r>
    </w:p>
    <w:p>
      <w:pPr>
        <w:pStyle w:val="135"/>
        <w:spacing w:before="0" w:after="0" w:line="420" w:lineRule="exact"/>
        <w:ind w:left="420" w:leftChars="200" w:firstLineChars="200"/>
        <w:rPr>
          <w:rStyle w:val="132"/>
          <w:rFonts w:ascii="宋体" w:hAnsi="宋体"/>
          <w:kern w:val="2"/>
          <w:szCs w:val="21"/>
        </w:rPr>
      </w:pPr>
      <w:r>
        <w:rPr>
          <w:rStyle w:val="132"/>
          <w:rFonts w:ascii="宋体" w:hAnsi="宋体"/>
          <w:kern w:val="2"/>
          <w:szCs w:val="21"/>
        </w:rPr>
        <w:t>投标人开户行：</w:t>
      </w:r>
    </w:p>
    <w:p>
      <w:pPr>
        <w:pStyle w:val="135"/>
        <w:spacing w:before="0" w:after="0" w:line="420" w:lineRule="exact"/>
        <w:ind w:left="420" w:leftChars="200" w:firstLineChars="200"/>
        <w:rPr>
          <w:rStyle w:val="132"/>
          <w:rFonts w:ascii="宋体" w:hAnsi="宋体"/>
          <w:kern w:val="2"/>
          <w:szCs w:val="21"/>
        </w:rPr>
      </w:pPr>
      <w:r>
        <w:rPr>
          <w:rStyle w:val="132"/>
          <w:rFonts w:ascii="宋体" w:hAnsi="宋体"/>
          <w:kern w:val="2"/>
          <w:szCs w:val="21"/>
        </w:rPr>
        <w:t xml:space="preserve">账          户： </w:t>
      </w:r>
    </w:p>
    <w:p>
      <w:pPr>
        <w:pStyle w:val="135"/>
        <w:spacing w:before="0" w:after="0" w:line="420" w:lineRule="exact"/>
        <w:ind w:left="420" w:leftChars="200" w:firstLineChars="200"/>
        <w:rPr>
          <w:rStyle w:val="132"/>
          <w:rFonts w:ascii="宋体" w:hAnsi="宋体"/>
          <w:kern w:val="2"/>
          <w:szCs w:val="21"/>
        </w:rPr>
      </w:pPr>
      <w:r>
        <w:rPr>
          <w:rStyle w:val="132"/>
          <w:rFonts w:ascii="宋体" w:hAnsi="宋体"/>
          <w:kern w:val="2"/>
          <w:szCs w:val="21"/>
        </w:rPr>
        <w:t xml:space="preserve">投标人授权代表姓名（签字）： </w:t>
      </w:r>
    </w:p>
    <w:p>
      <w:pPr>
        <w:pStyle w:val="135"/>
        <w:spacing w:before="0" w:after="0" w:line="420" w:lineRule="exact"/>
        <w:ind w:left="420" w:leftChars="200" w:firstLineChars="200"/>
        <w:rPr>
          <w:rStyle w:val="132"/>
          <w:rFonts w:ascii="宋体" w:hAnsi="宋体"/>
          <w:kern w:val="2"/>
          <w:szCs w:val="21"/>
        </w:rPr>
      </w:pPr>
      <w:r>
        <w:rPr>
          <w:rStyle w:val="132"/>
          <w:rFonts w:ascii="宋体" w:hAnsi="宋体"/>
          <w:kern w:val="2"/>
          <w:szCs w:val="21"/>
        </w:rPr>
        <w:t xml:space="preserve">投标人名称（公章）： </w:t>
      </w:r>
    </w:p>
    <w:p>
      <w:pPr>
        <w:pStyle w:val="135"/>
        <w:spacing w:before="0" w:after="0" w:line="420" w:lineRule="exact"/>
        <w:ind w:left="420" w:leftChars="200" w:firstLineChars="200"/>
        <w:rPr>
          <w:rStyle w:val="132"/>
          <w:rFonts w:ascii="宋体" w:hAnsi="宋体"/>
          <w:kern w:val="2"/>
          <w:szCs w:val="21"/>
        </w:rPr>
      </w:pPr>
      <w:r>
        <w:rPr>
          <w:rStyle w:val="132"/>
          <w:rFonts w:ascii="宋体" w:hAnsi="宋体"/>
          <w:kern w:val="2"/>
          <w:szCs w:val="21"/>
        </w:rPr>
        <w:t>日           期：________年____月____日</w:t>
      </w:r>
    </w:p>
    <w:p>
      <w:pPr>
        <w:snapToGrid w:val="0"/>
        <w:spacing w:before="50" w:after="145"/>
        <w:jc w:val="left"/>
        <w:rPr>
          <w:rStyle w:val="132"/>
          <w:rFonts w:ascii="宋体" w:hAnsi="宋体"/>
          <w:sz w:val="24"/>
          <w:szCs w:val="20"/>
        </w:rPr>
      </w:pPr>
    </w:p>
    <w:p>
      <w:pPr>
        <w:pStyle w:val="17"/>
        <w:ind w:firstLine="600"/>
      </w:pPr>
    </w:p>
    <w:p>
      <w:pPr>
        <w:snapToGrid w:val="0"/>
        <w:spacing w:before="50" w:after="50"/>
        <w:jc w:val="center"/>
        <w:rPr>
          <w:rStyle w:val="132"/>
          <w:rFonts w:ascii="宋体" w:hAnsi="宋体"/>
          <w:sz w:val="32"/>
          <w:szCs w:val="32"/>
        </w:rPr>
      </w:pPr>
      <w:r>
        <w:rPr>
          <w:rStyle w:val="132"/>
          <w:rFonts w:hint="eastAsia" w:ascii="宋体" w:hAnsi="宋体"/>
          <w:sz w:val="32"/>
          <w:szCs w:val="32"/>
          <w:lang w:val="en-US" w:eastAsia="zh-CN"/>
        </w:rPr>
        <w:t>五</w:t>
      </w:r>
      <w:r>
        <w:rPr>
          <w:rStyle w:val="132"/>
          <w:rFonts w:ascii="宋体" w:hAnsi="宋体"/>
          <w:sz w:val="32"/>
          <w:szCs w:val="32"/>
        </w:rPr>
        <w:t>、开标一览表（格式）</w:t>
      </w:r>
    </w:p>
    <w:p>
      <w:pPr>
        <w:snapToGrid w:val="0"/>
        <w:spacing w:before="50" w:after="50"/>
        <w:jc w:val="center"/>
        <w:rPr>
          <w:rStyle w:val="132"/>
          <w:rFonts w:ascii="宋体" w:hAnsi="宋体"/>
          <w:sz w:val="32"/>
          <w:szCs w:val="32"/>
        </w:rPr>
      </w:pPr>
    </w:p>
    <w:tbl>
      <w:tblPr>
        <w:tblStyle w:val="54"/>
        <w:tblW w:w="9437"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67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Style w:val="132"/>
                <w:rFonts w:ascii="宋体" w:hAnsi="宋体"/>
                <w:szCs w:val="28"/>
              </w:rPr>
            </w:pPr>
            <w:r>
              <w:rPr>
                <w:rStyle w:val="132"/>
                <w:rFonts w:ascii="宋体" w:hAnsi="宋体"/>
                <w:szCs w:val="28"/>
              </w:rPr>
              <w:t>项 目 编 号</w:t>
            </w:r>
          </w:p>
        </w:tc>
        <w:tc>
          <w:tcPr>
            <w:tcW w:w="6737" w:type="dxa"/>
            <w:tcBorders>
              <w:top w:val="single" w:color="000000" w:sz="4" w:space="0"/>
              <w:left w:val="single" w:color="000000" w:sz="4" w:space="0"/>
              <w:bottom w:val="single" w:color="000000" w:sz="4" w:space="0"/>
              <w:right w:val="single" w:color="000000" w:sz="4" w:space="0"/>
            </w:tcBorders>
            <w:vAlign w:val="center"/>
          </w:tcPr>
          <w:p>
            <w:pPr>
              <w:pStyle w:val="136"/>
              <w:jc w:val="both"/>
              <w:rPr>
                <w:rStyle w:val="132"/>
                <w:rFonts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Style w:val="132"/>
                <w:rFonts w:ascii="宋体" w:hAnsi="宋体"/>
                <w:szCs w:val="28"/>
              </w:rPr>
            </w:pPr>
            <w:r>
              <w:rPr>
                <w:rStyle w:val="132"/>
                <w:rFonts w:ascii="宋体" w:hAnsi="宋体"/>
                <w:szCs w:val="28"/>
              </w:rPr>
              <w:t>项 目 名 称</w:t>
            </w:r>
          </w:p>
        </w:tc>
        <w:tc>
          <w:tcPr>
            <w:tcW w:w="6737" w:type="dxa"/>
            <w:tcBorders>
              <w:top w:val="single" w:color="000000" w:sz="4" w:space="0"/>
              <w:left w:val="single" w:color="000000" w:sz="4" w:space="0"/>
              <w:bottom w:val="single" w:color="000000" w:sz="4" w:space="0"/>
              <w:right w:val="single" w:color="000000" w:sz="4" w:space="0"/>
            </w:tcBorders>
            <w:vAlign w:val="center"/>
          </w:tcPr>
          <w:p>
            <w:pPr>
              <w:pStyle w:val="136"/>
              <w:jc w:val="both"/>
              <w:rPr>
                <w:rStyle w:val="132"/>
                <w:rFonts w:ascii="宋体" w:hAnsi="宋体" w:eastAsia="宋体"/>
                <w:b w:val="0"/>
                <w:bCs w:val="0"/>
                <w:sz w:val="21"/>
                <w:szCs w:val="28"/>
              </w:rPr>
            </w:pPr>
            <w:r>
              <w:rPr>
                <w:rStyle w:val="132"/>
                <w:rFonts w:hint="eastAsia" w:ascii="宋体" w:hAnsi="宋体" w:eastAsia="宋体"/>
                <w:b w:val="0"/>
                <w:bCs w:val="0"/>
                <w:sz w:val="21"/>
                <w:szCs w:val="28"/>
              </w:rPr>
              <w:t>盐城幼儿师范高等专科学校</w:t>
            </w:r>
            <w:r>
              <w:rPr>
                <w:rStyle w:val="132"/>
                <w:rFonts w:hint="eastAsia" w:ascii="宋体" w:hAnsi="宋体" w:eastAsia="宋体" w:cs="Arial"/>
                <w:b w:val="0"/>
                <w:bCs w:val="0"/>
                <w:sz w:val="21"/>
                <w:szCs w:val="28"/>
              </w:rPr>
              <w:t>2021年餐饮合作经营服务项目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807" w:hRule="atLeast"/>
        </w:trPr>
        <w:tc>
          <w:tcPr>
            <w:tcW w:w="9437" w:type="dxa"/>
            <w:gridSpan w:val="2"/>
            <w:tcBorders>
              <w:top w:val="single" w:color="000000" w:sz="4" w:space="0"/>
              <w:left w:val="single" w:color="000000" w:sz="4" w:space="0"/>
              <w:bottom w:val="single" w:color="000000" w:sz="4" w:space="0"/>
              <w:right w:val="single" w:color="000000" w:sz="4" w:space="0"/>
            </w:tcBorders>
            <w:vAlign w:val="center"/>
          </w:tcPr>
          <w:p>
            <w:pPr>
              <w:rPr>
                <w:rStyle w:val="132"/>
                <w:rFonts w:ascii="宋体" w:hAnsi="宋体" w:cs="宋体"/>
                <w:b/>
                <w:bCs/>
                <w:szCs w:val="28"/>
              </w:rPr>
            </w:pPr>
            <w:r>
              <w:rPr>
                <w:rStyle w:val="132"/>
                <w:rFonts w:ascii="宋体" w:hAnsi="宋体" w:cs="宋体"/>
                <w:b/>
                <w:bCs/>
                <w:szCs w:val="28"/>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9" w:hRule="atLeast"/>
        </w:trPr>
        <w:tc>
          <w:tcPr>
            <w:tcW w:w="9437" w:type="dxa"/>
            <w:gridSpan w:val="2"/>
            <w:tcBorders>
              <w:top w:val="single" w:color="000000" w:sz="4" w:space="0"/>
              <w:left w:val="single" w:color="000000" w:sz="4" w:space="0"/>
              <w:bottom w:val="single" w:color="000000" w:sz="4" w:space="0"/>
              <w:right w:val="single" w:color="000000" w:sz="4" w:space="0"/>
            </w:tcBorders>
            <w:vAlign w:val="center"/>
          </w:tcPr>
          <w:p>
            <w:pPr>
              <w:rPr>
                <w:rStyle w:val="132"/>
                <w:rFonts w:ascii="宋体" w:hAnsi="宋体" w:cs="宋体"/>
                <w:b/>
                <w:bCs/>
                <w:szCs w:val="28"/>
              </w:rPr>
            </w:pPr>
            <w:r>
              <w:rPr>
                <w:rStyle w:val="132"/>
                <w:rFonts w:ascii="宋体" w:hAnsi="宋体" w:cs="宋体"/>
                <w:b/>
                <w:bCs/>
                <w:szCs w:val="28"/>
              </w:rPr>
              <w:t>合同履行期限</w:t>
            </w:r>
            <w:r>
              <w:rPr>
                <w:rStyle w:val="132"/>
                <w:rFonts w:hint="eastAsia" w:ascii="宋体" w:hAnsi="宋体" w:cs="宋体"/>
                <w:b/>
                <w:bCs/>
                <w:szCs w:val="28"/>
              </w:rPr>
              <w:t>（经营期限）</w:t>
            </w:r>
            <w:r>
              <w:rPr>
                <w:rStyle w:val="132"/>
                <w:rFonts w:ascii="宋体" w:hAnsi="宋体" w:cs="宋体"/>
                <w:b/>
                <w:bCs/>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9" w:hRule="atLeast"/>
        </w:trPr>
        <w:tc>
          <w:tcPr>
            <w:tcW w:w="9437" w:type="dxa"/>
            <w:gridSpan w:val="2"/>
            <w:tcBorders>
              <w:top w:val="single" w:color="000000" w:sz="4" w:space="0"/>
              <w:left w:val="single" w:color="000000" w:sz="4" w:space="0"/>
              <w:bottom w:val="single" w:color="000000" w:sz="4" w:space="0"/>
              <w:right w:val="single" w:color="000000" w:sz="4" w:space="0"/>
            </w:tcBorders>
            <w:vAlign w:val="center"/>
          </w:tcPr>
          <w:p>
            <w:pPr>
              <w:rPr>
                <w:rStyle w:val="132"/>
                <w:rFonts w:hint="eastAsia" w:ascii="宋体" w:hAnsi="宋体" w:eastAsia="宋体"/>
                <w:szCs w:val="28"/>
                <w:lang w:val="en-US" w:eastAsia="zh-CN"/>
              </w:rPr>
            </w:pPr>
            <w:r>
              <w:rPr>
                <w:rStyle w:val="132"/>
                <w:rFonts w:hint="eastAsia" w:ascii="宋体" w:hAnsi="宋体" w:cs="宋体"/>
                <w:b/>
                <w:bCs/>
                <w:szCs w:val="28"/>
              </w:rPr>
              <w:t>投入报价</w:t>
            </w:r>
            <w:r>
              <w:rPr>
                <w:rStyle w:val="132"/>
                <w:rFonts w:ascii="宋体" w:hAnsi="宋体" w:cs="宋体"/>
                <w:b/>
                <w:bCs/>
                <w:szCs w:val="28"/>
              </w:rPr>
              <w:t>：</w:t>
            </w:r>
            <w:r>
              <w:rPr>
                <w:rStyle w:val="132"/>
                <w:rFonts w:hint="eastAsia" w:ascii="宋体" w:hAnsi="宋体" w:cs="宋体"/>
                <w:b/>
                <w:bCs/>
                <w:szCs w:val="28"/>
              </w:rPr>
              <w:t>大写                    元（小写：    元）</w:t>
            </w:r>
            <w:r>
              <w:rPr>
                <w:rStyle w:val="132"/>
                <w:rFonts w:hint="eastAsia" w:ascii="宋体" w:hAnsi="宋体" w:cs="宋体"/>
                <w:b/>
                <w:bCs/>
                <w:szCs w:val="28"/>
                <w:lang w:val="en-US" w:eastAsia="zh-CN"/>
              </w:rPr>
              <w:t>(分包标段自制)</w:t>
            </w:r>
          </w:p>
        </w:tc>
      </w:tr>
    </w:tbl>
    <w:p>
      <w:pPr>
        <w:ind w:firstLine="2640" w:firstLineChars="600"/>
        <w:rPr>
          <w:rStyle w:val="132"/>
          <w:rFonts w:ascii="宋体" w:hAnsi="宋体"/>
          <w:sz w:val="44"/>
        </w:rPr>
      </w:pPr>
    </w:p>
    <w:p>
      <w:pPr>
        <w:ind w:firstLine="480"/>
        <w:rPr>
          <w:rStyle w:val="132"/>
          <w:rFonts w:ascii="宋体" w:hAnsi="宋体"/>
          <w:sz w:val="24"/>
        </w:rPr>
      </w:pPr>
    </w:p>
    <w:p>
      <w:pPr>
        <w:ind w:firstLine="480"/>
        <w:rPr>
          <w:rStyle w:val="132"/>
          <w:rFonts w:ascii="宋体" w:hAnsi="宋体"/>
          <w:sz w:val="24"/>
        </w:rPr>
      </w:pPr>
    </w:p>
    <w:p>
      <w:pPr>
        <w:ind w:firstLine="480"/>
        <w:jc w:val="center"/>
        <w:rPr>
          <w:rStyle w:val="132"/>
          <w:rFonts w:ascii="宋体" w:hAnsi="宋体"/>
          <w:sz w:val="24"/>
        </w:rPr>
      </w:pPr>
      <w:r>
        <w:rPr>
          <w:rStyle w:val="132"/>
          <w:rFonts w:hint="eastAsia" w:ascii="宋体" w:hAnsi="宋体" w:cs="宋体"/>
          <w:bCs/>
          <w:sz w:val="24"/>
        </w:rPr>
        <w:t>投标人</w:t>
      </w:r>
      <w:r>
        <w:rPr>
          <w:rStyle w:val="132"/>
          <w:rFonts w:ascii="宋体" w:hAnsi="宋体" w:cs="宋体"/>
          <w:bCs/>
          <w:sz w:val="24"/>
        </w:rPr>
        <w:t>名称（公章）：</w:t>
      </w:r>
    </w:p>
    <w:p>
      <w:pPr>
        <w:ind w:firstLine="480"/>
        <w:rPr>
          <w:rStyle w:val="132"/>
          <w:rFonts w:ascii="宋体" w:hAnsi="宋体"/>
          <w:sz w:val="24"/>
        </w:rPr>
      </w:pPr>
      <w:r>
        <w:rPr>
          <w:rStyle w:val="132"/>
          <w:rFonts w:ascii="宋体" w:hAnsi="宋体"/>
          <w:sz w:val="24"/>
        </w:rPr>
        <w:t xml:space="preserve">                              日期： 年月日</w:t>
      </w:r>
    </w:p>
    <w:p>
      <w:pPr>
        <w:pStyle w:val="2"/>
        <w:rPr>
          <w:rStyle w:val="132"/>
          <w:rFonts w:ascii="宋体" w:hAnsi="宋体"/>
          <w:color w:val="auto"/>
        </w:rPr>
      </w:pPr>
    </w:p>
    <w:p>
      <w:pPr>
        <w:pStyle w:val="2"/>
        <w:rPr>
          <w:rStyle w:val="132"/>
          <w:rFonts w:ascii="宋体" w:hAnsi="宋体"/>
          <w:color w:val="auto"/>
        </w:rPr>
      </w:pPr>
    </w:p>
    <w:p>
      <w:pPr>
        <w:pStyle w:val="2"/>
        <w:rPr>
          <w:rStyle w:val="132"/>
          <w:rFonts w:ascii="宋体" w:hAnsi="宋体"/>
          <w:color w:val="auto"/>
        </w:rPr>
      </w:pPr>
    </w:p>
    <w:p>
      <w:pPr>
        <w:pStyle w:val="2"/>
        <w:rPr>
          <w:rStyle w:val="132"/>
          <w:rFonts w:ascii="宋体" w:hAnsi="宋体"/>
          <w:color w:val="auto"/>
        </w:rPr>
      </w:pPr>
    </w:p>
    <w:p>
      <w:pPr>
        <w:pStyle w:val="2"/>
        <w:rPr>
          <w:rStyle w:val="132"/>
          <w:rFonts w:ascii="宋体" w:hAnsi="宋体"/>
          <w:color w:val="auto"/>
        </w:rPr>
      </w:pPr>
    </w:p>
    <w:p>
      <w:pPr>
        <w:pStyle w:val="2"/>
        <w:rPr>
          <w:rStyle w:val="132"/>
          <w:rFonts w:ascii="宋体" w:hAnsi="宋体"/>
          <w:color w:val="auto"/>
        </w:rPr>
      </w:pPr>
    </w:p>
    <w:p>
      <w:pPr>
        <w:pStyle w:val="2"/>
        <w:rPr>
          <w:rStyle w:val="132"/>
          <w:rFonts w:ascii="宋体" w:hAnsi="宋体"/>
          <w:color w:val="auto"/>
        </w:rPr>
      </w:pPr>
    </w:p>
    <w:p>
      <w:pPr>
        <w:jc w:val="center"/>
        <w:rPr>
          <w:rStyle w:val="132"/>
          <w:rFonts w:ascii="宋体" w:hAnsi="宋体"/>
          <w:b/>
          <w:sz w:val="32"/>
          <w:szCs w:val="32"/>
        </w:rPr>
      </w:pPr>
    </w:p>
    <w:p>
      <w:pPr>
        <w:pStyle w:val="2"/>
        <w:rPr>
          <w:color w:val="auto"/>
        </w:rPr>
      </w:pPr>
    </w:p>
    <w:p>
      <w:pPr>
        <w:ind w:firstLine="480" w:firstLineChars="200"/>
        <w:jc w:val="center"/>
        <w:rPr>
          <w:rStyle w:val="132"/>
          <w:rFonts w:ascii="宋体" w:hAnsi="宋体" w:cs="Calibri"/>
          <w:color w:val="auto"/>
          <w:sz w:val="24"/>
        </w:rPr>
      </w:pPr>
      <w:r>
        <w:rPr>
          <w:rStyle w:val="132"/>
          <w:rFonts w:hint="eastAsia" w:ascii="宋体" w:hAnsi="宋体" w:cs="Calibri"/>
          <w:color w:val="auto"/>
          <w:sz w:val="24"/>
          <w:lang w:val="en-US" w:eastAsia="zh-CN"/>
        </w:rPr>
        <w:t>六、</w:t>
      </w:r>
      <w:r>
        <w:rPr>
          <w:rStyle w:val="132"/>
          <w:rFonts w:hint="eastAsia" w:ascii="宋体" w:hAnsi="宋体" w:cs="Calibri"/>
          <w:color w:val="auto"/>
          <w:sz w:val="24"/>
        </w:rPr>
        <w:t>环境调整提升方案</w:t>
      </w:r>
    </w:p>
    <w:p>
      <w:pPr>
        <w:pStyle w:val="2"/>
        <w:jc w:val="both"/>
        <w:rPr>
          <w:rStyle w:val="132"/>
          <w:rFonts w:hint="eastAsia" w:ascii="宋体" w:hAnsi="宋体" w:eastAsia="宋体" w:cs="Times New Roman"/>
          <w:kern w:val="2"/>
          <w:sz w:val="32"/>
          <w:szCs w:val="32"/>
          <w:lang w:val="en-US" w:eastAsia="zh-CN" w:bidi="ar-SA"/>
        </w:rPr>
      </w:pPr>
    </w:p>
    <w:sectPr>
      <w:headerReference r:id="rId7" w:type="default"/>
      <w:footerReference r:id="rId8" w:type="default"/>
      <w:pgSz w:w="11906" w:h="16838"/>
      <w:pgMar w:top="1418" w:right="1588" w:bottom="1418" w:left="1365" w:header="851" w:footer="907" w:gutter="0"/>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0000000000000000000"/>
    <w:charset w:val="86"/>
    <w:family w:val="script"/>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pict>
        <v:shape id="_x0000_s4099" o:spid="_x0000_s409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2"/>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pict>
        <v:shape id="_x0000_s4100" o:spid="_x0000_s410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2"/>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b/>
        <w:i/>
      </w:rPr>
    </w:pPr>
    <w: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2"/>
                </w:pPr>
                <w:r>
                  <w:t xml:space="preserve">第 </w:t>
                </w:r>
                <w:r>
                  <w:fldChar w:fldCharType="begin"/>
                </w:r>
                <w:r>
                  <w:instrText xml:space="preserve"> PAGE  \* MERGEFORMAT </w:instrText>
                </w:r>
                <w:r>
                  <w:fldChar w:fldCharType="separate"/>
                </w:r>
                <w:r>
                  <w:t>71</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rFonts w:hint="eastAsia" w:eastAsia="华文隶书"/>
        <w:sz w:val="21"/>
      </w:rPr>
      <w:t>盐城幼儿师范高等专科学校</w:t>
    </w:r>
    <w:r>
      <w:rPr>
        <w:rFonts w:hint="eastAsia" w:eastAsia="华文隶书"/>
        <w:sz w:val="21"/>
        <w:lang w:val="en-US" w:eastAsia="zh-CN"/>
      </w:rPr>
      <w:t>招标</w:t>
    </w:r>
    <w:r>
      <w:rPr>
        <w:rFonts w:hint="eastAsia" w:eastAsia="华文隶书"/>
        <w:sz w:val="21"/>
      </w:rPr>
      <w:t>文件ycyz202</w:t>
    </w:r>
    <w:r>
      <w:rPr>
        <w:rFonts w:hint="eastAsia" w:eastAsia="华文隶书"/>
        <w:sz w:val="21"/>
        <w:lang w:val="en-US" w:eastAsia="zh-CN"/>
      </w:rPr>
      <w:t>1FW</w:t>
    </w:r>
    <w:r>
      <w:rPr>
        <w:rFonts w:hint="eastAsia" w:eastAsia="华文隶书"/>
        <w:sz w:val="21"/>
      </w:rPr>
      <w:t>00</w:t>
    </w:r>
    <w:r>
      <w:rPr>
        <w:rFonts w:hint="eastAsia" w:eastAsia="华文隶书"/>
        <w:sz w:val="21"/>
        <w:lang w:val="en-US" w:eastAsia="zh-CN"/>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rFonts w:hint="eastAsia" w:eastAsia="华文隶书"/>
        <w:sz w:val="21"/>
      </w:rPr>
      <w:t>盐城幼儿师范高等专科学校</w:t>
    </w:r>
    <w:r>
      <w:rPr>
        <w:rFonts w:hint="eastAsia" w:eastAsia="华文隶书"/>
        <w:sz w:val="21"/>
        <w:lang w:val="en-US" w:eastAsia="zh-CN"/>
      </w:rPr>
      <w:t>招标</w:t>
    </w:r>
    <w:r>
      <w:rPr>
        <w:rFonts w:hint="eastAsia" w:eastAsia="华文隶书"/>
        <w:sz w:val="21"/>
      </w:rPr>
      <w:t>文件ycyz202</w:t>
    </w:r>
    <w:r>
      <w:rPr>
        <w:rFonts w:hint="eastAsia" w:eastAsia="华文隶书"/>
        <w:sz w:val="21"/>
        <w:lang w:val="en-US" w:eastAsia="zh-CN"/>
      </w:rPr>
      <w:t>1FW</w:t>
    </w:r>
    <w:r>
      <w:rPr>
        <w:rFonts w:hint="eastAsia" w:eastAsia="华文隶书"/>
        <w:sz w:val="21"/>
      </w:rPr>
      <w:t>00</w:t>
    </w:r>
    <w:r>
      <w:rPr>
        <w:rFonts w:hint="eastAsia" w:eastAsia="华文隶书"/>
        <w:sz w:val="21"/>
        <w:lang w:val="en-US" w:eastAsia="zh-CN"/>
      </w:rPr>
      <w:t>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rFonts w:hint="eastAsia" w:eastAsia="华文隶书"/>
        <w:sz w:val="21"/>
      </w:rPr>
      <w:t>盐城幼儿师范高等专科学校</w:t>
    </w:r>
    <w:r>
      <w:rPr>
        <w:rFonts w:hint="eastAsia" w:eastAsia="华文隶书"/>
        <w:sz w:val="21"/>
        <w:lang w:val="en-US" w:eastAsia="zh-CN"/>
      </w:rPr>
      <w:t>招标</w:t>
    </w:r>
    <w:r>
      <w:rPr>
        <w:rFonts w:hint="eastAsia" w:eastAsia="华文隶书"/>
        <w:sz w:val="21"/>
      </w:rPr>
      <w:t>文件ycyz202</w:t>
    </w:r>
    <w:r>
      <w:rPr>
        <w:rFonts w:hint="eastAsia" w:eastAsia="华文隶书"/>
        <w:sz w:val="21"/>
        <w:lang w:val="en-US" w:eastAsia="zh-CN"/>
      </w:rPr>
      <w:t>1FW</w:t>
    </w:r>
    <w:r>
      <w:rPr>
        <w:rFonts w:hint="eastAsia" w:eastAsia="华文隶书"/>
        <w:sz w:val="21"/>
      </w:rPr>
      <w:t>00</w:t>
    </w:r>
    <w:r>
      <w:rPr>
        <w:rFonts w:hint="eastAsia" w:eastAsia="华文隶书"/>
        <w:sz w:val="21"/>
        <w:lang w:val="en-US" w:eastAsia="zh-CN"/>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74AC3F"/>
    <w:multiLevelType w:val="singleLevel"/>
    <w:tmpl w:val="B974AC3F"/>
    <w:lvl w:ilvl="0" w:tentative="0">
      <w:start w:val="3"/>
      <w:numFmt w:val="chineseCounting"/>
      <w:suff w:val="space"/>
      <w:lvlText w:val="第%1章"/>
      <w:lvlJc w:val="left"/>
      <w:rPr>
        <w:rFonts w:hint="eastAsia"/>
      </w:rPr>
    </w:lvl>
  </w:abstractNum>
  <w:abstractNum w:abstractNumId="1">
    <w:nsid w:val="D232999C"/>
    <w:multiLevelType w:val="singleLevel"/>
    <w:tmpl w:val="D232999C"/>
    <w:lvl w:ilvl="0" w:tentative="0">
      <w:start w:val="1"/>
      <w:numFmt w:val="chineseCounting"/>
      <w:suff w:val="nothing"/>
      <w:lvlText w:val="（%1）"/>
      <w:lvlJc w:val="left"/>
      <w:pPr>
        <w:ind w:left="480" w:firstLine="0"/>
      </w:pPr>
      <w:rPr>
        <w:rFonts w:hint="eastAsia"/>
      </w:rPr>
    </w:lvl>
  </w:abstractNum>
  <w:abstractNum w:abstractNumId="2">
    <w:nsid w:val="042C2380"/>
    <w:multiLevelType w:val="singleLevel"/>
    <w:tmpl w:val="042C2380"/>
    <w:lvl w:ilvl="0" w:tentative="0">
      <w:start w:val="5"/>
      <w:numFmt w:val="decimal"/>
      <w:lvlText w:val="%1."/>
      <w:lvlJc w:val="left"/>
      <w:pPr>
        <w:tabs>
          <w:tab w:val="left" w:pos="312"/>
        </w:tabs>
      </w:pPr>
    </w:lvl>
  </w:abstractNum>
  <w:abstractNum w:abstractNumId="3">
    <w:nsid w:val="1965286A"/>
    <w:multiLevelType w:val="singleLevel"/>
    <w:tmpl w:val="1965286A"/>
    <w:lvl w:ilvl="0" w:tentative="0">
      <w:start w:val="1"/>
      <w:numFmt w:val="decimal"/>
      <w:suff w:val="nothing"/>
      <w:lvlText w:val="%1、"/>
      <w:lvlJc w:val="left"/>
    </w:lvl>
  </w:abstractNum>
  <w:abstractNum w:abstractNumId="4">
    <w:nsid w:val="46425160"/>
    <w:multiLevelType w:val="singleLevel"/>
    <w:tmpl w:val="46425160"/>
    <w:lvl w:ilvl="0" w:tentative="0">
      <w:start w:val="1"/>
      <w:numFmt w:val="decimal"/>
      <w:suff w:val="nothing"/>
      <w:lvlText w:val="%1、"/>
      <w:lvlJc w:val="left"/>
    </w:lvl>
  </w:abstractNum>
  <w:abstractNum w:abstractNumId="5">
    <w:nsid w:val="5ABAAE7C"/>
    <w:multiLevelType w:val="singleLevel"/>
    <w:tmpl w:val="5ABAAE7C"/>
    <w:lvl w:ilvl="0" w:tentative="0">
      <w:start w:val="2"/>
      <w:numFmt w:val="chineseCounting"/>
      <w:suff w:val="space"/>
      <w:lvlText w:val="第%1章"/>
      <w:lvlJc w:val="left"/>
      <w:rPr>
        <w:rFonts w:hint="eastAsia"/>
      </w:rPr>
    </w:lvl>
  </w:abstractNum>
  <w:abstractNum w:abstractNumId="6">
    <w:nsid w:val="6FBA05F3"/>
    <w:multiLevelType w:val="singleLevel"/>
    <w:tmpl w:val="6FBA05F3"/>
    <w:lvl w:ilvl="0" w:tentative="0">
      <w:start w:val="1"/>
      <w:numFmt w:val="japaneseCounting"/>
      <w:lvlText w:val="第%1章"/>
      <w:lvlJc w:val="left"/>
      <w:pPr>
        <w:tabs>
          <w:tab w:val="left" w:pos="1440"/>
        </w:tabs>
        <w:ind w:left="1440" w:hanging="1440"/>
        <w:textAlignment w:val="baseline"/>
      </w:pPr>
      <w:rPr>
        <w:rFonts w:ascii="黑体" w:eastAsia="黑体"/>
        <w:b w:val="0"/>
        <w:sz w:val="36"/>
      </w:rPr>
    </w:lvl>
  </w:abstractNum>
  <w:abstractNum w:abstractNumId="7">
    <w:nsid w:val="71797311"/>
    <w:multiLevelType w:val="multilevel"/>
    <w:tmpl w:val="71797311"/>
    <w:lvl w:ilvl="0" w:tentative="0">
      <w:start w:val="1"/>
      <w:numFmt w:val="japaneseCounting"/>
      <w:lvlText w:val="（%1）"/>
      <w:lvlJc w:val="left"/>
      <w:pPr>
        <w:tabs>
          <w:tab w:val="left" w:pos="1140"/>
        </w:tabs>
        <w:ind w:left="1140" w:hanging="72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6"/>
  </w:num>
  <w:num w:numId="2">
    <w:abstractNumId w:val="2"/>
  </w:num>
  <w:num w:numId="3">
    <w:abstractNumId w:val="5"/>
  </w:num>
  <w:num w:numId="4">
    <w:abstractNumId w:val="0"/>
  </w:num>
  <w:num w:numId="5">
    <w:abstractNumId w:val="7"/>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attachedTemplate r:id="rId1"/>
  <w:documentProtection w:enforcement="0"/>
  <w:defaultTabStop w:val="425"/>
  <w:drawingGridHorizontalSpacing w:val="105"/>
  <w:drawingGridVerticalSpacing w:val="145"/>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112.24.96.62:8084/yczfcg/OfficeServer"/>
  </w:docVars>
  <w:rsids>
    <w:rsidRoot w:val="00822AF1"/>
    <w:rsid w:val="00001EEA"/>
    <w:rsid w:val="000021F1"/>
    <w:rsid w:val="00003DC7"/>
    <w:rsid w:val="00005139"/>
    <w:rsid w:val="000060F7"/>
    <w:rsid w:val="000065F6"/>
    <w:rsid w:val="00006B61"/>
    <w:rsid w:val="00006BCB"/>
    <w:rsid w:val="00010BD5"/>
    <w:rsid w:val="00012B1C"/>
    <w:rsid w:val="00014C1E"/>
    <w:rsid w:val="00014F7E"/>
    <w:rsid w:val="0001609A"/>
    <w:rsid w:val="00016776"/>
    <w:rsid w:val="00017ECF"/>
    <w:rsid w:val="00020C65"/>
    <w:rsid w:val="00021067"/>
    <w:rsid w:val="00021BC0"/>
    <w:rsid w:val="00023FC6"/>
    <w:rsid w:val="000242A5"/>
    <w:rsid w:val="00024E29"/>
    <w:rsid w:val="000255D8"/>
    <w:rsid w:val="00025F21"/>
    <w:rsid w:val="00026BBB"/>
    <w:rsid w:val="000270C3"/>
    <w:rsid w:val="000276E8"/>
    <w:rsid w:val="00027BD2"/>
    <w:rsid w:val="00027F43"/>
    <w:rsid w:val="00031E43"/>
    <w:rsid w:val="000332F8"/>
    <w:rsid w:val="000333D7"/>
    <w:rsid w:val="00033D8D"/>
    <w:rsid w:val="00034AA1"/>
    <w:rsid w:val="00036863"/>
    <w:rsid w:val="000440A4"/>
    <w:rsid w:val="00045D22"/>
    <w:rsid w:val="00046B9E"/>
    <w:rsid w:val="0005153E"/>
    <w:rsid w:val="00053B01"/>
    <w:rsid w:val="000544A7"/>
    <w:rsid w:val="0005513D"/>
    <w:rsid w:val="00055BC4"/>
    <w:rsid w:val="00056AE9"/>
    <w:rsid w:val="00057ADA"/>
    <w:rsid w:val="000605BB"/>
    <w:rsid w:val="0006121F"/>
    <w:rsid w:val="000621F1"/>
    <w:rsid w:val="00062399"/>
    <w:rsid w:val="00062851"/>
    <w:rsid w:val="00062C51"/>
    <w:rsid w:val="0006579C"/>
    <w:rsid w:val="0006657E"/>
    <w:rsid w:val="00066E0B"/>
    <w:rsid w:val="00071631"/>
    <w:rsid w:val="00072A72"/>
    <w:rsid w:val="00073884"/>
    <w:rsid w:val="00073CD4"/>
    <w:rsid w:val="00073FEB"/>
    <w:rsid w:val="000742E4"/>
    <w:rsid w:val="00076A17"/>
    <w:rsid w:val="000824BA"/>
    <w:rsid w:val="00082C5C"/>
    <w:rsid w:val="00082F11"/>
    <w:rsid w:val="0008366C"/>
    <w:rsid w:val="000837A2"/>
    <w:rsid w:val="00084B83"/>
    <w:rsid w:val="00085AAC"/>
    <w:rsid w:val="00087B34"/>
    <w:rsid w:val="00090BB5"/>
    <w:rsid w:val="00091BD9"/>
    <w:rsid w:val="0009264A"/>
    <w:rsid w:val="000939A7"/>
    <w:rsid w:val="00094CD5"/>
    <w:rsid w:val="000956B3"/>
    <w:rsid w:val="00096A17"/>
    <w:rsid w:val="00096BDF"/>
    <w:rsid w:val="0009760F"/>
    <w:rsid w:val="000978A2"/>
    <w:rsid w:val="000A2FC6"/>
    <w:rsid w:val="000A41F7"/>
    <w:rsid w:val="000A5064"/>
    <w:rsid w:val="000A535D"/>
    <w:rsid w:val="000A5684"/>
    <w:rsid w:val="000B1517"/>
    <w:rsid w:val="000B594C"/>
    <w:rsid w:val="000B622A"/>
    <w:rsid w:val="000B7669"/>
    <w:rsid w:val="000C0376"/>
    <w:rsid w:val="000C0CA5"/>
    <w:rsid w:val="000C1440"/>
    <w:rsid w:val="000C3447"/>
    <w:rsid w:val="000C3B7F"/>
    <w:rsid w:val="000C478E"/>
    <w:rsid w:val="000C4A8C"/>
    <w:rsid w:val="000C6DBE"/>
    <w:rsid w:val="000C7D2E"/>
    <w:rsid w:val="000D004D"/>
    <w:rsid w:val="000D0C71"/>
    <w:rsid w:val="000D12F6"/>
    <w:rsid w:val="000D24A9"/>
    <w:rsid w:val="000D3F28"/>
    <w:rsid w:val="000D4768"/>
    <w:rsid w:val="000D5CD6"/>
    <w:rsid w:val="000D640F"/>
    <w:rsid w:val="000D78C9"/>
    <w:rsid w:val="000E0296"/>
    <w:rsid w:val="000E1348"/>
    <w:rsid w:val="000E2182"/>
    <w:rsid w:val="000E4679"/>
    <w:rsid w:val="000E4927"/>
    <w:rsid w:val="000E6362"/>
    <w:rsid w:val="000F17DF"/>
    <w:rsid w:val="000F1B52"/>
    <w:rsid w:val="000F1C96"/>
    <w:rsid w:val="000F299B"/>
    <w:rsid w:val="000F2FA5"/>
    <w:rsid w:val="000F3196"/>
    <w:rsid w:val="000F3822"/>
    <w:rsid w:val="000F3C65"/>
    <w:rsid w:val="000F4D32"/>
    <w:rsid w:val="000F4F5C"/>
    <w:rsid w:val="000F5749"/>
    <w:rsid w:val="000F6493"/>
    <w:rsid w:val="000F7AE6"/>
    <w:rsid w:val="00101213"/>
    <w:rsid w:val="00101851"/>
    <w:rsid w:val="0010432D"/>
    <w:rsid w:val="00105C21"/>
    <w:rsid w:val="001062AB"/>
    <w:rsid w:val="00106600"/>
    <w:rsid w:val="001066C3"/>
    <w:rsid w:val="00106A54"/>
    <w:rsid w:val="00107C82"/>
    <w:rsid w:val="00110803"/>
    <w:rsid w:val="00113C44"/>
    <w:rsid w:val="00115161"/>
    <w:rsid w:val="001152C5"/>
    <w:rsid w:val="00115439"/>
    <w:rsid w:val="00116CC8"/>
    <w:rsid w:val="001209A8"/>
    <w:rsid w:val="00120B27"/>
    <w:rsid w:val="001216F8"/>
    <w:rsid w:val="0012335D"/>
    <w:rsid w:val="00126079"/>
    <w:rsid w:val="00127CC7"/>
    <w:rsid w:val="00130A9A"/>
    <w:rsid w:val="00130C23"/>
    <w:rsid w:val="001319A2"/>
    <w:rsid w:val="0013216F"/>
    <w:rsid w:val="00132552"/>
    <w:rsid w:val="001331C3"/>
    <w:rsid w:val="00133CFB"/>
    <w:rsid w:val="00133F97"/>
    <w:rsid w:val="00134C5A"/>
    <w:rsid w:val="0013546A"/>
    <w:rsid w:val="00135483"/>
    <w:rsid w:val="00136201"/>
    <w:rsid w:val="00137CF4"/>
    <w:rsid w:val="0014305A"/>
    <w:rsid w:val="00143AE7"/>
    <w:rsid w:val="00143F13"/>
    <w:rsid w:val="0014483C"/>
    <w:rsid w:val="00144EDF"/>
    <w:rsid w:val="001462D7"/>
    <w:rsid w:val="00146BB1"/>
    <w:rsid w:val="001471B3"/>
    <w:rsid w:val="001474D5"/>
    <w:rsid w:val="00147B72"/>
    <w:rsid w:val="001501E4"/>
    <w:rsid w:val="001503E1"/>
    <w:rsid w:val="00151BCA"/>
    <w:rsid w:val="0015334F"/>
    <w:rsid w:val="0015339B"/>
    <w:rsid w:val="001535E2"/>
    <w:rsid w:val="0015366A"/>
    <w:rsid w:val="001539B3"/>
    <w:rsid w:val="00154094"/>
    <w:rsid w:val="001542EE"/>
    <w:rsid w:val="00154675"/>
    <w:rsid w:val="00155193"/>
    <w:rsid w:val="001553EC"/>
    <w:rsid w:val="00155CB8"/>
    <w:rsid w:val="00156462"/>
    <w:rsid w:val="00156876"/>
    <w:rsid w:val="001569DC"/>
    <w:rsid w:val="00157965"/>
    <w:rsid w:val="0016079C"/>
    <w:rsid w:val="00161885"/>
    <w:rsid w:val="00162263"/>
    <w:rsid w:val="00163DB6"/>
    <w:rsid w:val="00163ED5"/>
    <w:rsid w:val="00164ABA"/>
    <w:rsid w:val="0016506B"/>
    <w:rsid w:val="00167B47"/>
    <w:rsid w:val="001705EF"/>
    <w:rsid w:val="0017062E"/>
    <w:rsid w:val="00170855"/>
    <w:rsid w:val="00170F8C"/>
    <w:rsid w:val="00171154"/>
    <w:rsid w:val="00173EEF"/>
    <w:rsid w:val="001752DD"/>
    <w:rsid w:val="00176DDF"/>
    <w:rsid w:val="00177570"/>
    <w:rsid w:val="00180009"/>
    <w:rsid w:val="0018080C"/>
    <w:rsid w:val="00181408"/>
    <w:rsid w:val="00181970"/>
    <w:rsid w:val="001821CF"/>
    <w:rsid w:val="0018241C"/>
    <w:rsid w:val="00182970"/>
    <w:rsid w:val="00185B7D"/>
    <w:rsid w:val="001860E5"/>
    <w:rsid w:val="0018667B"/>
    <w:rsid w:val="001909F8"/>
    <w:rsid w:val="001916EA"/>
    <w:rsid w:val="0019175E"/>
    <w:rsid w:val="00192491"/>
    <w:rsid w:val="0019270C"/>
    <w:rsid w:val="001943E8"/>
    <w:rsid w:val="00195F51"/>
    <w:rsid w:val="00197156"/>
    <w:rsid w:val="001972B4"/>
    <w:rsid w:val="00197325"/>
    <w:rsid w:val="00197B96"/>
    <w:rsid w:val="001A0C55"/>
    <w:rsid w:val="001A0F57"/>
    <w:rsid w:val="001A121B"/>
    <w:rsid w:val="001A16F7"/>
    <w:rsid w:val="001A2217"/>
    <w:rsid w:val="001A2797"/>
    <w:rsid w:val="001A2BE2"/>
    <w:rsid w:val="001A4A81"/>
    <w:rsid w:val="001A5BDF"/>
    <w:rsid w:val="001A6895"/>
    <w:rsid w:val="001A755B"/>
    <w:rsid w:val="001B1953"/>
    <w:rsid w:val="001B2DEF"/>
    <w:rsid w:val="001B5050"/>
    <w:rsid w:val="001B58BB"/>
    <w:rsid w:val="001B6D50"/>
    <w:rsid w:val="001B7E61"/>
    <w:rsid w:val="001C14B1"/>
    <w:rsid w:val="001C14D1"/>
    <w:rsid w:val="001C373D"/>
    <w:rsid w:val="001C5C56"/>
    <w:rsid w:val="001C5F27"/>
    <w:rsid w:val="001D01DB"/>
    <w:rsid w:val="001D14C3"/>
    <w:rsid w:val="001D1657"/>
    <w:rsid w:val="001D35C3"/>
    <w:rsid w:val="001D3D3E"/>
    <w:rsid w:val="001D4109"/>
    <w:rsid w:val="001D4A32"/>
    <w:rsid w:val="001D6773"/>
    <w:rsid w:val="001D6B89"/>
    <w:rsid w:val="001D6E74"/>
    <w:rsid w:val="001D702A"/>
    <w:rsid w:val="001E12F6"/>
    <w:rsid w:val="001E13DE"/>
    <w:rsid w:val="001E1981"/>
    <w:rsid w:val="001E2637"/>
    <w:rsid w:val="001E3063"/>
    <w:rsid w:val="001E5972"/>
    <w:rsid w:val="001E61A6"/>
    <w:rsid w:val="001E7A14"/>
    <w:rsid w:val="001F0E68"/>
    <w:rsid w:val="001F110F"/>
    <w:rsid w:val="001F15A6"/>
    <w:rsid w:val="001F1B38"/>
    <w:rsid w:val="001F1DF0"/>
    <w:rsid w:val="001F2972"/>
    <w:rsid w:val="001F3E1F"/>
    <w:rsid w:val="001F402C"/>
    <w:rsid w:val="002015B0"/>
    <w:rsid w:val="00201E83"/>
    <w:rsid w:val="00201E97"/>
    <w:rsid w:val="00202DD9"/>
    <w:rsid w:val="00203A07"/>
    <w:rsid w:val="00210ECA"/>
    <w:rsid w:val="00211A2F"/>
    <w:rsid w:val="00213857"/>
    <w:rsid w:val="00213E9A"/>
    <w:rsid w:val="002142E2"/>
    <w:rsid w:val="00215C57"/>
    <w:rsid w:val="002173E8"/>
    <w:rsid w:val="00217582"/>
    <w:rsid w:val="002178D7"/>
    <w:rsid w:val="00217A24"/>
    <w:rsid w:val="00223B19"/>
    <w:rsid w:val="00223E1D"/>
    <w:rsid w:val="00224864"/>
    <w:rsid w:val="002248B3"/>
    <w:rsid w:val="00225AFD"/>
    <w:rsid w:val="00230D01"/>
    <w:rsid w:val="00231963"/>
    <w:rsid w:val="00233012"/>
    <w:rsid w:val="002330E9"/>
    <w:rsid w:val="00234032"/>
    <w:rsid w:val="00234C01"/>
    <w:rsid w:val="0023531C"/>
    <w:rsid w:val="00236135"/>
    <w:rsid w:val="00243056"/>
    <w:rsid w:val="0024324A"/>
    <w:rsid w:val="002440FD"/>
    <w:rsid w:val="002442A4"/>
    <w:rsid w:val="00244357"/>
    <w:rsid w:val="00244C9A"/>
    <w:rsid w:val="00244FFE"/>
    <w:rsid w:val="00247653"/>
    <w:rsid w:val="00254FD3"/>
    <w:rsid w:val="00255E92"/>
    <w:rsid w:val="002561D3"/>
    <w:rsid w:val="00256269"/>
    <w:rsid w:val="00256BBD"/>
    <w:rsid w:val="00260723"/>
    <w:rsid w:val="002607A3"/>
    <w:rsid w:val="00260BB7"/>
    <w:rsid w:val="0026144C"/>
    <w:rsid w:val="00262FF0"/>
    <w:rsid w:val="002664E2"/>
    <w:rsid w:val="0027038C"/>
    <w:rsid w:val="00270D8D"/>
    <w:rsid w:val="002716FB"/>
    <w:rsid w:val="0027505D"/>
    <w:rsid w:val="002751D4"/>
    <w:rsid w:val="00275353"/>
    <w:rsid w:val="00277995"/>
    <w:rsid w:val="00281581"/>
    <w:rsid w:val="00281895"/>
    <w:rsid w:val="0028434A"/>
    <w:rsid w:val="00287E9A"/>
    <w:rsid w:val="0029102F"/>
    <w:rsid w:val="002910ED"/>
    <w:rsid w:val="00291D3C"/>
    <w:rsid w:val="0029219F"/>
    <w:rsid w:val="00293E8A"/>
    <w:rsid w:val="00294281"/>
    <w:rsid w:val="00296F36"/>
    <w:rsid w:val="00297496"/>
    <w:rsid w:val="002975F4"/>
    <w:rsid w:val="002976E3"/>
    <w:rsid w:val="002A1A72"/>
    <w:rsid w:val="002A1D98"/>
    <w:rsid w:val="002A257F"/>
    <w:rsid w:val="002A2FE1"/>
    <w:rsid w:val="002A31C4"/>
    <w:rsid w:val="002A5EB4"/>
    <w:rsid w:val="002B340B"/>
    <w:rsid w:val="002B3493"/>
    <w:rsid w:val="002B36F2"/>
    <w:rsid w:val="002B3A14"/>
    <w:rsid w:val="002B3F6A"/>
    <w:rsid w:val="002B49AD"/>
    <w:rsid w:val="002B5887"/>
    <w:rsid w:val="002B758B"/>
    <w:rsid w:val="002B7C5D"/>
    <w:rsid w:val="002C14F9"/>
    <w:rsid w:val="002C57E1"/>
    <w:rsid w:val="002C5A53"/>
    <w:rsid w:val="002C5DC3"/>
    <w:rsid w:val="002C620C"/>
    <w:rsid w:val="002C639D"/>
    <w:rsid w:val="002C6BC7"/>
    <w:rsid w:val="002D009F"/>
    <w:rsid w:val="002D0440"/>
    <w:rsid w:val="002D2BA8"/>
    <w:rsid w:val="002D2D7E"/>
    <w:rsid w:val="002D2EC2"/>
    <w:rsid w:val="002D337A"/>
    <w:rsid w:val="002D337E"/>
    <w:rsid w:val="002D49D4"/>
    <w:rsid w:val="002D5A0E"/>
    <w:rsid w:val="002D5FC4"/>
    <w:rsid w:val="002D6427"/>
    <w:rsid w:val="002D7C63"/>
    <w:rsid w:val="002E0083"/>
    <w:rsid w:val="002E0265"/>
    <w:rsid w:val="002E0D36"/>
    <w:rsid w:val="002E1BAA"/>
    <w:rsid w:val="002E206A"/>
    <w:rsid w:val="002E32E7"/>
    <w:rsid w:val="002E4D45"/>
    <w:rsid w:val="002E4F80"/>
    <w:rsid w:val="002E7755"/>
    <w:rsid w:val="002E7AF5"/>
    <w:rsid w:val="002E7D17"/>
    <w:rsid w:val="002F160B"/>
    <w:rsid w:val="002F1E0F"/>
    <w:rsid w:val="002F2362"/>
    <w:rsid w:val="002F39C9"/>
    <w:rsid w:val="002F4FE9"/>
    <w:rsid w:val="002F5991"/>
    <w:rsid w:val="002F7432"/>
    <w:rsid w:val="002F7987"/>
    <w:rsid w:val="0030004D"/>
    <w:rsid w:val="0030300C"/>
    <w:rsid w:val="00303B22"/>
    <w:rsid w:val="003046B1"/>
    <w:rsid w:val="0030530B"/>
    <w:rsid w:val="00305902"/>
    <w:rsid w:val="0030792E"/>
    <w:rsid w:val="00307D8B"/>
    <w:rsid w:val="003100C5"/>
    <w:rsid w:val="003102E4"/>
    <w:rsid w:val="00311404"/>
    <w:rsid w:val="00311F7A"/>
    <w:rsid w:val="00314A50"/>
    <w:rsid w:val="00314CE0"/>
    <w:rsid w:val="003161E0"/>
    <w:rsid w:val="0031718B"/>
    <w:rsid w:val="00317836"/>
    <w:rsid w:val="00320AF9"/>
    <w:rsid w:val="003222BD"/>
    <w:rsid w:val="00322800"/>
    <w:rsid w:val="0032284B"/>
    <w:rsid w:val="00322C31"/>
    <w:rsid w:val="0032383B"/>
    <w:rsid w:val="00324629"/>
    <w:rsid w:val="00324942"/>
    <w:rsid w:val="00325F10"/>
    <w:rsid w:val="0032622F"/>
    <w:rsid w:val="003273CB"/>
    <w:rsid w:val="0033180A"/>
    <w:rsid w:val="00332BD1"/>
    <w:rsid w:val="00333C6A"/>
    <w:rsid w:val="00333CDF"/>
    <w:rsid w:val="00336EB4"/>
    <w:rsid w:val="00340404"/>
    <w:rsid w:val="00341B1F"/>
    <w:rsid w:val="00342232"/>
    <w:rsid w:val="00342F58"/>
    <w:rsid w:val="00344A42"/>
    <w:rsid w:val="00345172"/>
    <w:rsid w:val="00345847"/>
    <w:rsid w:val="00345904"/>
    <w:rsid w:val="00346DB2"/>
    <w:rsid w:val="003513A0"/>
    <w:rsid w:val="003516DA"/>
    <w:rsid w:val="00351E99"/>
    <w:rsid w:val="0035227C"/>
    <w:rsid w:val="00352805"/>
    <w:rsid w:val="00352E10"/>
    <w:rsid w:val="00354471"/>
    <w:rsid w:val="00356A73"/>
    <w:rsid w:val="00360A6E"/>
    <w:rsid w:val="00361414"/>
    <w:rsid w:val="00362AD6"/>
    <w:rsid w:val="0036321A"/>
    <w:rsid w:val="0036323C"/>
    <w:rsid w:val="003637A9"/>
    <w:rsid w:val="0036489F"/>
    <w:rsid w:val="00364C10"/>
    <w:rsid w:val="00364D92"/>
    <w:rsid w:val="003651A8"/>
    <w:rsid w:val="0036697F"/>
    <w:rsid w:val="00366A7D"/>
    <w:rsid w:val="00370538"/>
    <w:rsid w:val="00370EE3"/>
    <w:rsid w:val="00371669"/>
    <w:rsid w:val="003723DE"/>
    <w:rsid w:val="003735A5"/>
    <w:rsid w:val="0037409D"/>
    <w:rsid w:val="00374A1A"/>
    <w:rsid w:val="0037542D"/>
    <w:rsid w:val="003757DC"/>
    <w:rsid w:val="003757FE"/>
    <w:rsid w:val="0037639C"/>
    <w:rsid w:val="00376BFC"/>
    <w:rsid w:val="00380344"/>
    <w:rsid w:val="003805A7"/>
    <w:rsid w:val="003813A4"/>
    <w:rsid w:val="0038206F"/>
    <w:rsid w:val="003825E0"/>
    <w:rsid w:val="00382C6A"/>
    <w:rsid w:val="00382E67"/>
    <w:rsid w:val="003837A1"/>
    <w:rsid w:val="003837C7"/>
    <w:rsid w:val="00383877"/>
    <w:rsid w:val="00384669"/>
    <w:rsid w:val="00384B1E"/>
    <w:rsid w:val="00386BE7"/>
    <w:rsid w:val="00386DF4"/>
    <w:rsid w:val="00387E7E"/>
    <w:rsid w:val="00391A1F"/>
    <w:rsid w:val="00391F59"/>
    <w:rsid w:val="003955A2"/>
    <w:rsid w:val="00397211"/>
    <w:rsid w:val="003974BB"/>
    <w:rsid w:val="003A09F4"/>
    <w:rsid w:val="003A10F5"/>
    <w:rsid w:val="003A18AC"/>
    <w:rsid w:val="003A1A6E"/>
    <w:rsid w:val="003A44A8"/>
    <w:rsid w:val="003A454B"/>
    <w:rsid w:val="003A4E67"/>
    <w:rsid w:val="003A5ED9"/>
    <w:rsid w:val="003A72E5"/>
    <w:rsid w:val="003B0117"/>
    <w:rsid w:val="003B08FD"/>
    <w:rsid w:val="003B367D"/>
    <w:rsid w:val="003B3E7D"/>
    <w:rsid w:val="003B559E"/>
    <w:rsid w:val="003B59D9"/>
    <w:rsid w:val="003B5D45"/>
    <w:rsid w:val="003B6952"/>
    <w:rsid w:val="003B6DB5"/>
    <w:rsid w:val="003B7F66"/>
    <w:rsid w:val="003C10DD"/>
    <w:rsid w:val="003C1190"/>
    <w:rsid w:val="003C1289"/>
    <w:rsid w:val="003C2598"/>
    <w:rsid w:val="003C3300"/>
    <w:rsid w:val="003C3481"/>
    <w:rsid w:val="003C3791"/>
    <w:rsid w:val="003C3F42"/>
    <w:rsid w:val="003C422D"/>
    <w:rsid w:val="003C5123"/>
    <w:rsid w:val="003C5ABF"/>
    <w:rsid w:val="003C69D7"/>
    <w:rsid w:val="003C7AE5"/>
    <w:rsid w:val="003D08E3"/>
    <w:rsid w:val="003D0B75"/>
    <w:rsid w:val="003D10D2"/>
    <w:rsid w:val="003D137A"/>
    <w:rsid w:val="003D1E45"/>
    <w:rsid w:val="003D2006"/>
    <w:rsid w:val="003D300E"/>
    <w:rsid w:val="003D430B"/>
    <w:rsid w:val="003D63E3"/>
    <w:rsid w:val="003D647D"/>
    <w:rsid w:val="003D7B1B"/>
    <w:rsid w:val="003D7EE6"/>
    <w:rsid w:val="003E01CB"/>
    <w:rsid w:val="003E01D7"/>
    <w:rsid w:val="003E05B7"/>
    <w:rsid w:val="003E11C1"/>
    <w:rsid w:val="003E15AA"/>
    <w:rsid w:val="003E19BE"/>
    <w:rsid w:val="003E2BFA"/>
    <w:rsid w:val="003E3675"/>
    <w:rsid w:val="003E3C34"/>
    <w:rsid w:val="003E46E0"/>
    <w:rsid w:val="003E5F8D"/>
    <w:rsid w:val="003E744E"/>
    <w:rsid w:val="003E7467"/>
    <w:rsid w:val="003F0E5A"/>
    <w:rsid w:val="003F2F87"/>
    <w:rsid w:val="003F3D20"/>
    <w:rsid w:val="003F3D3D"/>
    <w:rsid w:val="003F4477"/>
    <w:rsid w:val="003F4A55"/>
    <w:rsid w:val="003F4FAB"/>
    <w:rsid w:val="003F5A9B"/>
    <w:rsid w:val="003F5CA7"/>
    <w:rsid w:val="004007DB"/>
    <w:rsid w:val="00400C8B"/>
    <w:rsid w:val="004024F1"/>
    <w:rsid w:val="00403EE9"/>
    <w:rsid w:val="004043A2"/>
    <w:rsid w:val="00405121"/>
    <w:rsid w:val="0041079B"/>
    <w:rsid w:val="00410D40"/>
    <w:rsid w:val="00411141"/>
    <w:rsid w:val="00412922"/>
    <w:rsid w:val="00412A51"/>
    <w:rsid w:val="00414707"/>
    <w:rsid w:val="00414E62"/>
    <w:rsid w:val="00416102"/>
    <w:rsid w:val="0041786D"/>
    <w:rsid w:val="0042033E"/>
    <w:rsid w:val="00420952"/>
    <w:rsid w:val="00420ECB"/>
    <w:rsid w:val="0042200D"/>
    <w:rsid w:val="00422355"/>
    <w:rsid w:val="00423691"/>
    <w:rsid w:val="004248EB"/>
    <w:rsid w:val="00426DC2"/>
    <w:rsid w:val="00427452"/>
    <w:rsid w:val="004278D2"/>
    <w:rsid w:val="00427D01"/>
    <w:rsid w:val="00431297"/>
    <w:rsid w:val="00431D82"/>
    <w:rsid w:val="00433227"/>
    <w:rsid w:val="00434521"/>
    <w:rsid w:val="00435338"/>
    <w:rsid w:val="00435C59"/>
    <w:rsid w:val="0043640B"/>
    <w:rsid w:val="00436A23"/>
    <w:rsid w:val="00437A7F"/>
    <w:rsid w:val="00440C79"/>
    <w:rsid w:val="00441801"/>
    <w:rsid w:val="004419B0"/>
    <w:rsid w:val="00441A24"/>
    <w:rsid w:val="00442C53"/>
    <w:rsid w:val="0044338F"/>
    <w:rsid w:val="00443946"/>
    <w:rsid w:val="00444AAB"/>
    <w:rsid w:val="00444E05"/>
    <w:rsid w:val="00445268"/>
    <w:rsid w:val="00445A89"/>
    <w:rsid w:val="00446354"/>
    <w:rsid w:val="004467D3"/>
    <w:rsid w:val="004541C8"/>
    <w:rsid w:val="004546A0"/>
    <w:rsid w:val="0045494F"/>
    <w:rsid w:val="00455782"/>
    <w:rsid w:val="00455D04"/>
    <w:rsid w:val="004619D2"/>
    <w:rsid w:val="0046208D"/>
    <w:rsid w:val="004620DD"/>
    <w:rsid w:val="004623C6"/>
    <w:rsid w:val="004625BB"/>
    <w:rsid w:val="00462769"/>
    <w:rsid w:val="00463C93"/>
    <w:rsid w:val="0047140D"/>
    <w:rsid w:val="004717D9"/>
    <w:rsid w:val="00472192"/>
    <w:rsid w:val="00472FDE"/>
    <w:rsid w:val="00474521"/>
    <w:rsid w:val="00474B80"/>
    <w:rsid w:val="00475C95"/>
    <w:rsid w:val="004765B6"/>
    <w:rsid w:val="00477688"/>
    <w:rsid w:val="00481BCD"/>
    <w:rsid w:val="0048224C"/>
    <w:rsid w:val="00482715"/>
    <w:rsid w:val="004837DF"/>
    <w:rsid w:val="00484CB3"/>
    <w:rsid w:val="004874B1"/>
    <w:rsid w:val="00490600"/>
    <w:rsid w:val="0049146C"/>
    <w:rsid w:val="00491A79"/>
    <w:rsid w:val="0049301E"/>
    <w:rsid w:val="004939DA"/>
    <w:rsid w:val="00494B59"/>
    <w:rsid w:val="00494C4F"/>
    <w:rsid w:val="004957EF"/>
    <w:rsid w:val="00496DDB"/>
    <w:rsid w:val="004A099A"/>
    <w:rsid w:val="004A4374"/>
    <w:rsid w:val="004A4C5B"/>
    <w:rsid w:val="004A5947"/>
    <w:rsid w:val="004A5A84"/>
    <w:rsid w:val="004A5B1A"/>
    <w:rsid w:val="004A6962"/>
    <w:rsid w:val="004A7717"/>
    <w:rsid w:val="004A7991"/>
    <w:rsid w:val="004A7C68"/>
    <w:rsid w:val="004B0612"/>
    <w:rsid w:val="004B0715"/>
    <w:rsid w:val="004B23E3"/>
    <w:rsid w:val="004B2C74"/>
    <w:rsid w:val="004B4BBB"/>
    <w:rsid w:val="004B4EFA"/>
    <w:rsid w:val="004B57E2"/>
    <w:rsid w:val="004B5E0A"/>
    <w:rsid w:val="004B642D"/>
    <w:rsid w:val="004B6AD4"/>
    <w:rsid w:val="004B6BE7"/>
    <w:rsid w:val="004B7682"/>
    <w:rsid w:val="004C1A8F"/>
    <w:rsid w:val="004C20F3"/>
    <w:rsid w:val="004C37E9"/>
    <w:rsid w:val="004C4882"/>
    <w:rsid w:val="004C4973"/>
    <w:rsid w:val="004C51B3"/>
    <w:rsid w:val="004C57EA"/>
    <w:rsid w:val="004C598D"/>
    <w:rsid w:val="004C6246"/>
    <w:rsid w:val="004C6730"/>
    <w:rsid w:val="004C7074"/>
    <w:rsid w:val="004C7E4A"/>
    <w:rsid w:val="004D139B"/>
    <w:rsid w:val="004D13A1"/>
    <w:rsid w:val="004D1559"/>
    <w:rsid w:val="004D21EC"/>
    <w:rsid w:val="004D2366"/>
    <w:rsid w:val="004D2E87"/>
    <w:rsid w:val="004D36A3"/>
    <w:rsid w:val="004D510B"/>
    <w:rsid w:val="004D5435"/>
    <w:rsid w:val="004D6107"/>
    <w:rsid w:val="004D6335"/>
    <w:rsid w:val="004E0ECA"/>
    <w:rsid w:val="004E32C2"/>
    <w:rsid w:val="004E4130"/>
    <w:rsid w:val="004E6338"/>
    <w:rsid w:val="004E6D99"/>
    <w:rsid w:val="004E6F8D"/>
    <w:rsid w:val="004F05B3"/>
    <w:rsid w:val="004F159D"/>
    <w:rsid w:val="004F1E84"/>
    <w:rsid w:val="004F2C95"/>
    <w:rsid w:val="004F3397"/>
    <w:rsid w:val="004F34A8"/>
    <w:rsid w:val="004F4AE0"/>
    <w:rsid w:val="004F526C"/>
    <w:rsid w:val="004F54BA"/>
    <w:rsid w:val="005000FE"/>
    <w:rsid w:val="00500D41"/>
    <w:rsid w:val="00502660"/>
    <w:rsid w:val="00503685"/>
    <w:rsid w:val="00504FB2"/>
    <w:rsid w:val="00505733"/>
    <w:rsid w:val="00505BED"/>
    <w:rsid w:val="00506B42"/>
    <w:rsid w:val="00510236"/>
    <w:rsid w:val="005118AB"/>
    <w:rsid w:val="00512034"/>
    <w:rsid w:val="005124EE"/>
    <w:rsid w:val="005142D5"/>
    <w:rsid w:val="00514D3A"/>
    <w:rsid w:val="00514F73"/>
    <w:rsid w:val="005150DF"/>
    <w:rsid w:val="00515ACD"/>
    <w:rsid w:val="00516C4A"/>
    <w:rsid w:val="00527C3A"/>
    <w:rsid w:val="00531504"/>
    <w:rsid w:val="00532ED5"/>
    <w:rsid w:val="00533AE1"/>
    <w:rsid w:val="00533FB8"/>
    <w:rsid w:val="005340AF"/>
    <w:rsid w:val="00535A32"/>
    <w:rsid w:val="00535FA1"/>
    <w:rsid w:val="005361E9"/>
    <w:rsid w:val="0054082E"/>
    <w:rsid w:val="0054132B"/>
    <w:rsid w:val="00541D5A"/>
    <w:rsid w:val="00542A4C"/>
    <w:rsid w:val="005448F9"/>
    <w:rsid w:val="00545275"/>
    <w:rsid w:val="00545C97"/>
    <w:rsid w:val="00546111"/>
    <w:rsid w:val="0054631A"/>
    <w:rsid w:val="0054702D"/>
    <w:rsid w:val="005474A7"/>
    <w:rsid w:val="00547A52"/>
    <w:rsid w:val="00547F1A"/>
    <w:rsid w:val="00551078"/>
    <w:rsid w:val="005528D7"/>
    <w:rsid w:val="00552D0E"/>
    <w:rsid w:val="0055319A"/>
    <w:rsid w:val="00553A93"/>
    <w:rsid w:val="00553E41"/>
    <w:rsid w:val="005569D3"/>
    <w:rsid w:val="00556ACF"/>
    <w:rsid w:val="00557905"/>
    <w:rsid w:val="00557A2E"/>
    <w:rsid w:val="00557B99"/>
    <w:rsid w:val="005619A4"/>
    <w:rsid w:val="00563148"/>
    <w:rsid w:val="00564925"/>
    <w:rsid w:val="00565404"/>
    <w:rsid w:val="00565A73"/>
    <w:rsid w:val="005700F5"/>
    <w:rsid w:val="005704A3"/>
    <w:rsid w:val="00570DA0"/>
    <w:rsid w:val="00572AAC"/>
    <w:rsid w:val="00576136"/>
    <w:rsid w:val="005764D5"/>
    <w:rsid w:val="005765A1"/>
    <w:rsid w:val="00576A34"/>
    <w:rsid w:val="00576C05"/>
    <w:rsid w:val="005779B1"/>
    <w:rsid w:val="0058049C"/>
    <w:rsid w:val="00580792"/>
    <w:rsid w:val="0058113B"/>
    <w:rsid w:val="00581334"/>
    <w:rsid w:val="00581514"/>
    <w:rsid w:val="00581EB1"/>
    <w:rsid w:val="005821C7"/>
    <w:rsid w:val="00582386"/>
    <w:rsid w:val="00582A77"/>
    <w:rsid w:val="00582F7C"/>
    <w:rsid w:val="00583B02"/>
    <w:rsid w:val="005850B9"/>
    <w:rsid w:val="00585B72"/>
    <w:rsid w:val="00585E2F"/>
    <w:rsid w:val="00585E92"/>
    <w:rsid w:val="005921EF"/>
    <w:rsid w:val="005927B4"/>
    <w:rsid w:val="00592963"/>
    <w:rsid w:val="005929BA"/>
    <w:rsid w:val="005930B9"/>
    <w:rsid w:val="00594415"/>
    <w:rsid w:val="00595052"/>
    <w:rsid w:val="005966F6"/>
    <w:rsid w:val="005967C2"/>
    <w:rsid w:val="00597A56"/>
    <w:rsid w:val="005A0E90"/>
    <w:rsid w:val="005A1B17"/>
    <w:rsid w:val="005A1F07"/>
    <w:rsid w:val="005A26D5"/>
    <w:rsid w:val="005A336E"/>
    <w:rsid w:val="005A5060"/>
    <w:rsid w:val="005A71B8"/>
    <w:rsid w:val="005B0841"/>
    <w:rsid w:val="005B220B"/>
    <w:rsid w:val="005B296B"/>
    <w:rsid w:val="005B2A20"/>
    <w:rsid w:val="005B317C"/>
    <w:rsid w:val="005B5728"/>
    <w:rsid w:val="005B6660"/>
    <w:rsid w:val="005B666F"/>
    <w:rsid w:val="005B6B13"/>
    <w:rsid w:val="005B713F"/>
    <w:rsid w:val="005C1AC2"/>
    <w:rsid w:val="005C226F"/>
    <w:rsid w:val="005C31A5"/>
    <w:rsid w:val="005C54A5"/>
    <w:rsid w:val="005C5E1B"/>
    <w:rsid w:val="005C7F76"/>
    <w:rsid w:val="005D0836"/>
    <w:rsid w:val="005D0E31"/>
    <w:rsid w:val="005D0FF6"/>
    <w:rsid w:val="005D1814"/>
    <w:rsid w:val="005D2582"/>
    <w:rsid w:val="005D2F4F"/>
    <w:rsid w:val="005D3C82"/>
    <w:rsid w:val="005D45E2"/>
    <w:rsid w:val="005D4F77"/>
    <w:rsid w:val="005D50E5"/>
    <w:rsid w:val="005D6EAC"/>
    <w:rsid w:val="005D7231"/>
    <w:rsid w:val="005D74B4"/>
    <w:rsid w:val="005E041E"/>
    <w:rsid w:val="005E066A"/>
    <w:rsid w:val="005E08F0"/>
    <w:rsid w:val="005E0D27"/>
    <w:rsid w:val="005E209B"/>
    <w:rsid w:val="005E2853"/>
    <w:rsid w:val="005E3525"/>
    <w:rsid w:val="005E3648"/>
    <w:rsid w:val="005E6190"/>
    <w:rsid w:val="005E6D04"/>
    <w:rsid w:val="005E711C"/>
    <w:rsid w:val="005E74E2"/>
    <w:rsid w:val="005E78FF"/>
    <w:rsid w:val="005E797D"/>
    <w:rsid w:val="005F1F14"/>
    <w:rsid w:val="005F2D59"/>
    <w:rsid w:val="005F37C7"/>
    <w:rsid w:val="005F4260"/>
    <w:rsid w:val="005F4384"/>
    <w:rsid w:val="005F4702"/>
    <w:rsid w:val="005F5F5F"/>
    <w:rsid w:val="005F688B"/>
    <w:rsid w:val="00600EF7"/>
    <w:rsid w:val="00601091"/>
    <w:rsid w:val="006013D6"/>
    <w:rsid w:val="006017CE"/>
    <w:rsid w:val="0060313A"/>
    <w:rsid w:val="00605458"/>
    <w:rsid w:val="0060612E"/>
    <w:rsid w:val="00606422"/>
    <w:rsid w:val="00610966"/>
    <w:rsid w:val="00611A6B"/>
    <w:rsid w:val="00611B75"/>
    <w:rsid w:val="00612785"/>
    <w:rsid w:val="00613EC1"/>
    <w:rsid w:val="00615124"/>
    <w:rsid w:val="00615DE9"/>
    <w:rsid w:val="00617A49"/>
    <w:rsid w:val="00617E8B"/>
    <w:rsid w:val="006205F7"/>
    <w:rsid w:val="00620CC3"/>
    <w:rsid w:val="00624406"/>
    <w:rsid w:val="0062494A"/>
    <w:rsid w:val="006252A4"/>
    <w:rsid w:val="006253F1"/>
    <w:rsid w:val="006264B1"/>
    <w:rsid w:val="00626829"/>
    <w:rsid w:val="00630DAC"/>
    <w:rsid w:val="00630E1C"/>
    <w:rsid w:val="006319BA"/>
    <w:rsid w:val="006336FA"/>
    <w:rsid w:val="00635980"/>
    <w:rsid w:val="00635F47"/>
    <w:rsid w:val="006362C3"/>
    <w:rsid w:val="006374F7"/>
    <w:rsid w:val="006377D7"/>
    <w:rsid w:val="00637892"/>
    <w:rsid w:val="00640359"/>
    <w:rsid w:val="0064259B"/>
    <w:rsid w:val="00643182"/>
    <w:rsid w:val="00643300"/>
    <w:rsid w:val="006435C5"/>
    <w:rsid w:val="006439B3"/>
    <w:rsid w:val="00643CB6"/>
    <w:rsid w:val="0064411E"/>
    <w:rsid w:val="00644909"/>
    <w:rsid w:val="00646034"/>
    <w:rsid w:val="006502FA"/>
    <w:rsid w:val="00650C43"/>
    <w:rsid w:val="00651685"/>
    <w:rsid w:val="00651A7D"/>
    <w:rsid w:val="00651B78"/>
    <w:rsid w:val="00651D3F"/>
    <w:rsid w:val="00651DEA"/>
    <w:rsid w:val="00651EDB"/>
    <w:rsid w:val="0065276D"/>
    <w:rsid w:val="00653120"/>
    <w:rsid w:val="00653D99"/>
    <w:rsid w:val="00653EAB"/>
    <w:rsid w:val="00654152"/>
    <w:rsid w:val="00654273"/>
    <w:rsid w:val="00654444"/>
    <w:rsid w:val="00654716"/>
    <w:rsid w:val="00654E03"/>
    <w:rsid w:val="00655FB0"/>
    <w:rsid w:val="006605C3"/>
    <w:rsid w:val="00663932"/>
    <w:rsid w:val="006646FE"/>
    <w:rsid w:val="00664A7C"/>
    <w:rsid w:val="00664FE4"/>
    <w:rsid w:val="006653B1"/>
    <w:rsid w:val="0066550E"/>
    <w:rsid w:val="006655F4"/>
    <w:rsid w:val="00670556"/>
    <w:rsid w:val="00671016"/>
    <w:rsid w:val="00671C9E"/>
    <w:rsid w:val="00671D1A"/>
    <w:rsid w:val="006721A6"/>
    <w:rsid w:val="00672F92"/>
    <w:rsid w:val="006730DF"/>
    <w:rsid w:val="00673969"/>
    <w:rsid w:val="00674DA6"/>
    <w:rsid w:val="00674E96"/>
    <w:rsid w:val="00675047"/>
    <w:rsid w:val="006757A0"/>
    <w:rsid w:val="00677195"/>
    <w:rsid w:val="006772C8"/>
    <w:rsid w:val="0068010E"/>
    <w:rsid w:val="006809A1"/>
    <w:rsid w:val="00681716"/>
    <w:rsid w:val="00681B81"/>
    <w:rsid w:val="00681E38"/>
    <w:rsid w:val="00682057"/>
    <w:rsid w:val="00682B2A"/>
    <w:rsid w:val="00684434"/>
    <w:rsid w:val="006852A3"/>
    <w:rsid w:val="006861EC"/>
    <w:rsid w:val="00686340"/>
    <w:rsid w:val="006865A6"/>
    <w:rsid w:val="006926C2"/>
    <w:rsid w:val="0069416E"/>
    <w:rsid w:val="00694A2C"/>
    <w:rsid w:val="00694BB8"/>
    <w:rsid w:val="006958E0"/>
    <w:rsid w:val="00697A44"/>
    <w:rsid w:val="006A0505"/>
    <w:rsid w:val="006A2BA4"/>
    <w:rsid w:val="006A40D6"/>
    <w:rsid w:val="006A46FB"/>
    <w:rsid w:val="006A683F"/>
    <w:rsid w:val="006A6A8C"/>
    <w:rsid w:val="006B0BFF"/>
    <w:rsid w:val="006B1EF8"/>
    <w:rsid w:val="006B1F13"/>
    <w:rsid w:val="006B21C1"/>
    <w:rsid w:val="006B31B9"/>
    <w:rsid w:val="006B60FB"/>
    <w:rsid w:val="006C2552"/>
    <w:rsid w:val="006C3AAD"/>
    <w:rsid w:val="006C4BEC"/>
    <w:rsid w:val="006C6A72"/>
    <w:rsid w:val="006D253D"/>
    <w:rsid w:val="006D3108"/>
    <w:rsid w:val="006D3461"/>
    <w:rsid w:val="006D3599"/>
    <w:rsid w:val="006D4BF1"/>
    <w:rsid w:val="006E04C0"/>
    <w:rsid w:val="006E1134"/>
    <w:rsid w:val="006E1F31"/>
    <w:rsid w:val="006E288A"/>
    <w:rsid w:val="006E417A"/>
    <w:rsid w:val="006E444C"/>
    <w:rsid w:val="006E4B96"/>
    <w:rsid w:val="006E4D62"/>
    <w:rsid w:val="006E5938"/>
    <w:rsid w:val="006E6CA4"/>
    <w:rsid w:val="006F083E"/>
    <w:rsid w:val="006F11BC"/>
    <w:rsid w:val="006F1660"/>
    <w:rsid w:val="006F2513"/>
    <w:rsid w:val="006F2C72"/>
    <w:rsid w:val="006F39A6"/>
    <w:rsid w:val="006F3A2A"/>
    <w:rsid w:val="006F3F3A"/>
    <w:rsid w:val="006F531B"/>
    <w:rsid w:val="006F603C"/>
    <w:rsid w:val="006F693C"/>
    <w:rsid w:val="006F7164"/>
    <w:rsid w:val="006F716A"/>
    <w:rsid w:val="007003F6"/>
    <w:rsid w:val="00700977"/>
    <w:rsid w:val="00700AB7"/>
    <w:rsid w:val="00700CE2"/>
    <w:rsid w:val="0070133B"/>
    <w:rsid w:val="007018A5"/>
    <w:rsid w:val="007019DA"/>
    <w:rsid w:val="0070200A"/>
    <w:rsid w:val="007027BB"/>
    <w:rsid w:val="00702825"/>
    <w:rsid w:val="0070348B"/>
    <w:rsid w:val="00703613"/>
    <w:rsid w:val="00703B69"/>
    <w:rsid w:val="0070457E"/>
    <w:rsid w:val="00705F12"/>
    <w:rsid w:val="00707F7E"/>
    <w:rsid w:val="0071001E"/>
    <w:rsid w:val="00711682"/>
    <w:rsid w:val="007126C5"/>
    <w:rsid w:val="00713650"/>
    <w:rsid w:val="007147F5"/>
    <w:rsid w:val="007150B2"/>
    <w:rsid w:val="0071606C"/>
    <w:rsid w:val="00717537"/>
    <w:rsid w:val="00720AAE"/>
    <w:rsid w:val="00722FFB"/>
    <w:rsid w:val="00723AD7"/>
    <w:rsid w:val="00724BA4"/>
    <w:rsid w:val="00730623"/>
    <w:rsid w:val="00730676"/>
    <w:rsid w:val="00731CBE"/>
    <w:rsid w:val="00734AAC"/>
    <w:rsid w:val="0073782C"/>
    <w:rsid w:val="00737840"/>
    <w:rsid w:val="00740D6F"/>
    <w:rsid w:val="00740F5D"/>
    <w:rsid w:val="00741843"/>
    <w:rsid w:val="00741C57"/>
    <w:rsid w:val="0074243F"/>
    <w:rsid w:val="00742A78"/>
    <w:rsid w:val="00742BC0"/>
    <w:rsid w:val="00744352"/>
    <w:rsid w:val="0074612B"/>
    <w:rsid w:val="00747EEB"/>
    <w:rsid w:val="007526D9"/>
    <w:rsid w:val="007544E5"/>
    <w:rsid w:val="0075607C"/>
    <w:rsid w:val="007563C8"/>
    <w:rsid w:val="007565CD"/>
    <w:rsid w:val="00756DD4"/>
    <w:rsid w:val="00761B03"/>
    <w:rsid w:val="00762D54"/>
    <w:rsid w:val="00762E7D"/>
    <w:rsid w:val="00763F50"/>
    <w:rsid w:val="00763F86"/>
    <w:rsid w:val="007656B3"/>
    <w:rsid w:val="00766122"/>
    <w:rsid w:val="00766753"/>
    <w:rsid w:val="00766F33"/>
    <w:rsid w:val="00770804"/>
    <w:rsid w:val="0077182E"/>
    <w:rsid w:val="007729B6"/>
    <w:rsid w:val="00772AF3"/>
    <w:rsid w:val="0077516D"/>
    <w:rsid w:val="00775AB0"/>
    <w:rsid w:val="0077632D"/>
    <w:rsid w:val="007772BA"/>
    <w:rsid w:val="007775A6"/>
    <w:rsid w:val="00777D15"/>
    <w:rsid w:val="00780537"/>
    <w:rsid w:val="0078081B"/>
    <w:rsid w:val="00783A8D"/>
    <w:rsid w:val="00784C9B"/>
    <w:rsid w:val="007854A7"/>
    <w:rsid w:val="00785824"/>
    <w:rsid w:val="00785C62"/>
    <w:rsid w:val="00785CA4"/>
    <w:rsid w:val="00785E00"/>
    <w:rsid w:val="0078681D"/>
    <w:rsid w:val="00790456"/>
    <w:rsid w:val="007905C6"/>
    <w:rsid w:val="00791200"/>
    <w:rsid w:val="00792334"/>
    <w:rsid w:val="007926F2"/>
    <w:rsid w:val="0079372E"/>
    <w:rsid w:val="00795BCB"/>
    <w:rsid w:val="00796140"/>
    <w:rsid w:val="007970B0"/>
    <w:rsid w:val="007A0C69"/>
    <w:rsid w:val="007A20E0"/>
    <w:rsid w:val="007A6074"/>
    <w:rsid w:val="007A66DE"/>
    <w:rsid w:val="007A6A0A"/>
    <w:rsid w:val="007A6C95"/>
    <w:rsid w:val="007A724A"/>
    <w:rsid w:val="007A7818"/>
    <w:rsid w:val="007A7B07"/>
    <w:rsid w:val="007B0204"/>
    <w:rsid w:val="007B0EFF"/>
    <w:rsid w:val="007B139D"/>
    <w:rsid w:val="007B24F5"/>
    <w:rsid w:val="007B2D3C"/>
    <w:rsid w:val="007B330A"/>
    <w:rsid w:val="007B3392"/>
    <w:rsid w:val="007B3EAB"/>
    <w:rsid w:val="007B5192"/>
    <w:rsid w:val="007B5CFB"/>
    <w:rsid w:val="007B613E"/>
    <w:rsid w:val="007B6BB8"/>
    <w:rsid w:val="007B7166"/>
    <w:rsid w:val="007B792E"/>
    <w:rsid w:val="007C1147"/>
    <w:rsid w:val="007C2B22"/>
    <w:rsid w:val="007C2FF3"/>
    <w:rsid w:val="007C375B"/>
    <w:rsid w:val="007C543F"/>
    <w:rsid w:val="007C6419"/>
    <w:rsid w:val="007C7778"/>
    <w:rsid w:val="007D0549"/>
    <w:rsid w:val="007D1019"/>
    <w:rsid w:val="007D2B49"/>
    <w:rsid w:val="007D57D4"/>
    <w:rsid w:val="007D7B4A"/>
    <w:rsid w:val="007D7F35"/>
    <w:rsid w:val="007E02A6"/>
    <w:rsid w:val="007E086A"/>
    <w:rsid w:val="007E0B10"/>
    <w:rsid w:val="007E0DC0"/>
    <w:rsid w:val="007E13A4"/>
    <w:rsid w:val="007E158C"/>
    <w:rsid w:val="007E15B4"/>
    <w:rsid w:val="007E1A1A"/>
    <w:rsid w:val="007E3007"/>
    <w:rsid w:val="007E3A05"/>
    <w:rsid w:val="007E4057"/>
    <w:rsid w:val="007E43B2"/>
    <w:rsid w:val="007E4FD4"/>
    <w:rsid w:val="007E5F65"/>
    <w:rsid w:val="007E7E84"/>
    <w:rsid w:val="007F015D"/>
    <w:rsid w:val="007F0A0A"/>
    <w:rsid w:val="007F0EF3"/>
    <w:rsid w:val="007F135B"/>
    <w:rsid w:val="007F2F27"/>
    <w:rsid w:val="007F3CBF"/>
    <w:rsid w:val="007F3FF3"/>
    <w:rsid w:val="007F5B3A"/>
    <w:rsid w:val="007F5E90"/>
    <w:rsid w:val="007F61D0"/>
    <w:rsid w:val="007F7178"/>
    <w:rsid w:val="007F762F"/>
    <w:rsid w:val="008006D8"/>
    <w:rsid w:val="00800AAE"/>
    <w:rsid w:val="00800B37"/>
    <w:rsid w:val="00801A93"/>
    <w:rsid w:val="008028CD"/>
    <w:rsid w:val="00804038"/>
    <w:rsid w:val="0080468B"/>
    <w:rsid w:val="00804FD1"/>
    <w:rsid w:val="00805308"/>
    <w:rsid w:val="00805348"/>
    <w:rsid w:val="00805771"/>
    <w:rsid w:val="00805C9E"/>
    <w:rsid w:val="00806934"/>
    <w:rsid w:val="00806E4E"/>
    <w:rsid w:val="00807832"/>
    <w:rsid w:val="00810086"/>
    <w:rsid w:val="008100F5"/>
    <w:rsid w:val="008106A3"/>
    <w:rsid w:val="00810A8D"/>
    <w:rsid w:val="00810F19"/>
    <w:rsid w:val="008122E4"/>
    <w:rsid w:val="008140CE"/>
    <w:rsid w:val="008171ED"/>
    <w:rsid w:val="00817230"/>
    <w:rsid w:val="008179F9"/>
    <w:rsid w:val="00817EC4"/>
    <w:rsid w:val="008219B5"/>
    <w:rsid w:val="00821B77"/>
    <w:rsid w:val="008220F7"/>
    <w:rsid w:val="00822AF1"/>
    <w:rsid w:val="008249BE"/>
    <w:rsid w:val="00824A0D"/>
    <w:rsid w:val="00824BC4"/>
    <w:rsid w:val="00824F16"/>
    <w:rsid w:val="00825E64"/>
    <w:rsid w:val="00826376"/>
    <w:rsid w:val="00830B78"/>
    <w:rsid w:val="00831C73"/>
    <w:rsid w:val="00831ED5"/>
    <w:rsid w:val="00832D41"/>
    <w:rsid w:val="00833358"/>
    <w:rsid w:val="0083559D"/>
    <w:rsid w:val="00835A61"/>
    <w:rsid w:val="00836173"/>
    <w:rsid w:val="00836F4D"/>
    <w:rsid w:val="00841477"/>
    <w:rsid w:val="00841AB6"/>
    <w:rsid w:val="008441DE"/>
    <w:rsid w:val="00844726"/>
    <w:rsid w:val="00844D3B"/>
    <w:rsid w:val="008473C8"/>
    <w:rsid w:val="00852DCA"/>
    <w:rsid w:val="00853A87"/>
    <w:rsid w:val="008567E0"/>
    <w:rsid w:val="00856B7C"/>
    <w:rsid w:val="008571C5"/>
    <w:rsid w:val="00860414"/>
    <w:rsid w:val="008611F0"/>
    <w:rsid w:val="008618CB"/>
    <w:rsid w:val="00864C4D"/>
    <w:rsid w:val="00865711"/>
    <w:rsid w:val="00865BEB"/>
    <w:rsid w:val="00866542"/>
    <w:rsid w:val="00866996"/>
    <w:rsid w:val="00866E4B"/>
    <w:rsid w:val="00867C09"/>
    <w:rsid w:val="008707A9"/>
    <w:rsid w:val="00871945"/>
    <w:rsid w:val="00871A21"/>
    <w:rsid w:val="00871E98"/>
    <w:rsid w:val="00873C3E"/>
    <w:rsid w:val="008746B5"/>
    <w:rsid w:val="008753E1"/>
    <w:rsid w:val="00877719"/>
    <w:rsid w:val="00880637"/>
    <w:rsid w:val="00881711"/>
    <w:rsid w:val="008832F8"/>
    <w:rsid w:val="008858D1"/>
    <w:rsid w:val="00885EA5"/>
    <w:rsid w:val="0088773B"/>
    <w:rsid w:val="00887A46"/>
    <w:rsid w:val="008925CC"/>
    <w:rsid w:val="00892845"/>
    <w:rsid w:val="00892AFD"/>
    <w:rsid w:val="008931CC"/>
    <w:rsid w:val="0089490E"/>
    <w:rsid w:val="00896719"/>
    <w:rsid w:val="00896997"/>
    <w:rsid w:val="00897744"/>
    <w:rsid w:val="008A26E2"/>
    <w:rsid w:val="008A2D5D"/>
    <w:rsid w:val="008A368C"/>
    <w:rsid w:val="008A397D"/>
    <w:rsid w:val="008A51F4"/>
    <w:rsid w:val="008A63E4"/>
    <w:rsid w:val="008A65F1"/>
    <w:rsid w:val="008B1D69"/>
    <w:rsid w:val="008B2D62"/>
    <w:rsid w:val="008B3D5C"/>
    <w:rsid w:val="008B5535"/>
    <w:rsid w:val="008B6754"/>
    <w:rsid w:val="008B7BC9"/>
    <w:rsid w:val="008C1804"/>
    <w:rsid w:val="008C207B"/>
    <w:rsid w:val="008C25C6"/>
    <w:rsid w:val="008C3DE4"/>
    <w:rsid w:val="008C475F"/>
    <w:rsid w:val="008C4D0D"/>
    <w:rsid w:val="008C6625"/>
    <w:rsid w:val="008C7B2D"/>
    <w:rsid w:val="008D1585"/>
    <w:rsid w:val="008D2978"/>
    <w:rsid w:val="008D2C81"/>
    <w:rsid w:val="008D3D31"/>
    <w:rsid w:val="008D789D"/>
    <w:rsid w:val="008D7EF0"/>
    <w:rsid w:val="008E0215"/>
    <w:rsid w:val="008E0A1C"/>
    <w:rsid w:val="008E0E05"/>
    <w:rsid w:val="008E1AC0"/>
    <w:rsid w:val="008E1D72"/>
    <w:rsid w:val="008E369E"/>
    <w:rsid w:val="008E4B62"/>
    <w:rsid w:val="008E4C10"/>
    <w:rsid w:val="008E4CA2"/>
    <w:rsid w:val="008E5AF8"/>
    <w:rsid w:val="008E6062"/>
    <w:rsid w:val="008E743A"/>
    <w:rsid w:val="008E74FF"/>
    <w:rsid w:val="008E7CEA"/>
    <w:rsid w:val="008E7E66"/>
    <w:rsid w:val="008F0698"/>
    <w:rsid w:val="008F10B8"/>
    <w:rsid w:val="008F22C0"/>
    <w:rsid w:val="008F2A5D"/>
    <w:rsid w:val="008F35C9"/>
    <w:rsid w:val="008F682E"/>
    <w:rsid w:val="008F6BD2"/>
    <w:rsid w:val="008F7B07"/>
    <w:rsid w:val="008F7B43"/>
    <w:rsid w:val="008F7FEB"/>
    <w:rsid w:val="00900246"/>
    <w:rsid w:val="00901C9E"/>
    <w:rsid w:val="00902060"/>
    <w:rsid w:val="00902773"/>
    <w:rsid w:val="00902A5B"/>
    <w:rsid w:val="00902C12"/>
    <w:rsid w:val="00902D64"/>
    <w:rsid w:val="00904BE6"/>
    <w:rsid w:val="00904DBC"/>
    <w:rsid w:val="009076A7"/>
    <w:rsid w:val="00907EBA"/>
    <w:rsid w:val="0091369E"/>
    <w:rsid w:val="00914E35"/>
    <w:rsid w:val="009170C0"/>
    <w:rsid w:val="009179EC"/>
    <w:rsid w:val="00917CFF"/>
    <w:rsid w:val="009205DA"/>
    <w:rsid w:val="00921367"/>
    <w:rsid w:val="009218D9"/>
    <w:rsid w:val="00922D59"/>
    <w:rsid w:val="009231B3"/>
    <w:rsid w:val="0092395E"/>
    <w:rsid w:val="00924023"/>
    <w:rsid w:val="00926B02"/>
    <w:rsid w:val="009307C6"/>
    <w:rsid w:val="00931D77"/>
    <w:rsid w:val="0093330F"/>
    <w:rsid w:val="009336C7"/>
    <w:rsid w:val="009336D5"/>
    <w:rsid w:val="009357E0"/>
    <w:rsid w:val="009367EE"/>
    <w:rsid w:val="00940CB2"/>
    <w:rsid w:val="0094153D"/>
    <w:rsid w:val="00942200"/>
    <w:rsid w:val="00943F3F"/>
    <w:rsid w:val="009450F7"/>
    <w:rsid w:val="009465CB"/>
    <w:rsid w:val="00946913"/>
    <w:rsid w:val="009476B7"/>
    <w:rsid w:val="00950791"/>
    <w:rsid w:val="00950F1C"/>
    <w:rsid w:val="00952F16"/>
    <w:rsid w:val="0095318A"/>
    <w:rsid w:val="00953603"/>
    <w:rsid w:val="00953D4F"/>
    <w:rsid w:val="00953D99"/>
    <w:rsid w:val="009540B3"/>
    <w:rsid w:val="00954771"/>
    <w:rsid w:val="00955CBE"/>
    <w:rsid w:val="009611DC"/>
    <w:rsid w:val="009614B9"/>
    <w:rsid w:val="00961B5B"/>
    <w:rsid w:val="00961C6D"/>
    <w:rsid w:val="009620E3"/>
    <w:rsid w:val="009625BD"/>
    <w:rsid w:val="009629BC"/>
    <w:rsid w:val="009657AC"/>
    <w:rsid w:val="00965AB4"/>
    <w:rsid w:val="00965DD2"/>
    <w:rsid w:val="00966431"/>
    <w:rsid w:val="00967E3C"/>
    <w:rsid w:val="00970DDE"/>
    <w:rsid w:val="00972419"/>
    <w:rsid w:val="00972B53"/>
    <w:rsid w:val="00972BBD"/>
    <w:rsid w:val="00973CD7"/>
    <w:rsid w:val="009759EB"/>
    <w:rsid w:val="00976444"/>
    <w:rsid w:val="00977021"/>
    <w:rsid w:val="009802B4"/>
    <w:rsid w:val="00981039"/>
    <w:rsid w:val="00985049"/>
    <w:rsid w:val="00985097"/>
    <w:rsid w:val="0098525D"/>
    <w:rsid w:val="00990942"/>
    <w:rsid w:val="009911AA"/>
    <w:rsid w:val="00991B92"/>
    <w:rsid w:val="009922DE"/>
    <w:rsid w:val="00992537"/>
    <w:rsid w:val="00994401"/>
    <w:rsid w:val="00994BD6"/>
    <w:rsid w:val="0099727E"/>
    <w:rsid w:val="009A12C4"/>
    <w:rsid w:val="009A29AA"/>
    <w:rsid w:val="009A36A4"/>
    <w:rsid w:val="009A4019"/>
    <w:rsid w:val="009A42B2"/>
    <w:rsid w:val="009A4BB3"/>
    <w:rsid w:val="009A530D"/>
    <w:rsid w:val="009A6363"/>
    <w:rsid w:val="009B0B41"/>
    <w:rsid w:val="009B1E73"/>
    <w:rsid w:val="009B2DCD"/>
    <w:rsid w:val="009B7A54"/>
    <w:rsid w:val="009C0036"/>
    <w:rsid w:val="009C0E3E"/>
    <w:rsid w:val="009C1580"/>
    <w:rsid w:val="009C2EB5"/>
    <w:rsid w:val="009C383E"/>
    <w:rsid w:val="009C4A2D"/>
    <w:rsid w:val="009C524F"/>
    <w:rsid w:val="009C5274"/>
    <w:rsid w:val="009C5609"/>
    <w:rsid w:val="009C6202"/>
    <w:rsid w:val="009C6772"/>
    <w:rsid w:val="009C79C1"/>
    <w:rsid w:val="009D222F"/>
    <w:rsid w:val="009D2762"/>
    <w:rsid w:val="009D70BC"/>
    <w:rsid w:val="009D75AF"/>
    <w:rsid w:val="009D7E77"/>
    <w:rsid w:val="009E040B"/>
    <w:rsid w:val="009E108F"/>
    <w:rsid w:val="009E12F9"/>
    <w:rsid w:val="009E181A"/>
    <w:rsid w:val="009E25FD"/>
    <w:rsid w:val="009E459D"/>
    <w:rsid w:val="009E4C8F"/>
    <w:rsid w:val="009E5265"/>
    <w:rsid w:val="009E5A59"/>
    <w:rsid w:val="009E60CC"/>
    <w:rsid w:val="009E61D7"/>
    <w:rsid w:val="009E719F"/>
    <w:rsid w:val="009E7215"/>
    <w:rsid w:val="009E78C9"/>
    <w:rsid w:val="009F13D8"/>
    <w:rsid w:val="009F143B"/>
    <w:rsid w:val="009F1664"/>
    <w:rsid w:val="009F2F70"/>
    <w:rsid w:val="009F42A9"/>
    <w:rsid w:val="009F442E"/>
    <w:rsid w:val="009F530F"/>
    <w:rsid w:val="009F7857"/>
    <w:rsid w:val="00A004E1"/>
    <w:rsid w:val="00A0267C"/>
    <w:rsid w:val="00A02D07"/>
    <w:rsid w:val="00A04C70"/>
    <w:rsid w:val="00A04E6A"/>
    <w:rsid w:val="00A052A2"/>
    <w:rsid w:val="00A05A8F"/>
    <w:rsid w:val="00A069F9"/>
    <w:rsid w:val="00A0798A"/>
    <w:rsid w:val="00A07AE0"/>
    <w:rsid w:val="00A10A6D"/>
    <w:rsid w:val="00A116C5"/>
    <w:rsid w:val="00A12070"/>
    <w:rsid w:val="00A13395"/>
    <w:rsid w:val="00A13673"/>
    <w:rsid w:val="00A13AED"/>
    <w:rsid w:val="00A13D69"/>
    <w:rsid w:val="00A16F24"/>
    <w:rsid w:val="00A174FC"/>
    <w:rsid w:val="00A17718"/>
    <w:rsid w:val="00A177AD"/>
    <w:rsid w:val="00A17B4F"/>
    <w:rsid w:val="00A211AA"/>
    <w:rsid w:val="00A218CC"/>
    <w:rsid w:val="00A21B14"/>
    <w:rsid w:val="00A21C43"/>
    <w:rsid w:val="00A22030"/>
    <w:rsid w:val="00A2253E"/>
    <w:rsid w:val="00A22644"/>
    <w:rsid w:val="00A22A94"/>
    <w:rsid w:val="00A23EA1"/>
    <w:rsid w:val="00A23EB4"/>
    <w:rsid w:val="00A254CF"/>
    <w:rsid w:val="00A25B0A"/>
    <w:rsid w:val="00A30D02"/>
    <w:rsid w:val="00A317F5"/>
    <w:rsid w:val="00A326E4"/>
    <w:rsid w:val="00A32D44"/>
    <w:rsid w:val="00A32E33"/>
    <w:rsid w:val="00A33040"/>
    <w:rsid w:val="00A33C12"/>
    <w:rsid w:val="00A340AC"/>
    <w:rsid w:val="00A35638"/>
    <w:rsid w:val="00A42456"/>
    <w:rsid w:val="00A436CC"/>
    <w:rsid w:val="00A438FE"/>
    <w:rsid w:val="00A43D5D"/>
    <w:rsid w:val="00A4415C"/>
    <w:rsid w:val="00A46EE5"/>
    <w:rsid w:val="00A504E0"/>
    <w:rsid w:val="00A515A5"/>
    <w:rsid w:val="00A51940"/>
    <w:rsid w:val="00A53655"/>
    <w:rsid w:val="00A5420C"/>
    <w:rsid w:val="00A545B6"/>
    <w:rsid w:val="00A55DAE"/>
    <w:rsid w:val="00A5773C"/>
    <w:rsid w:val="00A57A14"/>
    <w:rsid w:val="00A60B81"/>
    <w:rsid w:val="00A630D8"/>
    <w:rsid w:val="00A63510"/>
    <w:rsid w:val="00A64979"/>
    <w:rsid w:val="00A65037"/>
    <w:rsid w:val="00A6524E"/>
    <w:rsid w:val="00A672C9"/>
    <w:rsid w:val="00A6780D"/>
    <w:rsid w:val="00A70254"/>
    <w:rsid w:val="00A719CB"/>
    <w:rsid w:val="00A71D22"/>
    <w:rsid w:val="00A72358"/>
    <w:rsid w:val="00A73159"/>
    <w:rsid w:val="00A73FB5"/>
    <w:rsid w:val="00A74FAB"/>
    <w:rsid w:val="00A751FA"/>
    <w:rsid w:val="00A76278"/>
    <w:rsid w:val="00A802C0"/>
    <w:rsid w:val="00A80887"/>
    <w:rsid w:val="00A8123C"/>
    <w:rsid w:val="00A813A5"/>
    <w:rsid w:val="00A81612"/>
    <w:rsid w:val="00A81744"/>
    <w:rsid w:val="00A83E1A"/>
    <w:rsid w:val="00A8483F"/>
    <w:rsid w:val="00A84A1A"/>
    <w:rsid w:val="00A85BFF"/>
    <w:rsid w:val="00A863BA"/>
    <w:rsid w:val="00A90378"/>
    <w:rsid w:val="00A911C5"/>
    <w:rsid w:val="00A92DAF"/>
    <w:rsid w:val="00A932DB"/>
    <w:rsid w:val="00A96841"/>
    <w:rsid w:val="00A968A4"/>
    <w:rsid w:val="00A97664"/>
    <w:rsid w:val="00A97821"/>
    <w:rsid w:val="00AA1E45"/>
    <w:rsid w:val="00AA2FC2"/>
    <w:rsid w:val="00AA3B03"/>
    <w:rsid w:val="00AA4443"/>
    <w:rsid w:val="00AA5269"/>
    <w:rsid w:val="00AA5C2D"/>
    <w:rsid w:val="00AA7EA9"/>
    <w:rsid w:val="00AA7FA5"/>
    <w:rsid w:val="00AB0801"/>
    <w:rsid w:val="00AB274F"/>
    <w:rsid w:val="00AB2773"/>
    <w:rsid w:val="00AB4886"/>
    <w:rsid w:val="00AB4E74"/>
    <w:rsid w:val="00AB4F39"/>
    <w:rsid w:val="00AB5026"/>
    <w:rsid w:val="00AB5204"/>
    <w:rsid w:val="00AB5442"/>
    <w:rsid w:val="00AB5F26"/>
    <w:rsid w:val="00AB6270"/>
    <w:rsid w:val="00AB71D2"/>
    <w:rsid w:val="00AC14B0"/>
    <w:rsid w:val="00AC198A"/>
    <w:rsid w:val="00AC39FB"/>
    <w:rsid w:val="00AC6AA0"/>
    <w:rsid w:val="00AC6F7A"/>
    <w:rsid w:val="00AC6FC4"/>
    <w:rsid w:val="00AC779B"/>
    <w:rsid w:val="00AD0C62"/>
    <w:rsid w:val="00AD1369"/>
    <w:rsid w:val="00AD1A04"/>
    <w:rsid w:val="00AD4439"/>
    <w:rsid w:val="00AD5379"/>
    <w:rsid w:val="00AD5B78"/>
    <w:rsid w:val="00AD670C"/>
    <w:rsid w:val="00AD6BBC"/>
    <w:rsid w:val="00AD7476"/>
    <w:rsid w:val="00AD7E7D"/>
    <w:rsid w:val="00AE1523"/>
    <w:rsid w:val="00AE17D6"/>
    <w:rsid w:val="00AE2971"/>
    <w:rsid w:val="00AE2AF0"/>
    <w:rsid w:val="00AE3657"/>
    <w:rsid w:val="00AE3DE8"/>
    <w:rsid w:val="00AE5977"/>
    <w:rsid w:val="00AE5C2B"/>
    <w:rsid w:val="00AE6164"/>
    <w:rsid w:val="00AE6616"/>
    <w:rsid w:val="00AE6F19"/>
    <w:rsid w:val="00AE7655"/>
    <w:rsid w:val="00AF0F48"/>
    <w:rsid w:val="00AF3422"/>
    <w:rsid w:val="00AF399B"/>
    <w:rsid w:val="00AF3C23"/>
    <w:rsid w:val="00AF5109"/>
    <w:rsid w:val="00AF68BD"/>
    <w:rsid w:val="00B01B10"/>
    <w:rsid w:val="00B04E8A"/>
    <w:rsid w:val="00B07026"/>
    <w:rsid w:val="00B10B2B"/>
    <w:rsid w:val="00B123F4"/>
    <w:rsid w:val="00B16832"/>
    <w:rsid w:val="00B17262"/>
    <w:rsid w:val="00B22DE7"/>
    <w:rsid w:val="00B245AB"/>
    <w:rsid w:val="00B2583C"/>
    <w:rsid w:val="00B25AA0"/>
    <w:rsid w:val="00B25BAB"/>
    <w:rsid w:val="00B260BA"/>
    <w:rsid w:val="00B26136"/>
    <w:rsid w:val="00B26A25"/>
    <w:rsid w:val="00B26BE5"/>
    <w:rsid w:val="00B275CC"/>
    <w:rsid w:val="00B2769E"/>
    <w:rsid w:val="00B301A6"/>
    <w:rsid w:val="00B31CB8"/>
    <w:rsid w:val="00B31F85"/>
    <w:rsid w:val="00B321B6"/>
    <w:rsid w:val="00B3408E"/>
    <w:rsid w:val="00B34EB2"/>
    <w:rsid w:val="00B35352"/>
    <w:rsid w:val="00B35427"/>
    <w:rsid w:val="00B3571C"/>
    <w:rsid w:val="00B35DF2"/>
    <w:rsid w:val="00B35EAE"/>
    <w:rsid w:val="00B35EE6"/>
    <w:rsid w:val="00B35EFC"/>
    <w:rsid w:val="00B36FE3"/>
    <w:rsid w:val="00B37C3B"/>
    <w:rsid w:val="00B40BF3"/>
    <w:rsid w:val="00B41576"/>
    <w:rsid w:val="00B423E7"/>
    <w:rsid w:val="00B42595"/>
    <w:rsid w:val="00B42A3E"/>
    <w:rsid w:val="00B42EEB"/>
    <w:rsid w:val="00B433E1"/>
    <w:rsid w:val="00B4386D"/>
    <w:rsid w:val="00B43B1C"/>
    <w:rsid w:val="00B44431"/>
    <w:rsid w:val="00B446F3"/>
    <w:rsid w:val="00B4480E"/>
    <w:rsid w:val="00B46CA5"/>
    <w:rsid w:val="00B51673"/>
    <w:rsid w:val="00B520D7"/>
    <w:rsid w:val="00B52F2E"/>
    <w:rsid w:val="00B52F51"/>
    <w:rsid w:val="00B53B58"/>
    <w:rsid w:val="00B54AF8"/>
    <w:rsid w:val="00B552BB"/>
    <w:rsid w:val="00B5573D"/>
    <w:rsid w:val="00B55C65"/>
    <w:rsid w:val="00B57615"/>
    <w:rsid w:val="00B579A6"/>
    <w:rsid w:val="00B62AF1"/>
    <w:rsid w:val="00B62C7E"/>
    <w:rsid w:val="00B6330B"/>
    <w:rsid w:val="00B63F50"/>
    <w:rsid w:val="00B64D81"/>
    <w:rsid w:val="00B65159"/>
    <w:rsid w:val="00B65311"/>
    <w:rsid w:val="00B6582C"/>
    <w:rsid w:val="00B66178"/>
    <w:rsid w:val="00B66B46"/>
    <w:rsid w:val="00B66D0E"/>
    <w:rsid w:val="00B67007"/>
    <w:rsid w:val="00B701C5"/>
    <w:rsid w:val="00B7127A"/>
    <w:rsid w:val="00B718AC"/>
    <w:rsid w:val="00B71DD3"/>
    <w:rsid w:val="00B76482"/>
    <w:rsid w:val="00B8030E"/>
    <w:rsid w:val="00B80FF2"/>
    <w:rsid w:val="00B82ED6"/>
    <w:rsid w:val="00B83205"/>
    <w:rsid w:val="00B849FF"/>
    <w:rsid w:val="00B86B36"/>
    <w:rsid w:val="00B90992"/>
    <w:rsid w:val="00B9156A"/>
    <w:rsid w:val="00B928F9"/>
    <w:rsid w:val="00B937C3"/>
    <w:rsid w:val="00B938DC"/>
    <w:rsid w:val="00B93F55"/>
    <w:rsid w:val="00B95B1F"/>
    <w:rsid w:val="00B968AA"/>
    <w:rsid w:val="00BA1A4C"/>
    <w:rsid w:val="00BA23A6"/>
    <w:rsid w:val="00BA23E5"/>
    <w:rsid w:val="00BA2857"/>
    <w:rsid w:val="00BA35DD"/>
    <w:rsid w:val="00BA3A6A"/>
    <w:rsid w:val="00BA3CBD"/>
    <w:rsid w:val="00BA4130"/>
    <w:rsid w:val="00BA42CD"/>
    <w:rsid w:val="00BA6FB5"/>
    <w:rsid w:val="00BA7754"/>
    <w:rsid w:val="00BB0693"/>
    <w:rsid w:val="00BB0753"/>
    <w:rsid w:val="00BB18F2"/>
    <w:rsid w:val="00BB2C25"/>
    <w:rsid w:val="00BB2DF7"/>
    <w:rsid w:val="00BB31C4"/>
    <w:rsid w:val="00BB3CAB"/>
    <w:rsid w:val="00BB3DBA"/>
    <w:rsid w:val="00BB43C6"/>
    <w:rsid w:val="00BB7602"/>
    <w:rsid w:val="00BB7EC9"/>
    <w:rsid w:val="00BC2661"/>
    <w:rsid w:val="00BC3ACB"/>
    <w:rsid w:val="00BC4133"/>
    <w:rsid w:val="00BC576C"/>
    <w:rsid w:val="00BC60E7"/>
    <w:rsid w:val="00BD0AD8"/>
    <w:rsid w:val="00BD2CDD"/>
    <w:rsid w:val="00BD4B00"/>
    <w:rsid w:val="00BD6526"/>
    <w:rsid w:val="00BD7047"/>
    <w:rsid w:val="00BD79DD"/>
    <w:rsid w:val="00BD7F3E"/>
    <w:rsid w:val="00BE343C"/>
    <w:rsid w:val="00BE4440"/>
    <w:rsid w:val="00BE459E"/>
    <w:rsid w:val="00BE542A"/>
    <w:rsid w:val="00BE68A8"/>
    <w:rsid w:val="00BE721E"/>
    <w:rsid w:val="00BF0152"/>
    <w:rsid w:val="00BF03A6"/>
    <w:rsid w:val="00BF13F1"/>
    <w:rsid w:val="00BF27A8"/>
    <w:rsid w:val="00BF30A9"/>
    <w:rsid w:val="00BF3B89"/>
    <w:rsid w:val="00BF3FCB"/>
    <w:rsid w:val="00BF6622"/>
    <w:rsid w:val="00BF7806"/>
    <w:rsid w:val="00BF7D6D"/>
    <w:rsid w:val="00BF7F23"/>
    <w:rsid w:val="00C0049B"/>
    <w:rsid w:val="00C0056A"/>
    <w:rsid w:val="00C00A71"/>
    <w:rsid w:val="00C0164B"/>
    <w:rsid w:val="00C038A6"/>
    <w:rsid w:val="00C03A70"/>
    <w:rsid w:val="00C06DEB"/>
    <w:rsid w:val="00C07E2C"/>
    <w:rsid w:val="00C102E5"/>
    <w:rsid w:val="00C107C5"/>
    <w:rsid w:val="00C110AA"/>
    <w:rsid w:val="00C11657"/>
    <w:rsid w:val="00C116E6"/>
    <w:rsid w:val="00C11B62"/>
    <w:rsid w:val="00C12315"/>
    <w:rsid w:val="00C12460"/>
    <w:rsid w:val="00C13432"/>
    <w:rsid w:val="00C1372B"/>
    <w:rsid w:val="00C13B01"/>
    <w:rsid w:val="00C14773"/>
    <w:rsid w:val="00C163C2"/>
    <w:rsid w:val="00C170B7"/>
    <w:rsid w:val="00C17500"/>
    <w:rsid w:val="00C209FA"/>
    <w:rsid w:val="00C21933"/>
    <w:rsid w:val="00C2244B"/>
    <w:rsid w:val="00C22760"/>
    <w:rsid w:val="00C22796"/>
    <w:rsid w:val="00C22C47"/>
    <w:rsid w:val="00C22CFD"/>
    <w:rsid w:val="00C233A4"/>
    <w:rsid w:val="00C26D1F"/>
    <w:rsid w:val="00C272CD"/>
    <w:rsid w:val="00C302D0"/>
    <w:rsid w:val="00C30864"/>
    <w:rsid w:val="00C30F62"/>
    <w:rsid w:val="00C319A5"/>
    <w:rsid w:val="00C31EB5"/>
    <w:rsid w:val="00C324BF"/>
    <w:rsid w:val="00C348F5"/>
    <w:rsid w:val="00C34AAA"/>
    <w:rsid w:val="00C400BC"/>
    <w:rsid w:val="00C41FC3"/>
    <w:rsid w:val="00C425A4"/>
    <w:rsid w:val="00C42A82"/>
    <w:rsid w:val="00C42B1B"/>
    <w:rsid w:val="00C439B6"/>
    <w:rsid w:val="00C4532A"/>
    <w:rsid w:val="00C45FEF"/>
    <w:rsid w:val="00C46772"/>
    <w:rsid w:val="00C46A52"/>
    <w:rsid w:val="00C47053"/>
    <w:rsid w:val="00C47119"/>
    <w:rsid w:val="00C5319A"/>
    <w:rsid w:val="00C53413"/>
    <w:rsid w:val="00C539E6"/>
    <w:rsid w:val="00C53A41"/>
    <w:rsid w:val="00C56E7B"/>
    <w:rsid w:val="00C57D5C"/>
    <w:rsid w:val="00C57DB4"/>
    <w:rsid w:val="00C60B35"/>
    <w:rsid w:val="00C60ECA"/>
    <w:rsid w:val="00C62A62"/>
    <w:rsid w:val="00C6304B"/>
    <w:rsid w:val="00C649FC"/>
    <w:rsid w:val="00C65064"/>
    <w:rsid w:val="00C65365"/>
    <w:rsid w:val="00C65D18"/>
    <w:rsid w:val="00C67266"/>
    <w:rsid w:val="00C722C8"/>
    <w:rsid w:val="00C72592"/>
    <w:rsid w:val="00C73A3A"/>
    <w:rsid w:val="00C74005"/>
    <w:rsid w:val="00C74501"/>
    <w:rsid w:val="00C745A8"/>
    <w:rsid w:val="00C7629C"/>
    <w:rsid w:val="00C777BF"/>
    <w:rsid w:val="00C8169D"/>
    <w:rsid w:val="00C83570"/>
    <w:rsid w:val="00C857D6"/>
    <w:rsid w:val="00C86775"/>
    <w:rsid w:val="00C86C62"/>
    <w:rsid w:val="00C877E8"/>
    <w:rsid w:val="00C90398"/>
    <w:rsid w:val="00C9051A"/>
    <w:rsid w:val="00C9055C"/>
    <w:rsid w:val="00C92D92"/>
    <w:rsid w:val="00C93017"/>
    <w:rsid w:val="00C93137"/>
    <w:rsid w:val="00C934E6"/>
    <w:rsid w:val="00C9394D"/>
    <w:rsid w:val="00C95A0B"/>
    <w:rsid w:val="00C97BF9"/>
    <w:rsid w:val="00C97D58"/>
    <w:rsid w:val="00CA0DCF"/>
    <w:rsid w:val="00CA1014"/>
    <w:rsid w:val="00CA1138"/>
    <w:rsid w:val="00CA1878"/>
    <w:rsid w:val="00CA365B"/>
    <w:rsid w:val="00CA46F9"/>
    <w:rsid w:val="00CA5523"/>
    <w:rsid w:val="00CA557C"/>
    <w:rsid w:val="00CA5F9D"/>
    <w:rsid w:val="00CA6819"/>
    <w:rsid w:val="00CA6FCC"/>
    <w:rsid w:val="00CA7540"/>
    <w:rsid w:val="00CB0350"/>
    <w:rsid w:val="00CB039F"/>
    <w:rsid w:val="00CB0854"/>
    <w:rsid w:val="00CB2283"/>
    <w:rsid w:val="00CB295A"/>
    <w:rsid w:val="00CB341F"/>
    <w:rsid w:val="00CB39AB"/>
    <w:rsid w:val="00CB52BA"/>
    <w:rsid w:val="00CB5311"/>
    <w:rsid w:val="00CB5813"/>
    <w:rsid w:val="00CB6A5B"/>
    <w:rsid w:val="00CC06CC"/>
    <w:rsid w:val="00CC0A9A"/>
    <w:rsid w:val="00CC38D7"/>
    <w:rsid w:val="00CC4110"/>
    <w:rsid w:val="00CC4DFB"/>
    <w:rsid w:val="00CC4E32"/>
    <w:rsid w:val="00CC5C60"/>
    <w:rsid w:val="00CC5ED4"/>
    <w:rsid w:val="00CC7768"/>
    <w:rsid w:val="00CC7A4E"/>
    <w:rsid w:val="00CD03F6"/>
    <w:rsid w:val="00CD0808"/>
    <w:rsid w:val="00CD0B4A"/>
    <w:rsid w:val="00CD0BAF"/>
    <w:rsid w:val="00CD10EC"/>
    <w:rsid w:val="00CD3A22"/>
    <w:rsid w:val="00CD4DF5"/>
    <w:rsid w:val="00CD4F87"/>
    <w:rsid w:val="00CE0001"/>
    <w:rsid w:val="00CE036D"/>
    <w:rsid w:val="00CE22B8"/>
    <w:rsid w:val="00CE2F45"/>
    <w:rsid w:val="00CE3068"/>
    <w:rsid w:val="00CE3A72"/>
    <w:rsid w:val="00CE4742"/>
    <w:rsid w:val="00CE54C2"/>
    <w:rsid w:val="00CE6435"/>
    <w:rsid w:val="00CF0B27"/>
    <w:rsid w:val="00CF21D5"/>
    <w:rsid w:val="00CF2417"/>
    <w:rsid w:val="00CF2829"/>
    <w:rsid w:val="00CF3162"/>
    <w:rsid w:val="00CF3D91"/>
    <w:rsid w:val="00CF46C3"/>
    <w:rsid w:val="00D006A5"/>
    <w:rsid w:val="00D00AF5"/>
    <w:rsid w:val="00D0129A"/>
    <w:rsid w:val="00D021FC"/>
    <w:rsid w:val="00D027EB"/>
    <w:rsid w:val="00D03BF8"/>
    <w:rsid w:val="00D05012"/>
    <w:rsid w:val="00D05A5E"/>
    <w:rsid w:val="00D0629A"/>
    <w:rsid w:val="00D07080"/>
    <w:rsid w:val="00D07106"/>
    <w:rsid w:val="00D1662D"/>
    <w:rsid w:val="00D17568"/>
    <w:rsid w:val="00D20E60"/>
    <w:rsid w:val="00D210B1"/>
    <w:rsid w:val="00D23157"/>
    <w:rsid w:val="00D23991"/>
    <w:rsid w:val="00D23ADD"/>
    <w:rsid w:val="00D24774"/>
    <w:rsid w:val="00D25267"/>
    <w:rsid w:val="00D25334"/>
    <w:rsid w:val="00D26601"/>
    <w:rsid w:val="00D27B74"/>
    <w:rsid w:val="00D31598"/>
    <w:rsid w:val="00D32C72"/>
    <w:rsid w:val="00D33264"/>
    <w:rsid w:val="00D33B81"/>
    <w:rsid w:val="00D35A56"/>
    <w:rsid w:val="00D360E8"/>
    <w:rsid w:val="00D3742E"/>
    <w:rsid w:val="00D40ED6"/>
    <w:rsid w:val="00D42716"/>
    <w:rsid w:val="00D44296"/>
    <w:rsid w:val="00D44E89"/>
    <w:rsid w:val="00D45970"/>
    <w:rsid w:val="00D45B4E"/>
    <w:rsid w:val="00D46EA2"/>
    <w:rsid w:val="00D4716D"/>
    <w:rsid w:val="00D50234"/>
    <w:rsid w:val="00D514FC"/>
    <w:rsid w:val="00D52796"/>
    <w:rsid w:val="00D5292D"/>
    <w:rsid w:val="00D529F8"/>
    <w:rsid w:val="00D54745"/>
    <w:rsid w:val="00D555A5"/>
    <w:rsid w:val="00D5567B"/>
    <w:rsid w:val="00D55B3E"/>
    <w:rsid w:val="00D5645B"/>
    <w:rsid w:val="00D61D9A"/>
    <w:rsid w:val="00D62321"/>
    <w:rsid w:val="00D628F2"/>
    <w:rsid w:val="00D62E1E"/>
    <w:rsid w:val="00D6370C"/>
    <w:rsid w:val="00D63F86"/>
    <w:rsid w:val="00D642F6"/>
    <w:rsid w:val="00D64AD8"/>
    <w:rsid w:val="00D66E21"/>
    <w:rsid w:val="00D679B9"/>
    <w:rsid w:val="00D679E6"/>
    <w:rsid w:val="00D67C8B"/>
    <w:rsid w:val="00D724E9"/>
    <w:rsid w:val="00D74CC2"/>
    <w:rsid w:val="00D74F98"/>
    <w:rsid w:val="00D7540F"/>
    <w:rsid w:val="00D76F78"/>
    <w:rsid w:val="00D778A9"/>
    <w:rsid w:val="00D77F56"/>
    <w:rsid w:val="00D80469"/>
    <w:rsid w:val="00D804A6"/>
    <w:rsid w:val="00D816E0"/>
    <w:rsid w:val="00D81A5D"/>
    <w:rsid w:val="00D83E03"/>
    <w:rsid w:val="00D83F63"/>
    <w:rsid w:val="00D8437D"/>
    <w:rsid w:val="00D846FE"/>
    <w:rsid w:val="00D853EA"/>
    <w:rsid w:val="00D8631C"/>
    <w:rsid w:val="00D86C36"/>
    <w:rsid w:val="00D86F2D"/>
    <w:rsid w:val="00D878E1"/>
    <w:rsid w:val="00D90D6F"/>
    <w:rsid w:val="00D91F32"/>
    <w:rsid w:val="00D92B15"/>
    <w:rsid w:val="00D932F2"/>
    <w:rsid w:val="00D94997"/>
    <w:rsid w:val="00D95158"/>
    <w:rsid w:val="00D95BB3"/>
    <w:rsid w:val="00D96127"/>
    <w:rsid w:val="00D969FC"/>
    <w:rsid w:val="00D9776F"/>
    <w:rsid w:val="00DA1848"/>
    <w:rsid w:val="00DA217B"/>
    <w:rsid w:val="00DA30DA"/>
    <w:rsid w:val="00DA31FD"/>
    <w:rsid w:val="00DA4484"/>
    <w:rsid w:val="00DA4861"/>
    <w:rsid w:val="00DA6158"/>
    <w:rsid w:val="00DA6A64"/>
    <w:rsid w:val="00DB14C0"/>
    <w:rsid w:val="00DB1505"/>
    <w:rsid w:val="00DB2D21"/>
    <w:rsid w:val="00DB34C7"/>
    <w:rsid w:val="00DB708C"/>
    <w:rsid w:val="00DC0D67"/>
    <w:rsid w:val="00DC1095"/>
    <w:rsid w:val="00DC1868"/>
    <w:rsid w:val="00DC3032"/>
    <w:rsid w:val="00DC3763"/>
    <w:rsid w:val="00DC387B"/>
    <w:rsid w:val="00DC48DD"/>
    <w:rsid w:val="00DC5456"/>
    <w:rsid w:val="00DC62C5"/>
    <w:rsid w:val="00DD02EC"/>
    <w:rsid w:val="00DD0AD0"/>
    <w:rsid w:val="00DD13F8"/>
    <w:rsid w:val="00DD2841"/>
    <w:rsid w:val="00DD2F31"/>
    <w:rsid w:val="00DD3208"/>
    <w:rsid w:val="00DD3248"/>
    <w:rsid w:val="00DD38BA"/>
    <w:rsid w:val="00DD5264"/>
    <w:rsid w:val="00DD5363"/>
    <w:rsid w:val="00DD576D"/>
    <w:rsid w:val="00DD5B0C"/>
    <w:rsid w:val="00DD6776"/>
    <w:rsid w:val="00DE0372"/>
    <w:rsid w:val="00DE152E"/>
    <w:rsid w:val="00DE1B47"/>
    <w:rsid w:val="00DE1CA0"/>
    <w:rsid w:val="00DE1D38"/>
    <w:rsid w:val="00DE1DDC"/>
    <w:rsid w:val="00DE2652"/>
    <w:rsid w:val="00DE4E0E"/>
    <w:rsid w:val="00DE53A7"/>
    <w:rsid w:val="00DE56E4"/>
    <w:rsid w:val="00DE626E"/>
    <w:rsid w:val="00DE62F8"/>
    <w:rsid w:val="00DE67CA"/>
    <w:rsid w:val="00DE7D55"/>
    <w:rsid w:val="00DF16C6"/>
    <w:rsid w:val="00DF1AF8"/>
    <w:rsid w:val="00DF1F97"/>
    <w:rsid w:val="00DF208C"/>
    <w:rsid w:val="00DF237D"/>
    <w:rsid w:val="00DF260A"/>
    <w:rsid w:val="00DF2D03"/>
    <w:rsid w:val="00DF3049"/>
    <w:rsid w:val="00DF3A76"/>
    <w:rsid w:val="00DF5EEF"/>
    <w:rsid w:val="00DF62FA"/>
    <w:rsid w:val="00DF76C7"/>
    <w:rsid w:val="00E00769"/>
    <w:rsid w:val="00E012D5"/>
    <w:rsid w:val="00E016D7"/>
    <w:rsid w:val="00E01E85"/>
    <w:rsid w:val="00E03A36"/>
    <w:rsid w:val="00E03BAA"/>
    <w:rsid w:val="00E04178"/>
    <w:rsid w:val="00E045E8"/>
    <w:rsid w:val="00E046E7"/>
    <w:rsid w:val="00E0586F"/>
    <w:rsid w:val="00E05C4C"/>
    <w:rsid w:val="00E06CA9"/>
    <w:rsid w:val="00E06F34"/>
    <w:rsid w:val="00E07FCD"/>
    <w:rsid w:val="00E10EC6"/>
    <w:rsid w:val="00E11EBF"/>
    <w:rsid w:val="00E127D1"/>
    <w:rsid w:val="00E12F79"/>
    <w:rsid w:val="00E13A4E"/>
    <w:rsid w:val="00E15484"/>
    <w:rsid w:val="00E1552E"/>
    <w:rsid w:val="00E167C1"/>
    <w:rsid w:val="00E20F22"/>
    <w:rsid w:val="00E216DE"/>
    <w:rsid w:val="00E22142"/>
    <w:rsid w:val="00E227A3"/>
    <w:rsid w:val="00E22A22"/>
    <w:rsid w:val="00E23180"/>
    <w:rsid w:val="00E241AF"/>
    <w:rsid w:val="00E25CEE"/>
    <w:rsid w:val="00E2632E"/>
    <w:rsid w:val="00E26579"/>
    <w:rsid w:val="00E30739"/>
    <w:rsid w:val="00E32A02"/>
    <w:rsid w:val="00E32A85"/>
    <w:rsid w:val="00E32EBE"/>
    <w:rsid w:val="00E3491B"/>
    <w:rsid w:val="00E35246"/>
    <w:rsid w:val="00E36DBF"/>
    <w:rsid w:val="00E37549"/>
    <w:rsid w:val="00E40AEB"/>
    <w:rsid w:val="00E42D8B"/>
    <w:rsid w:val="00E42F35"/>
    <w:rsid w:val="00E4378A"/>
    <w:rsid w:val="00E4480C"/>
    <w:rsid w:val="00E4542F"/>
    <w:rsid w:val="00E45622"/>
    <w:rsid w:val="00E47A3B"/>
    <w:rsid w:val="00E51BC3"/>
    <w:rsid w:val="00E52687"/>
    <w:rsid w:val="00E532E3"/>
    <w:rsid w:val="00E55D96"/>
    <w:rsid w:val="00E56672"/>
    <w:rsid w:val="00E568F2"/>
    <w:rsid w:val="00E608D4"/>
    <w:rsid w:val="00E616DC"/>
    <w:rsid w:val="00E61ECC"/>
    <w:rsid w:val="00E6218F"/>
    <w:rsid w:val="00E644DA"/>
    <w:rsid w:val="00E64F4B"/>
    <w:rsid w:val="00E6792B"/>
    <w:rsid w:val="00E70294"/>
    <w:rsid w:val="00E71425"/>
    <w:rsid w:val="00E71D5B"/>
    <w:rsid w:val="00E71F88"/>
    <w:rsid w:val="00E729DC"/>
    <w:rsid w:val="00E75F96"/>
    <w:rsid w:val="00E75FA0"/>
    <w:rsid w:val="00E772E6"/>
    <w:rsid w:val="00E773F5"/>
    <w:rsid w:val="00E81490"/>
    <w:rsid w:val="00E816BF"/>
    <w:rsid w:val="00E82551"/>
    <w:rsid w:val="00E847CA"/>
    <w:rsid w:val="00E84A4E"/>
    <w:rsid w:val="00E8533E"/>
    <w:rsid w:val="00E87E93"/>
    <w:rsid w:val="00E87F9C"/>
    <w:rsid w:val="00E911A8"/>
    <w:rsid w:val="00E91295"/>
    <w:rsid w:val="00E91AD5"/>
    <w:rsid w:val="00E93252"/>
    <w:rsid w:val="00E94CA9"/>
    <w:rsid w:val="00E95320"/>
    <w:rsid w:val="00E9538C"/>
    <w:rsid w:val="00E9630D"/>
    <w:rsid w:val="00EA08D7"/>
    <w:rsid w:val="00EA2217"/>
    <w:rsid w:val="00EA2767"/>
    <w:rsid w:val="00EA4DFA"/>
    <w:rsid w:val="00EA56B7"/>
    <w:rsid w:val="00EA5D39"/>
    <w:rsid w:val="00EA768F"/>
    <w:rsid w:val="00EB1143"/>
    <w:rsid w:val="00EB2AE4"/>
    <w:rsid w:val="00EB4180"/>
    <w:rsid w:val="00EB52B6"/>
    <w:rsid w:val="00EB5921"/>
    <w:rsid w:val="00EB721A"/>
    <w:rsid w:val="00EC16F3"/>
    <w:rsid w:val="00EC1B66"/>
    <w:rsid w:val="00EC2280"/>
    <w:rsid w:val="00EC563C"/>
    <w:rsid w:val="00EC5930"/>
    <w:rsid w:val="00EC6508"/>
    <w:rsid w:val="00EC689A"/>
    <w:rsid w:val="00EC77F3"/>
    <w:rsid w:val="00ED0855"/>
    <w:rsid w:val="00ED10BC"/>
    <w:rsid w:val="00ED1115"/>
    <w:rsid w:val="00ED1166"/>
    <w:rsid w:val="00ED171E"/>
    <w:rsid w:val="00ED1EA3"/>
    <w:rsid w:val="00ED2B34"/>
    <w:rsid w:val="00ED45F2"/>
    <w:rsid w:val="00ED5F16"/>
    <w:rsid w:val="00ED64F6"/>
    <w:rsid w:val="00EE2136"/>
    <w:rsid w:val="00EE2A56"/>
    <w:rsid w:val="00EE2F55"/>
    <w:rsid w:val="00EE37A5"/>
    <w:rsid w:val="00EE3C93"/>
    <w:rsid w:val="00EE533C"/>
    <w:rsid w:val="00EE61AB"/>
    <w:rsid w:val="00EE6353"/>
    <w:rsid w:val="00EE6D4C"/>
    <w:rsid w:val="00EF0FAB"/>
    <w:rsid w:val="00EF1390"/>
    <w:rsid w:val="00EF205B"/>
    <w:rsid w:val="00EF2926"/>
    <w:rsid w:val="00EF3F43"/>
    <w:rsid w:val="00EF4246"/>
    <w:rsid w:val="00EF53A0"/>
    <w:rsid w:val="00EF5CEE"/>
    <w:rsid w:val="00F004BE"/>
    <w:rsid w:val="00F00797"/>
    <w:rsid w:val="00F020C5"/>
    <w:rsid w:val="00F025DD"/>
    <w:rsid w:val="00F02D32"/>
    <w:rsid w:val="00F02D71"/>
    <w:rsid w:val="00F02DA0"/>
    <w:rsid w:val="00F037A1"/>
    <w:rsid w:val="00F03D0B"/>
    <w:rsid w:val="00F04417"/>
    <w:rsid w:val="00F0482D"/>
    <w:rsid w:val="00F053AC"/>
    <w:rsid w:val="00F07DBB"/>
    <w:rsid w:val="00F10AD3"/>
    <w:rsid w:val="00F110C3"/>
    <w:rsid w:val="00F11835"/>
    <w:rsid w:val="00F12C7A"/>
    <w:rsid w:val="00F12F80"/>
    <w:rsid w:val="00F12FCD"/>
    <w:rsid w:val="00F1323F"/>
    <w:rsid w:val="00F14FC9"/>
    <w:rsid w:val="00F1539B"/>
    <w:rsid w:val="00F1591D"/>
    <w:rsid w:val="00F161E6"/>
    <w:rsid w:val="00F167F2"/>
    <w:rsid w:val="00F17771"/>
    <w:rsid w:val="00F202EE"/>
    <w:rsid w:val="00F20956"/>
    <w:rsid w:val="00F20D5E"/>
    <w:rsid w:val="00F2365A"/>
    <w:rsid w:val="00F23819"/>
    <w:rsid w:val="00F23A7D"/>
    <w:rsid w:val="00F24B7E"/>
    <w:rsid w:val="00F259E4"/>
    <w:rsid w:val="00F260D1"/>
    <w:rsid w:val="00F265B8"/>
    <w:rsid w:val="00F31145"/>
    <w:rsid w:val="00F31A21"/>
    <w:rsid w:val="00F32044"/>
    <w:rsid w:val="00F3303E"/>
    <w:rsid w:val="00F33214"/>
    <w:rsid w:val="00F33253"/>
    <w:rsid w:val="00F36186"/>
    <w:rsid w:val="00F367E9"/>
    <w:rsid w:val="00F3734B"/>
    <w:rsid w:val="00F37645"/>
    <w:rsid w:val="00F41B26"/>
    <w:rsid w:val="00F41B84"/>
    <w:rsid w:val="00F42EEA"/>
    <w:rsid w:val="00F451DA"/>
    <w:rsid w:val="00F456BA"/>
    <w:rsid w:val="00F45DF6"/>
    <w:rsid w:val="00F46660"/>
    <w:rsid w:val="00F50636"/>
    <w:rsid w:val="00F52024"/>
    <w:rsid w:val="00F545FC"/>
    <w:rsid w:val="00F54AB2"/>
    <w:rsid w:val="00F55753"/>
    <w:rsid w:val="00F55A0C"/>
    <w:rsid w:val="00F562E1"/>
    <w:rsid w:val="00F56DF8"/>
    <w:rsid w:val="00F57D77"/>
    <w:rsid w:val="00F57DEA"/>
    <w:rsid w:val="00F602A2"/>
    <w:rsid w:val="00F60482"/>
    <w:rsid w:val="00F624D8"/>
    <w:rsid w:val="00F62A94"/>
    <w:rsid w:val="00F6357A"/>
    <w:rsid w:val="00F649AA"/>
    <w:rsid w:val="00F64E04"/>
    <w:rsid w:val="00F7258A"/>
    <w:rsid w:val="00F72D18"/>
    <w:rsid w:val="00F73F6F"/>
    <w:rsid w:val="00F7451A"/>
    <w:rsid w:val="00F74655"/>
    <w:rsid w:val="00F75623"/>
    <w:rsid w:val="00F76C25"/>
    <w:rsid w:val="00F810CE"/>
    <w:rsid w:val="00F82B31"/>
    <w:rsid w:val="00F83948"/>
    <w:rsid w:val="00F84762"/>
    <w:rsid w:val="00F8557B"/>
    <w:rsid w:val="00F85996"/>
    <w:rsid w:val="00F85C3B"/>
    <w:rsid w:val="00F8692A"/>
    <w:rsid w:val="00F86BE7"/>
    <w:rsid w:val="00F87BF8"/>
    <w:rsid w:val="00F87FF1"/>
    <w:rsid w:val="00F909D7"/>
    <w:rsid w:val="00F90AC9"/>
    <w:rsid w:val="00F91684"/>
    <w:rsid w:val="00F92B92"/>
    <w:rsid w:val="00F941DB"/>
    <w:rsid w:val="00F959A1"/>
    <w:rsid w:val="00F95A88"/>
    <w:rsid w:val="00F95EA9"/>
    <w:rsid w:val="00F96A51"/>
    <w:rsid w:val="00F97BC7"/>
    <w:rsid w:val="00F97BD9"/>
    <w:rsid w:val="00FA07C2"/>
    <w:rsid w:val="00FA0C7A"/>
    <w:rsid w:val="00FA2A37"/>
    <w:rsid w:val="00FA34F4"/>
    <w:rsid w:val="00FA4300"/>
    <w:rsid w:val="00FA4460"/>
    <w:rsid w:val="00FA495E"/>
    <w:rsid w:val="00FA4EB4"/>
    <w:rsid w:val="00FA6239"/>
    <w:rsid w:val="00FA6763"/>
    <w:rsid w:val="00FA6A26"/>
    <w:rsid w:val="00FA6C55"/>
    <w:rsid w:val="00FA7DEC"/>
    <w:rsid w:val="00FB0532"/>
    <w:rsid w:val="00FB1BFB"/>
    <w:rsid w:val="00FB2B90"/>
    <w:rsid w:val="00FB3D8D"/>
    <w:rsid w:val="00FB41A1"/>
    <w:rsid w:val="00FB5C3D"/>
    <w:rsid w:val="00FB606A"/>
    <w:rsid w:val="00FB682E"/>
    <w:rsid w:val="00FB7664"/>
    <w:rsid w:val="00FC05DB"/>
    <w:rsid w:val="00FC08A0"/>
    <w:rsid w:val="00FC20E0"/>
    <w:rsid w:val="00FC2BE0"/>
    <w:rsid w:val="00FC3B65"/>
    <w:rsid w:val="00FC3FC5"/>
    <w:rsid w:val="00FC4755"/>
    <w:rsid w:val="00FC4F53"/>
    <w:rsid w:val="00FC5A0A"/>
    <w:rsid w:val="00FC5F64"/>
    <w:rsid w:val="00FC77CD"/>
    <w:rsid w:val="00FC78C6"/>
    <w:rsid w:val="00FD23FC"/>
    <w:rsid w:val="00FD4524"/>
    <w:rsid w:val="00FD5B41"/>
    <w:rsid w:val="00FD5F29"/>
    <w:rsid w:val="00FD6025"/>
    <w:rsid w:val="00FD6A38"/>
    <w:rsid w:val="00FD6EA7"/>
    <w:rsid w:val="00FD70E7"/>
    <w:rsid w:val="00FD79C4"/>
    <w:rsid w:val="00FE15C7"/>
    <w:rsid w:val="00FE2596"/>
    <w:rsid w:val="00FE363F"/>
    <w:rsid w:val="00FE4CD7"/>
    <w:rsid w:val="00FE4E51"/>
    <w:rsid w:val="00FE543B"/>
    <w:rsid w:val="00FF15C6"/>
    <w:rsid w:val="00FF2264"/>
    <w:rsid w:val="00FF2489"/>
    <w:rsid w:val="00FF2980"/>
    <w:rsid w:val="00FF6EF0"/>
    <w:rsid w:val="010C5153"/>
    <w:rsid w:val="010C5ADD"/>
    <w:rsid w:val="012C497B"/>
    <w:rsid w:val="01A133DB"/>
    <w:rsid w:val="01AC3A12"/>
    <w:rsid w:val="01F438C9"/>
    <w:rsid w:val="023D7AEE"/>
    <w:rsid w:val="02CE48F8"/>
    <w:rsid w:val="03814A1A"/>
    <w:rsid w:val="03F0013E"/>
    <w:rsid w:val="04091994"/>
    <w:rsid w:val="04660190"/>
    <w:rsid w:val="04963F47"/>
    <w:rsid w:val="04CC1507"/>
    <w:rsid w:val="053319E4"/>
    <w:rsid w:val="05DD22A2"/>
    <w:rsid w:val="05F319CA"/>
    <w:rsid w:val="061E475C"/>
    <w:rsid w:val="06E81E5B"/>
    <w:rsid w:val="08247CA4"/>
    <w:rsid w:val="085155D8"/>
    <w:rsid w:val="08676AEF"/>
    <w:rsid w:val="087669EA"/>
    <w:rsid w:val="087D07BF"/>
    <w:rsid w:val="08A6317A"/>
    <w:rsid w:val="08BF00AD"/>
    <w:rsid w:val="08F017AB"/>
    <w:rsid w:val="09AE3552"/>
    <w:rsid w:val="09EA7D56"/>
    <w:rsid w:val="0A113BF3"/>
    <w:rsid w:val="0A89788E"/>
    <w:rsid w:val="0AE6239E"/>
    <w:rsid w:val="0B477305"/>
    <w:rsid w:val="0B606ABE"/>
    <w:rsid w:val="0BC24558"/>
    <w:rsid w:val="0C4C1B05"/>
    <w:rsid w:val="0C5E409E"/>
    <w:rsid w:val="0CD31B6F"/>
    <w:rsid w:val="0D5C46D3"/>
    <w:rsid w:val="0D625136"/>
    <w:rsid w:val="0E1C70F8"/>
    <w:rsid w:val="0E681B09"/>
    <w:rsid w:val="0E9A0C25"/>
    <w:rsid w:val="0EA559EF"/>
    <w:rsid w:val="0F3B0790"/>
    <w:rsid w:val="0F5501EA"/>
    <w:rsid w:val="0F5B55B7"/>
    <w:rsid w:val="0F601644"/>
    <w:rsid w:val="0FB30C13"/>
    <w:rsid w:val="0FB458C4"/>
    <w:rsid w:val="100A3264"/>
    <w:rsid w:val="10330C9F"/>
    <w:rsid w:val="10537E1E"/>
    <w:rsid w:val="107E2EDA"/>
    <w:rsid w:val="109A73D4"/>
    <w:rsid w:val="10C01CE1"/>
    <w:rsid w:val="11375771"/>
    <w:rsid w:val="11671CB2"/>
    <w:rsid w:val="11AB0324"/>
    <w:rsid w:val="122A0B77"/>
    <w:rsid w:val="12B70161"/>
    <w:rsid w:val="133F5289"/>
    <w:rsid w:val="134429F9"/>
    <w:rsid w:val="134743D3"/>
    <w:rsid w:val="134D4B04"/>
    <w:rsid w:val="13903E07"/>
    <w:rsid w:val="13972BC6"/>
    <w:rsid w:val="13E07310"/>
    <w:rsid w:val="142D59FC"/>
    <w:rsid w:val="145721F1"/>
    <w:rsid w:val="147652CF"/>
    <w:rsid w:val="1519152F"/>
    <w:rsid w:val="15CF3200"/>
    <w:rsid w:val="16651AF0"/>
    <w:rsid w:val="166E1EC4"/>
    <w:rsid w:val="167B34E1"/>
    <w:rsid w:val="16D72643"/>
    <w:rsid w:val="16DD2D45"/>
    <w:rsid w:val="16E25888"/>
    <w:rsid w:val="174B6428"/>
    <w:rsid w:val="178242AC"/>
    <w:rsid w:val="17C40A8C"/>
    <w:rsid w:val="18107619"/>
    <w:rsid w:val="183A29A8"/>
    <w:rsid w:val="183D6A4B"/>
    <w:rsid w:val="189A196C"/>
    <w:rsid w:val="19850412"/>
    <w:rsid w:val="199571B0"/>
    <w:rsid w:val="19D25085"/>
    <w:rsid w:val="1A100DC9"/>
    <w:rsid w:val="1A324BE1"/>
    <w:rsid w:val="1A634900"/>
    <w:rsid w:val="1A717F12"/>
    <w:rsid w:val="1AAC6A07"/>
    <w:rsid w:val="1AB86EE6"/>
    <w:rsid w:val="1AD91058"/>
    <w:rsid w:val="1B4A3C13"/>
    <w:rsid w:val="1BB123A8"/>
    <w:rsid w:val="1C003504"/>
    <w:rsid w:val="1C500C84"/>
    <w:rsid w:val="1C5B132D"/>
    <w:rsid w:val="1C6D6DF7"/>
    <w:rsid w:val="1C76307C"/>
    <w:rsid w:val="1C942B6F"/>
    <w:rsid w:val="1CA619E8"/>
    <w:rsid w:val="1CC053FE"/>
    <w:rsid w:val="1CEE254D"/>
    <w:rsid w:val="1D0C3638"/>
    <w:rsid w:val="1D1D2794"/>
    <w:rsid w:val="1DC04D31"/>
    <w:rsid w:val="1DE13EC3"/>
    <w:rsid w:val="1DF657EB"/>
    <w:rsid w:val="1E7528D7"/>
    <w:rsid w:val="1E7E5B8C"/>
    <w:rsid w:val="1F2F2A54"/>
    <w:rsid w:val="1F3823F5"/>
    <w:rsid w:val="1F444EE4"/>
    <w:rsid w:val="1F4F3FF7"/>
    <w:rsid w:val="20004AB4"/>
    <w:rsid w:val="20510B73"/>
    <w:rsid w:val="207B28D5"/>
    <w:rsid w:val="20C33F41"/>
    <w:rsid w:val="20EA4F29"/>
    <w:rsid w:val="211846DE"/>
    <w:rsid w:val="21281BED"/>
    <w:rsid w:val="213C2E06"/>
    <w:rsid w:val="216B2A68"/>
    <w:rsid w:val="21B908B3"/>
    <w:rsid w:val="21C34233"/>
    <w:rsid w:val="21D03596"/>
    <w:rsid w:val="22093B9C"/>
    <w:rsid w:val="221F7EDA"/>
    <w:rsid w:val="224B7677"/>
    <w:rsid w:val="225403EE"/>
    <w:rsid w:val="22572455"/>
    <w:rsid w:val="230612BA"/>
    <w:rsid w:val="23111DB9"/>
    <w:rsid w:val="23112636"/>
    <w:rsid w:val="232B77C5"/>
    <w:rsid w:val="23435552"/>
    <w:rsid w:val="235743FE"/>
    <w:rsid w:val="23A2018D"/>
    <w:rsid w:val="23EF1C22"/>
    <w:rsid w:val="24326C8E"/>
    <w:rsid w:val="24331C22"/>
    <w:rsid w:val="24730802"/>
    <w:rsid w:val="248D581A"/>
    <w:rsid w:val="252022E5"/>
    <w:rsid w:val="25963541"/>
    <w:rsid w:val="25996BF0"/>
    <w:rsid w:val="269C09FC"/>
    <w:rsid w:val="27E47DBF"/>
    <w:rsid w:val="27ED2896"/>
    <w:rsid w:val="27F07AD9"/>
    <w:rsid w:val="28471E50"/>
    <w:rsid w:val="285C37D0"/>
    <w:rsid w:val="28FF5D1F"/>
    <w:rsid w:val="291F4AC4"/>
    <w:rsid w:val="2A765130"/>
    <w:rsid w:val="2A8D098A"/>
    <w:rsid w:val="2ABD5895"/>
    <w:rsid w:val="2B181DF2"/>
    <w:rsid w:val="2B4C1FF1"/>
    <w:rsid w:val="2B5846BD"/>
    <w:rsid w:val="2BC902DE"/>
    <w:rsid w:val="2C77541B"/>
    <w:rsid w:val="2CD67424"/>
    <w:rsid w:val="2D2624F3"/>
    <w:rsid w:val="2D58405E"/>
    <w:rsid w:val="2D681E7D"/>
    <w:rsid w:val="2D7B224F"/>
    <w:rsid w:val="2D9A5E6F"/>
    <w:rsid w:val="2E0B7BDE"/>
    <w:rsid w:val="2E411654"/>
    <w:rsid w:val="2E712619"/>
    <w:rsid w:val="2E836C66"/>
    <w:rsid w:val="2E852450"/>
    <w:rsid w:val="2E894A60"/>
    <w:rsid w:val="2E8D3D35"/>
    <w:rsid w:val="2EB913C7"/>
    <w:rsid w:val="2F1E6DF9"/>
    <w:rsid w:val="2F470F9C"/>
    <w:rsid w:val="2F6C4A47"/>
    <w:rsid w:val="2F7F76AE"/>
    <w:rsid w:val="2FBC319E"/>
    <w:rsid w:val="30376443"/>
    <w:rsid w:val="303B38C7"/>
    <w:rsid w:val="30C14BF6"/>
    <w:rsid w:val="311E1870"/>
    <w:rsid w:val="31E608F6"/>
    <w:rsid w:val="31F37BCC"/>
    <w:rsid w:val="31F80BC1"/>
    <w:rsid w:val="32B01E5C"/>
    <w:rsid w:val="32B16F08"/>
    <w:rsid w:val="32E426EA"/>
    <w:rsid w:val="332259D5"/>
    <w:rsid w:val="337C0357"/>
    <w:rsid w:val="338633FB"/>
    <w:rsid w:val="33B46167"/>
    <w:rsid w:val="33CD2C43"/>
    <w:rsid w:val="33CF74ED"/>
    <w:rsid w:val="34136519"/>
    <w:rsid w:val="34BB28B4"/>
    <w:rsid w:val="34C46A79"/>
    <w:rsid w:val="350A7DB8"/>
    <w:rsid w:val="352A1DBE"/>
    <w:rsid w:val="353A7436"/>
    <w:rsid w:val="35531B4B"/>
    <w:rsid w:val="35CE60E9"/>
    <w:rsid w:val="35D615E3"/>
    <w:rsid w:val="35E773AC"/>
    <w:rsid w:val="361039BE"/>
    <w:rsid w:val="36D5009B"/>
    <w:rsid w:val="3708111C"/>
    <w:rsid w:val="38281842"/>
    <w:rsid w:val="387F412E"/>
    <w:rsid w:val="38A008B5"/>
    <w:rsid w:val="38B7711E"/>
    <w:rsid w:val="39103781"/>
    <w:rsid w:val="399F2FB8"/>
    <w:rsid w:val="39BB454A"/>
    <w:rsid w:val="39C20CD5"/>
    <w:rsid w:val="39EF04E0"/>
    <w:rsid w:val="39F07BB8"/>
    <w:rsid w:val="3A1309A5"/>
    <w:rsid w:val="3A5D76A1"/>
    <w:rsid w:val="3A8639C0"/>
    <w:rsid w:val="3AC0561A"/>
    <w:rsid w:val="3AC615B9"/>
    <w:rsid w:val="3AF25702"/>
    <w:rsid w:val="3B435A44"/>
    <w:rsid w:val="3B726DFA"/>
    <w:rsid w:val="3B7B650F"/>
    <w:rsid w:val="3B9173F1"/>
    <w:rsid w:val="3BA33693"/>
    <w:rsid w:val="3C0F55A6"/>
    <w:rsid w:val="3C5F4343"/>
    <w:rsid w:val="3CF926EF"/>
    <w:rsid w:val="3D331333"/>
    <w:rsid w:val="3D6F79A4"/>
    <w:rsid w:val="3DAF4D86"/>
    <w:rsid w:val="3DE111D3"/>
    <w:rsid w:val="3DE33D7C"/>
    <w:rsid w:val="3DFE70A9"/>
    <w:rsid w:val="3E3C1B80"/>
    <w:rsid w:val="3E3E157C"/>
    <w:rsid w:val="3EA907BA"/>
    <w:rsid w:val="3EAD0FA3"/>
    <w:rsid w:val="3EBA5D1A"/>
    <w:rsid w:val="3F27110A"/>
    <w:rsid w:val="3F3C35FB"/>
    <w:rsid w:val="3F877A16"/>
    <w:rsid w:val="4088170B"/>
    <w:rsid w:val="40BF7DC8"/>
    <w:rsid w:val="411611EA"/>
    <w:rsid w:val="4189495E"/>
    <w:rsid w:val="41D76BB1"/>
    <w:rsid w:val="41E045C9"/>
    <w:rsid w:val="42197A3E"/>
    <w:rsid w:val="42336630"/>
    <w:rsid w:val="425D7AF5"/>
    <w:rsid w:val="427172CA"/>
    <w:rsid w:val="4296474B"/>
    <w:rsid w:val="42C57C86"/>
    <w:rsid w:val="43A33B54"/>
    <w:rsid w:val="443B2330"/>
    <w:rsid w:val="44940C34"/>
    <w:rsid w:val="44E76864"/>
    <w:rsid w:val="45271584"/>
    <w:rsid w:val="456D3AEC"/>
    <w:rsid w:val="456F466C"/>
    <w:rsid w:val="459609E6"/>
    <w:rsid w:val="45A06B96"/>
    <w:rsid w:val="45F34C73"/>
    <w:rsid w:val="464608D1"/>
    <w:rsid w:val="465C495A"/>
    <w:rsid w:val="46CD0D18"/>
    <w:rsid w:val="4708346D"/>
    <w:rsid w:val="470948D0"/>
    <w:rsid w:val="47D8675D"/>
    <w:rsid w:val="481F72FC"/>
    <w:rsid w:val="48A067B1"/>
    <w:rsid w:val="492E00B3"/>
    <w:rsid w:val="49B0606B"/>
    <w:rsid w:val="49CC2E45"/>
    <w:rsid w:val="49E768EA"/>
    <w:rsid w:val="49EC3463"/>
    <w:rsid w:val="4A2663A1"/>
    <w:rsid w:val="4A331B37"/>
    <w:rsid w:val="4A4F3586"/>
    <w:rsid w:val="4A6D2E0A"/>
    <w:rsid w:val="4A8375F0"/>
    <w:rsid w:val="4A9B0577"/>
    <w:rsid w:val="4A9C69C7"/>
    <w:rsid w:val="4AA56D65"/>
    <w:rsid w:val="4B49148C"/>
    <w:rsid w:val="4B800326"/>
    <w:rsid w:val="4BB73101"/>
    <w:rsid w:val="4BE553E5"/>
    <w:rsid w:val="4BF76022"/>
    <w:rsid w:val="4C563C9C"/>
    <w:rsid w:val="4C924DA9"/>
    <w:rsid w:val="4CBC758A"/>
    <w:rsid w:val="4CC51F17"/>
    <w:rsid w:val="4CEC07E4"/>
    <w:rsid w:val="4D333814"/>
    <w:rsid w:val="4D47371E"/>
    <w:rsid w:val="4D6D7AC4"/>
    <w:rsid w:val="4DDB527B"/>
    <w:rsid w:val="4E1857E9"/>
    <w:rsid w:val="4E6F3F21"/>
    <w:rsid w:val="4E881B08"/>
    <w:rsid w:val="4EBD722C"/>
    <w:rsid w:val="4F2F701B"/>
    <w:rsid w:val="4F6C7E33"/>
    <w:rsid w:val="4F756AFE"/>
    <w:rsid w:val="4F8D7B60"/>
    <w:rsid w:val="500269A1"/>
    <w:rsid w:val="50090CBF"/>
    <w:rsid w:val="508C35B7"/>
    <w:rsid w:val="51315E91"/>
    <w:rsid w:val="513A7F50"/>
    <w:rsid w:val="51B121AE"/>
    <w:rsid w:val="51BB191E"/>
    <w:rsid w:val="529335FC"/>
    <w:rsid w:val="52E01553"/>
    <w:rsid w:val="52F55B94"/>
    <w:rsid w:val="5331602A"/>
    <w:rsid w:val="53496D55"/>
    <w:rsid w:val="53CC2D02"/>
    <w:rsid w:val="53DF201B"/>
    <w:rsid w:val="53E2361A"/>
    <w:rsid w:val="540D3A76"/>
    <w:rsid w:val="54326F1C"/>
    <w:rsid w:val="54350483"/>
    <w:rsid w:val="54A70A04"/>
    <w:rsid w:val="54C14251"/>
    <w:rsid w:val="54D80FD3"/>
    <w:rsid w:val="551A1813"/>
    <w:rsid w:val="554674A0"/>
    <w:rsid w:val="55527E7E"/>
    <w:rsid w:val="55D51A67"/>
    <w:rsid w:val="55FA4686"/>
    <w:rsid w:val="56365445"/>
    <w:rsid w:val="563A4F51"/>
    <w:rsid w:val="568A11B1"/>
    <w:rsid w:val="571867DF"/>
    <w:rsid w:val="57462277"/>
    <w:rsid w:val="574A7AE3"/>
    <w:rsid w:val="5792337C"/>
    <w:rsid w:val="57E05465"/>
    <w:rsid w:val="585F74F1"/>
    <w:rsid w:val="58C9501F"/>
    <w:rsid w:val="591865E0"/>
    <w:rsid w:val="59415685"/>
    <w:rsid w:val="59F6411D"/>
    <w:rsid w:val="5A7F227C"/>
    <w:rsid w:val="5ADD160A"/>
    <w:rsid w:val="5B022864"/>
    <w:rsid w:val="5B0F0EE0"/>
    <w:rsid w:val="5B3F63E3"/>
    <w:rsid w:val="5B7E0974"/>
    <w:rsid w:val="5BC21E7D"/>
    <w:rsid w:val="5BE646C3"/>
    <w:rsid w:val="5CAE36CF"/>
    <w:rsid w:val="5CC6412F"/>
    <w:rsid w:val="5CDA228B"/>
    <w:rsid w:val="5D003AD3"/>
    <w:rsid w:val="5D0D207E"/>
    <w:rsid w:val="5D7815F7"/>
    <w:rsid w:val="5DE035A0"/>
    <w:rsid w:val="5E4B1C7D"/>
    <w:rsid w:val="5E72286E"/>
    <w:rsid w:val="5EA600E0"/>
    <w:rsid w:val="5EE16D27"/>
    <w:rsid w:val="5EE606D1"/>
    <w:rsid w:val="5F792807"/>
    <w:rsid w:val="5F8A0170"/>
    <w:rsid w:val="5F8A5888"/>
    <w:rsid w:val="5F950AEE"/>
    <w:rsid w:val="5F962630"/>
    <w:rsid w:val="5FC77EAF"/>
    <w:rsid w:val="5FF511D5"/>
    <w:rsid w:val="600966EE"/>
    <w:rsid w:val="60707382"/>
    <w:rsid w:val="60C10794"/>
    <w:rsid w:val="60FA5AB1"/>
    <w:rsid w:val="61107C60"/>
    <w:rsid w:val="618541B1"/>
    <w:rsid w:val="619E5241"/>
    <w:rsid w:val="61A310CC"/>
    <w:rsid w:val="61A55D09"/>
    <w:rsid w:val="61A7781F"/>
    <w:rsid w:val="61B55F97"/>
    <w:rsid w:val="620A3DBF"/>
    <w:rsid w:val="621D3087"/>
    <w:rsid w:val="622263C3"/>
    <w:rsid w:val="623A1CFD"/>
    <w:rsid w:val="628071F5"/>
    <w:rsid w:val="62A841B0"/>
    <w:rsid w:val="62F02D88"/>
    <w:rsid w:val="62F5545B"/>
    <w:rsid w:val="639238BF"/>
    <w:rsid w:val="63A932C0"/>
    <w:rsid w:val="6496712D"/>
    <w:rsid w:val="64B339B1"/>
    <w:rsid w:val="64F44A30"/>
    <w:rsid w:val="654F7298"/>
    <w:rsid w:val="65792E45"/>
    <w:rsid w:val="65887EEE"/>
    <w:rsid w:val="65AA1FDF"/>
    <w:rsid w:val="65FB6B78"/>
    <w:rsid w:val="66330D88"/>
    <w:rsid w:val="664A11A0"/>
    <w:rsid w:val="664F1213"/>
    <w:rsid w:val="66891A77"/>
    <w:rsid w:val="678F0F08"/>
    <w:rsid w:val="67A16430"/>
    <w:rsid w:val="67A648CA"/>
    <w:rsid w:val="688322D6"/>
    <w:rsid w:val="68B8591A"/>
    <w:rsid w:val="68D32A47"/>
    <w:rsid w:val="68F55301"/>
    <w:rsid w:val="699E448F"/>
    <w:rsid w:val="69A539C1"/>
    <w:rsid w:val="6A2F6759"/>
    <w:rsid w:val="6A3D1ACC"/>
    <w:rsid w:val="6A5975BC"/>
    <w:rsid w:val="6A5F379E"/>
    <w:rsid w:val="6A8F0B6B"/>
    <w:rsid w:val="6B9D5DAD"/>
    <w:rsid w:val="6BC17D71"/>
    <w:rsid w:val="6BDA4450"/>
    <w:rsid w:val="6BED180C"/>
    <w:rsid w:val="6C980F46"/>
    <w:rsid w:val="6CB73BF7"/>
    <w:rsid w:val="6D576D3A"/>
    <w:rsid w:val="6E072079"/>
    <w:rsid w:val="6E6A4E81"/>
    <w:rsid w:val="6EBC2383"/>
    <w:rsid w:val="6EE8522A"/>
    <w:rsid w:val="6F0D132F"/>
    <w:rsid w:val="6F482C12"/>
    <w:rsid w:val="6F486460"/>
    <w:rsid w:val="6F633909"/>
    <w:rsid w:val="70405918"/>
    <w:rsid w:val="704931D4"/>
    <w:rsid w:val="708C7324"/>
    <w:rsid w:val="709A2D9F"/>
    <w:rsid w:val="710D364B"/>
    <w:rsid w:val="712F543F"/>
    <w:rsid w:val="713549DA"/>
    <w:rsid w:val="720829DF"/>
    <w:rsid w:val="723A0070"/>
    <w:rsid w:val="72AB52D0"/>
    <w:rsid w:val="72D7133B"/>
    <w:rsid w:val="730B2D74"/>
    <w:rsid w:val="736757FA"/>
    <w:rsid w:val="738D24FC"/>
    <w:rsid w:val="73C63852"/>
    <w:rsid w:val="73E46C58"/>
    <w:rsid w:val="7401616E"/>
    <w:rsid w:val="740841D0"/>
    <w:rsid w:val="741B2BBB"/>
    <w:rsid w:val="74203F54"/>
    <w:rsid w:val="742D0BF0"/>
    <w:rsid w:val="747431C4"/>
    <w:rsid w:val="74A77BD7"/>
    <w:rsid w:val="74EB03F1"/>
    <w:rsid w:val="75005E7A"/>
    <w:rsid w:val="750F2179"/>
    <w:rsid w:val="75393CAA"/>
    <w:rsid w:val="753A2F7E"/>
    <w:rsid w:val="75402710"/>
    <w:rsid w:val="758D5414"/>
    <w:rsid w:val="75EC1F7C"/>
    <w:rsid w:val="75F602E3"/>
    <w:rsid w:val="76421614"/>
    <w:rsid w:val="76732402"/>
    <w:rsid w:val="769C4E58"/>
    <w:rsid w:val="76A5286E"/>
    <w:rsid w:val="76B51184"/>
    <w:rsid w:val="76B84F6B"/>
    <w:rsid w:val="76E518AF"/>
    <w:rsid w:val="76FD0CB9"/>
    <w:rsid w:val="77A378E7"/>
    <w:rsid w:val="78347AFE"/>
    <w:rsid w:val="787041F2"/>
    <w:rsid w:val="78763623"/>
    <w:rsid w:val="78873E84"/>
    <w:rsid w:val="790C5834"/>
    <w:rsid w:val="791B50B2"/>
    <w:rsid w:val="79296A6C"/>
    <w:rsid w:val="795534C5"/>
    <w:rsid w:val="79A569CA"/>
    <w:rsid w:val="7A0734D3"/>
    <w:rsid w:val="7A5401CA"/>
    <w:rsid w:val="7ABC30DB"/>
    <w:rsid w:val="7B025560"/>
    <w:rsid w:val="7B453E25"/>
    <w:rsid w:val="7B854D09"/>
    <w:rsid w:val="7BB0620D"/>
    <w:rsid w:val="7BFE16DD"/>
    <w:rsid w:val="7C1522F7"/>
    <w:rsid w:val="7C521713"/>
    <w:rsid w:val="7C772FFB"/>
    <w:rsid w:val="7CAC509D"/>
    <w:rsid w:val="7CBA4B14"/>
    <w:rsid w:val="7D660440"/>
    <w:rsid w:val="7E5C5E1A"/>
    <w:rsid w:val="7E6141AE"/>
    <w:rsid w:val="7E722FA0"/>
    <w:rsid w:val="7F283976"/>
    <w:rsid w:val="7F6D1E82"/>
    <w:rsid w:val="7F7468DA"/>
    <w:rsid w:val="7F853B92"/>
    <w:rsid w:val="7FE73E5B"/>
    <w:rsid w:val="7FE97A3C"/>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0" w:name="caption" w:locked="1"/>
    <w:lsdException w:qFormat="1" w:unhideWhenUsed="0"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qFormat="1" w:unhideWhenUsed="0" w:uiPriority="99" w:semiHidden="0"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ocked="1"/>
    <w:lsdException w:qFormat="1" w:unhideWhenUsed="0"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56"/>
    <w:qFormat/>
    <w:uiPriority w:val="99"/>
    <w:pPr>
      <w:keepNext/>
      <w:jc w:val="center"/>
      <w:outlineLvl w:val="0"/>
    </w:pPr>
    <w:rPr>
      <w:rFonts w:ascii="楷体_GB2312" w:eastAsia="楷体_GB2312"/>
      <w:sz w:val="28"/>
      <w:szCs w:val="28"/>
    </w:rPr>
  </w:style>
  <w:style w:type="paragraph" w:styleId="4">
    <w:name w:val="heading 2"/>
    <w:basedOn w:val="1"/>
    <w:next w:val="5"/>
    <w:link w:val="57"/>
    <w:qFormat/>
    <w:uiPriority w:val="99"/>
    <w:pPr>
      <w:keepNext/>
      <w:keepLines/>
      <w:spacing w:before="260" w:after="260" w:line="416" w:lineRule="auto"/>
      <w:jc w:val="center"/>
      <w:outlineLvl w:val="1"/>
    </w:pPr>
    <w:rPr>
      <w:rFonts w:ascii="Arial" w:hAnsi="Arial" w:eastAsia="幼圆"/>
      <w:b/>
      <w:bCs/>
      <w:sz w:val="44"/>
      <w:szCs w:val="44"/>
    </w:rPr>
  </w:style>
  <w:style w:type="paragraph" w:styleId="6">
    <w:name w:val="heading 3"/>
    <w:basedOn w:val="1"/>
    <w:next w:val="5"/>
    <w:link w:val="58"/>
    <w:qFormat/>
    <w:uiPriority w:val="99"/>
    <w:pPr>
      <w:keepNext/>
      <w:keepLines/>
      <w:spacing w:before="260" w:after="260" w:line="416" w:lineRule="auto"/>
      <w:outlineLvl w:val="2"/>
    </w:pPr>
    <w:rPr>
      <w:b/>
      <w:bCs/>
      <w:sz w:val="32"/>
      <w:szCs w:val="32"/>
    </w:rPr>
  </w:style>
  <w:style w:type="paragraph" w:styleId="7">
    <w:name w:val="heading 4"/>
    <w:basedOn w:val="1"/>
    <w:next w:val="1"/>
    <w:link w:val="59"/>
    <w:qFormat/>
    <w:uiPriority w:val="99"/>
    <w:pPr>
      <w:keepNext/>
      <w:keepLines/>
      <w:spacing w:before="280" w:after="290" w:line="376" w:lineRule="auto"/>
      <w:outlineLvl w:val="3"/>
    </w:pPr>
    <w:rPr>
      <w:rFonts w:ascii="Arial" w:hAnsi="Arial" w:eastAsia="黑体"/>
      <w:b/>
      <w:bCs/>
      <w:sz w:val="28"/>
      <w:szCs w:val="28"/>
    </w:rPr>
  </w:style>
  <w:style w:type="paragraph" w:styleId="8">
    <w:name w:val="heading 5"/>
    <w:basedOn w:val="1"/>
    <w:next w:val="5"/>
    <w:link w:val="60"/>
    <w:qFormat/>
    <w:uiPriority w:val="99"/>
    <w:pPr>
      <w:keepNext/>
      <w:autoSpaceDE w:val="0"/>
      <w:autoSpaceDN w:val="0"/>
      <w:adjustRightInd w:val="0"/>
      <w:outlineLvl w:val="4"/>
    </w:pPr>
    <w:rPr>
      <w:rFonts w:ascii="宋体"/>
      <w:color w:val="000000"/>
      <w:kern w:val="0"/>
      <w:sz w:val="28"/>
      <w:szCs w:val="28"/>
    </w:rPr>
  </w:style>
  <w:style w:type="paragraph" w:styleId="9">
    <w:name w:val="heading 6"/>
    <w:basedOn w:val="1"/>
    <w:next w:val="1"/>
    <w:link w:val="61"/>
    <w:qFormat/>
    <w:uiPriority w:val="99"/>
    <w:pPr>
      <w:keepNext/>
      <w:keepLines/>
      <w:spacing w:before="240" w:after="64" w:line="320" w:lineRule="auto"/>
      <w:outlineLvl w:val="5"/>
    </w:pPr>
    <w:rPr>
      <w:rFonts w:ascii="Arial" w:hAnsi="Arial" w:eastAsia="黑体"/>
      <w:b/>
      <w:bCs/>
      <w:sz w:val="24"/>
      <w:szCs w:val="24"/>
    </w:rPr>
  </w:style>
  <w:style w:type="paragraph" w:styleId="10">
    <w:name w:val="heading 7"/>
    <w:basedOn w:val="1"/>
    <w:next w:val="1"/>
    <w:link w:val="62"/>
    <w:qFormat/>
    <w:uiPriority w:val="99"/>
    <w:pPr>
      <w:keepNext/>
      <w:keepLines/>
      <w:spacing w:before="240" w:after="64" w:line="320" w:lineRule="auto"/>
      <w:outlineLvl w:val="6"/>
    </w:pPr>
    <w:rPr>
      <w:b/>
      <w:bCs/>
      <w:sz w:val="24"/>
      <w:szCs w:val="24"/>
    </w:rPr>
  </w:style>
  <w:style w:type="paragraph" w:styleId="11">
    <w:name w:val="heading 8"/>
    <w:basedOn w:val="1"/>
    <w:next w:val="1"/>
    <w:link w:val="63"/>
    <w:qFormat/>
    <w:uiPriority w:val="99"/>
    <w:pPr>
      <w:keepNext/>
      <w:keepLines/>
      <w:spacing w:before="240" w:after="64" w:line="320" w:lineRule="auto"/>
      <w:outlineLvl w:val="7"/>
    </w:pPr>
    <w:rPr>
      <w:rFonts w:ascii="Arial" w:hAnsi="Arial" w:eastAsia="黑体"/>
      <w:sz w:val="24"/>
      <w:szCs w:val="24"/>
    </w:rPr>
  </w:style>
  <w:style w:type="paragraph" w:styleId="12">
    <w:name w:val="heading 9"/>
    <w:basedOn w:val="1"/>
    <w:next w:val="1"/>
    <w:link w:val="64"/>
    <w:qFormat/>
    <w:uiPriority w:val="99"/>
    <w:pPr>
      <w:keepNext/>
      <w:keepLines/>
      <w:spacing w:before="240" w:after="64" w:line="320" w:lineRule="auto"/>
      <w:outlineLvl w:val="8"/>
    </w:pPr>
    <w:rPr>
      <w:rFonts w:ascii="Arial" w:hAnsi="Arial" w:eastAsia="黑体"/>
    </w:rPr>
  </w:style>
  <w:style w:type="character" w:default="1" w:styleId="48">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5">
    <w:name w:val="Normal Indent"/>
    <w:basedOn w:val="1"/>
    <w:link w:val="90"/>
    <w:qFormat/>
    <w:uiPriority w:val="99"/>
    <w:pPr>
      <w:ind w:firstLine="420"/>
    </w:pPr>
    <w:rPr>
      <w:szCs w:val="20"/>
    </w:rPr>
  </w:style>
  <w:style w:type="paragraph" w:styleId="13">
    <w:name w:val="List 3"/>
    <w:basedOn w:val="1"/>
    <w:qFormat/>
    <w:uiPriority w:val="99"/>
    <w:pPr>
      <w:ind w:left="100" w:leftChars="400" w:hanging="200" w:hangingChars="200"/>
    </w:pPr>
  </w:style>
  <w:style w:type="paragraph" w:styleId="14">
    <w:name w:val="annotation subject"/>
    <w:basedOn w:val="15"/>
    <w:next w:val="15"/>
    <w:link w:val="79"/>
    <w:semiHidden/>
    <w:qFormat/>
    <w:uiPriority w:val="0"/>
    <w:rPr>
      <w:b/>
      <w:bCs/>
    </w:rPr>
  </w:style>
  <w:style w:type="paragraph" w:styleId="15">
    <w:name w:val="annotation text"/>
    <w:basedOn w:val="1"/>
    <w:link w:val="68"/>
    <w:semiHidden/>
    <w:qFormat/>
    <w:uiPriority w:val="0"/>
    <w:pPr>
      <w:jc w:val="left"/>
    </w:pPr>
  </w:style>
  <w:style w:type="paragraph" w:styleId="16">
    <w:name w:val="toc 7"/>
    <w:basedOn w:val="1"/>
    <w:next w:val="1"/>
    <w:semiHidden/>
    <w:qFormat/>
    <w:uiPriority w:val="99"/>
    <w:pPr>
      <w:ind w:left="1260"/>
      <w:jc w:val="left"/>
    </w:pPr>
  </w:style>
  <w:style w:type="paragraph" w:styleId="17">
    <w:name w:val="Body Text First Indent"/>
    <w:basedOn w:val="18"/>
    <w:link w:val="66"/>
    <w:qFormat/>
    <w:uiPriority w:val="99"/>
    <w:pPr>
      <w:spacing w:line="360" w:lineRule="auto"/>
      <w:ind w:firstLine="200" w:firstLineChars="200"/>
    </w:pPr>
    <w:rPr>
      <w:rFonts w:ascii="仿宋_GB2312" w:hAnsi="Times New Roman" w:eastAsia="仿宋_GB2312"/>
      <w:sz w:val="30"/>
      <w:szCs w:val="30"/>
    </w:rPr>
  </w:style>
  <w:style w:type="paragraph" w:styleId="18">
    <w:name w:val="Body Text"/>
    <w:basedOn w:val="1"/>
    <w:next w:val="19"/>
    <w:link w:val="65"/>
    <w:qFormat/>
    <w:uiPriority w:val="99"/>
    <w:rPr>
      <w:rFonts w:ascii="楷体_GB2312" w:hAnsi="Arial" w:eastAsia="楷体_GB2312"/>
      <w:sz w:val="28"/>
      <w:szCs w:val="28"/>
    </w:rPr>
  </w:style>
  <w:style w:type="paragraph" w:customStyle="1" w:styleId="19">
    <w:name w:val="style4"/>
    <w:basedOn w:val="1"/>
    <w:next w:val="20"/>
    <w:qFormat/>
    <w:uiPriority w:val="0"/>
    <w:pPr>
      <w:spacing w:before="280" w:after="280"/>
    </w:pPr>
    <w:rPr>
      <w:rFonts w:ascii="宋体"/>
      <w:sz w:val="18"/>
    </w:rPr>
  </w:style>
  <w:style w:type="paragraph" w:customStyle="1" w:styleId="20">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21">
    <w:name w:val="Document Map"/>
    <w:basedOn w:val="1"/>
    <w:link w:val="67"/>
    <w:semiHidden/>
    <w:qFormat/>
    <w:uiPriority w:val="99"/>
    <w:pPr>
      <w:shd w:val="clear" w:color="auto" w:fill="000080"/>
    </w:pPr>
  </w:style>
  <w:style w:type="paragraph" w:styleId="22">
    <w:name w:val="Body Text 3"/>
    <w:basedOn w:val="1"/>
    <w:link w:val="69"/>
    <w:qFormat/>
    <w:uiPriority w:val="99"/>
    <w:rPr>
      <w:rFonts w:ascii="仿宋_GB2312" w:hAnsi="Arial" w:eastAsia="仿宋_GB2312"/>
      <w:sz w:val="32"/>
      <w:szCs w:val="32"/>
    </w:rPr>
  </w:style>
  <w:style w:type="paragraph" w:styleId="23">
    <w:name w:val="Body Text Indent"/>
    <w:basedOn w:val="1"/>
    <w:link w:val="70"/>
    <w:qFormat/>
    <w:uiPriority w:val="99"/>
    <w:pPr>
      <w:ind w:firstLine="645"/>
    </w:pPr>
    <w:rPr>
      <w:rFonts w:ascii="楷体_GB2312" w:eastAsia="楷体_GB2312"/>
      <w:sz w:val="32"/>
      <w:szCs w:val="32"/>
    </w:rPr>
  </w:style>
  <w:style w:type="paragraph" w:styleId="24">
    <w:name w:val="List 2"/>
    <w:basedOn w:val="1"/>
    <w:qFormat/>
    <w:uiPriority w:val="99"/>
    <w:pPr>
      <w:ind w:left="100" w:leftChars="200" w:hanging="200" w:hangingChars="200"/>
    </w:pPr>
  </w:style>
  <w:style w:type="paragraph" w:styleId="25">
    <w:name w:val="toc 5"/>
    <w:basedOn w:val="1"/>
    <w:next w:val="1"/>
    <w:semiHidden/>
    <w:qFormat/>
    <w:uiPriority w:val="99"/>
    <w:pPr>
      <w:ind w:left="840"/>
      <w:jc w:val="left"/>
    </w:pPr>
  </w:style>
  <w:style w:type="paragraph" w:styleId="26">
    <w:name w:val="toc 3"/>
    <w:basedOn w:val="1"/>
    <w:next w:val="1"/>
    <w:semiHidden/>
    <w:qFormat/>
    <w:uiPriority w:val="99"/>
    <w:pPr>
      <w:ind w:left="420"/>
      <w:jc w:val="left"/>
    </w:pPr>
    <w:rPr>
      <w:i/>
      <w:iCs/>
      <w:szCs w:val="24"/>
    </w:rPr>
  </w:style>
  <w:style w:type="paragraph" w:styleId="27">
    <w:name w:val="Plain Text"/>
    <w:basedOn w:val="1"/>
    <w:link w:val="71"/>
    <w:qFormat/>
    <w:uiPriority w:val="0"/>
    <w:rPr>
      <w:rFonts w:ascii="宋体" w:hAnsi="Courier New"/>
    </w:rPr>
  </w:style>
  <w:style w:type="paragraph" w:styleId="28">
    <w:name w:val="toc 8"/>
    <w:basedOn w:val="1"/>
    <w:next w:val="1"/>
    <w:semiHidden/>
    <w:qFormat/>
    <w:uiPriority w:val="99"/>
    <w:pPr>
      <w:ind w:left="1470"/>
      <w:jc w:val="left"/>
    </w:pPr>
  </w:style>
  <w:style w:type="paragraph" w:styleId="29">
    <w:name w:val="Date"/>
    <w:basedOn w:val="1"/>
    <w:next w:val="1"/>
    <w:link w:val="72"/>
    <w:qFormat/>
    <w:uiPriority w:val="99"/>
    <w:rPr>
      <w:sz w:val="24"/>
      <w:szCs w:val="24"/>
    </w:rPr>
  </w:style>
  <w:style w:type="paragraph" w:styleId="30">
    <w:name w:val="Body Text Indent 2"/>
    <w:basedOn w:val="1"/>
    <w:link w:val="73"/>
    <w:qFormat/>
    <w:uiPriority w:val="99"/>
    <w:pPr>
      <w:ind w:left="630" w:firstLine="645"/>
    </w:pPr>
    <w:rPr>
      <w:rFonts w:ascii="Arial" w:hAnsi="Arial" w:eastAsia="仿宋_GB2312"/>
      <w:sz w:val="32"/>
      <w:szCs w:val="32"/>
    </w:rPr>
  </w:style>
  <w:style w:type="paragraph" w:styleId="31">
    <w:name w:val="Balloon Text"/>
    <w:basedOn w:val="1"/>
    <w:link w:val="74"/>
    <w:qFormat/>
    <w:uiPriority w:val="0"/>
    <w:rPr>
      <w:sz w:val="18"/>
      <w:szCs w:val="18"/>
    </w:rPr>
  </w:style>
  <w:style w:type="paragraph" w:styleId="32">
    <w:name w:val="footer"/>
    <w:basedOn w:val="1"/>
    <w:link w:val="75"/>
    <w:qFormat/>
    <w:uiPriority w:val="0"/>
    <w:pPr>
      <w:tabs>
        <w:tab w:val="center" w:pos="4153"/>
        <w:tab w:val="right" w:pos="8306"/>
      </w:tabs>
      <w:snapToGrid w:val="0"/>
      <w:jc w:val="left"/>
    </w:pPr>
    <w:rPr>
      <w:sz w:val="18"/>
      <w:szCs w:val="18"/>
    </w:rPr>
  </w:style>
  <w:style w:type="paragraph" w:styleId="33">
    <w:name w:val="Body Text First Indent 2"/>
    <w:basedOn w:val="23"/>
    <w:link w:val="80"/>
    <w:qFormat/>
    <w:uiPriority w:val="99"/>
    <w:pPr>
      <w:spacing w:line="360" w:lineRule="auto"/>
      <w:ind w:firstLine="420" w:firstLineChars="200"/>
    </w:pPr>
    <w:rPr>
      <w:rFonts w:ascii="宋体" w:hAnsi="宋体" w:eastAsia="宋体"/>
      <w:sz w:val="21"/>
      <w:szCs w:val="20"/>
    </w:rPr>
  </w:style>
  <w:style w:type="paragraph" w:styleId="34">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semiHidden/>
    <w:qFormat/>
    <w:uiPriority w:val="99"/>
    <w:pPr>
      <w:tabs>
        <w:tab w:val="right" w:leader="dot" w:pos="8720"/>
      </w:tabs>
      <w:spacing w:before="120" w:after="120" w:line="400" w:lineRule="exact"/>
      <w:jc w:val="left"/>
    </w:pPr>
    <w:rPr>
      <w:rFonts w:ascii="宋体" w:hAnsi="宋体"/>
      <w:caps/>
      <w:sz w:val="24"/>
      <w:szCs w:val="24"/>
    </w:rPr>
  </w:style>
  <w:style w:type="paragraph" w:styleId="36">
    <w:name w:val="toc 4"/>
    <w:basedOn w:val="1"/>
    <w:next w:val="1"/>
    <w:semiHidden/>
    <w:qFormat/>
    <w:uiPriority w:val="99"/>
    <w:pPr>
      <w:ind w:left="630"/>
      <w:jc w:val="left"/>
    </w:pPr>
  </w:style>
  <w:style w:type="paragraph" w:styleId="37">
    <w:name w:val="List"/>
    <w:basedOn w:val="1"/>
    <w:qFormat/>
    <w:uiPriority w:val="99"/>
    <w:pPr>
      <w:ind w:left="200" w:hanging="200" w:hangingChars="200"/>
    </w:pPr>
  </w:style>
  <w:style w:type="paragraph" w:styleId="38">
    <w:name w:val="toc 6"/>
    <w:basedOn w:val="1"/>
    <w:next w:val="1"/>
    <w:semiHidden/>
    <w:qFormat/>
    <w:uiPriority w:val="99"/>
    <w:pPr>
      <w:ind w:left="1050"/>
      <w:jc w:val="left"/>
    </w:pPr>
  </w:style>
  <w:style w:type="paragraph" w:styleId="39">
    <w:name w:val="Body Text Indent 3"/>
    <w:basedOn w:val="1"/>
    <w:link w:val="77"/>
    <w:qFormat/>
    <w:uiPriority w:val="99"/>
    <w:pPr>
      <w:ind w:left="645" w:firstLine="645"/>
    </w:pPr>
    <w:rPr>
      <w:rFonts w:ascii="Arial" w:hAnsi="Arial" w:eastAsia="仿宋_GB2312"/>
      <w:color w:val="FFFF00"/>
      <w:sz w:val="32"/>
      <w:szCs w:val="32"/>
    </w:rPr>
  </w:style>
  <w:style w:type="paragraph" w:styleId="40">
    <w:name w:val="table of figures"/>
    <w:basedOn w:val="1"/>
    <w:next w:val="1"/>
    <w:semiHidden/>
    <w:qFormat/>
    <w:uiPriority w:val="99"/>
    <w:pPr>
      <w:ind w:left="840" w:hanging="420"/>
    </w:pPr>
  </w:style>
  <w:style w:type="paragraph" w:styleId="41">
    <w:name w:val="toc 2"/>
    <w:basedOn w:val="1"/>
    <w:next w:val="1"/>
    <w:semiHidden/>
    <w:qFormat/>
    <w:uiPriority w:val="99"/>
    <w:pPr>
      <w:ind w:left="210"/>
      <w:jc w:val="left"/>
    </w:pPr>
    <w:rPr>
      <w:smallCaps/>
      <w:szCs w:val="24"/>
    </w:rPr>
  </w:style>
  <w:style w:type="paragraph" w:styleId="42">
    <w:name w:val="toc 9"/>
    <w:basedOn w:val="1"/>
    <w:next w:val="1"/>
    <w:semiHidden/>
    <w:qFormat/>
    <w:uiPriority w:val="99"/>
    <w:pPr>
      <w:ind w:left="1680"/>
      <w:jc w:val="left"/>
    </w:pPr>
  </w:style>
  <w:style w:type="paragraph" w:styleId="43">
    <w:name w:val="Body Text 2"/>
    <w:basedOn w:val="1"/>
    <w:link w:val="78"/>
    <w:qFormat/>
    <w:uiPriority w:val="99"/>
    <w:pPr>
      <w:widowControl/>
      <w:jc w:val="center"/>
    </w:pPr>
    <w:rPr>
      <w:rFonts w:ascii="楷体_GB2312" w:eastAsia="楷体_GB2312"/>
      <w:sz w:val="28"/>
      <w:szCs w:val="28"/>
    </w:rPr>
  </w:style>
  <w:style w:type="paragraph" w:styleId="44">
    <w:name w:val="HTML Preformatted"/>
    <w:basedOn w:val="1"/>
    <w:link w:val="12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4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6">
    <w:name w:val="index 1"/>
    <w:basedOn w:val="1"/>
    <w:next w:val="1"/>
    <w:semiHidden/>
    <w:qFormat/>
    <w:uiPriority w:val="99"/>
    <w:pPr>
      <w:spacing w:line="240" w:lineRule="atLeast"/>
    </w:pPr>
    <w:rPr>
      <w:b/>
      <w:bCs/>
    </w:rPr>
  </w:style>
  <w:style w:type="paragraph" w:styleId="47">
    <w:name w:val="Title"/>
    <w:basedOn w:val="1"/>
    <w:next w:val="1"/>
    <w:link w:val="131"/>
    <w:qFormat/>
    <w:locked/>
    <w:uiPriority w:val="0"/>
    <w:pPr>
      <w:spacing w:before="240" w:after="60"/>
      <w:jc w:val="center"/>
      <w:outlineLvl w:val="0"/>
    </w:pPr>
    <w:rPr>
      <w:rFonts w:ascii="Cambria" w:hAnsi="Cambria"/>
      <w:b/>
      <w:bCs/>
      <w:sz w:val="32"/>
      <w:szCs w:val="32"/>
    </w:rPr>
  </w:style>
  <w:style w:type="character" w:styleId="49">
    <w:name w:val="Strong"/>
    <w:basedOn w:val="48"/>
    <w:qFormat/>
    <w:uiPriority w:val="22"/>
    <w:rPr>
      <w:rFonts w:cs="Times New Roman"/>
      <w:b/>
    </w:rPr>
  </w:style>
  <w:style w:type="character" w:styleId="50">
    <w:name w:val="page number"/>
    <w:basedOn w:val="48"/>
    <w:qFormat/>
    <w:uiPriority w:val="0"/>
    <w:rPr>
      <w:rFonts w:cs="Times New Roman"/>
    </w:rPr>
  </w:style>
  <w:style w:type="character" w:styleId="51">
    <w:name w:val="FollowedHyperlink"/>
    <w:basedOn w:val="48"/>
    <w:qFormat/>
    <w:uiPriority w:val="99"/>
    <w:rPr>
      <w:rFonts w:cs="Times New Roman"/>
      <w:color w:val="800080"/>
      <w:u w:val="single"/>
    </w:rPr>
  </w:style>
  <w:style w:type="character" w:styleId="52">
    <w:name w:val="Hyperlink"/>
    <w:basedOn w:val="48"/>
    <w:qFormat/>
    <w:uiPriority w:val="99"/>
    <w:rPr>
      <w:rFonts w:cs="Times New Roman"/>
      <w:color w:val="0000FF"/>
      <w:u w:val="single"/>
    </w:rPr>
  </w:style>
  <w:style w:type="character" w:styleId="53">
    <w:name w:val="annotation reference"/>
    <w:basedOn w:val="48"/>
    <w:semiHidden/>
    <w:qFormat/>
    <w:uiPriority w:val="0"/>
    <w:rPr>
      <w:rFonts w:cs="Times New Roman"/>
      <w:sz w:val="21"/>
    </w:rPr>
  </w:style>
  <w:style w:type="table" w:styleId="55">
    <w:name w:val="Table Grid"/>
    <w:basedOn w:val="5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56">
    <w:name w:val="标题 1 Char"/>
    <w:basedOn w:val="48"/>
    <w:link w:val="3"/>
    <w:qFormat/>
    <w:locked/>
    <w:uiPriority w:val="99"/>
    <w:rPr>
      <w:rFonts w:ascii="楷体_GB2312" w:eastAsia="楷体_GB2312"/>
      <w:kern w:val="2"/>
      <w:sz w:val="28"/>
    </w:rPr>
  </w:style>
  <w:style w:type="character" w:customStyle="1" w:styleId="57">
    <w:name w:val="标题 2 Char"/>
    <w:basedOn w:val="48"/>
    <w:link w:val="4"/>
    <w:qFormat/>
    <w:locked/>
    <w:uiPriority w:val="99"/>
    <w:rPr>
      <w:rFonts w:ascii="Arial" w:hAnsi="Arial" w:eastAsia="幼圆"/>
      <w:b/>
      <w:kern w:val="2"/>
      <w:sz w:val="44"/>
    </w:rPr>
  </w:style>
  <w:style w:type="character" w:customStyle="1" w:styleId="58">
    <w:name w:val="标题 3 Char"/>
    <w:basedOn w:val="48"/>
    <w:link w:val="6"/>
    <w:qFormat/>
    <w:locked/>
    <w:uiPriority w:val="99"/>
    <w:rPr>
      <w:rFonts w:eastAsia="宋体"/>
      <w:b/>
      <w:kern w:val="2"/>
      <w:sz w:val="32"/>
      <w:lang w:val="en-US" w:eastAsia="zh-CN"/>
    </w:rPr>
  </w:style>
  <w:style w:type="character" w:customStyle="1" w:styleId="59">
    <w:name w:val="标题 4 Char"/>
    <w:basedOn w:val="48"/>
    <w:link w:val="7"/>
    <w:qFormat/>
    <w:locked/>
    <w:uiPriority w:val="99"/>
    <w:rPr>
      <w:rFonts w:ascii="Arial" w:hAnsi="Arial" w:eastAsia="黑体"/>
      <w:b/>
      <w:kern w:val="2"/>
      <w:sz w:val="28"/>
    </w:rPr>
  </w:style>
  <w:style w:type="character" w:customStyle="1" w:styleId="60">
    <w:name w:val="标题 5 Char"/>
    <w:basedOn w:val="48"/>
    <w:link w:val="8"/>
    <w:qFormat/>
    <w:locked/>
    <w:uiPriority w:val="99"/>
    <w:rPr>
      <w:rFonts w:ascii="宋体"/>
      <w:color w:val="000000"/>
      <w:sz w:val="28"/>
    </w:rPr>
  </w:style>
  <w:style w:type="character" w:customStyle="1" w:styleId="61">
    <w:name w:val="标题 6 Char"/>
    <w:basedOn w:val="48"/>
    <w:link w:val="9"/>
    <w:qFormat/>
    <w:locked/>
    <w:uiPriority w:val="99"/>
    <w:rPr>
      <w:rFonts w:ascii="Arial" w:hAnsi="Arial" w:eastAsia="黑体"/>
      <w:b/>
      <w:kern w:val="2"/>
      <w:sz w:val="24"/>
    </w:rPr>
  </w:style>
  <w:style w:type="character" w:customStyle="1" w:styleId="62">
    <w:name w:val="标题 7 Char"/>
    <w:basedOn w:val="48"/>
    <w:link w:val="10"/>
    <w:qFormat/>
    <w:locked/>
    <w:uiPriority w:val="99"/>
    <w:rPr>
      <w:b/>
      <w:kern w:val="2"/>
      <w:sz w:val="24"/>
    </w:rPr>
  </w:style>
  <w:style w:type="character" w:customStyle="1" w:styleId="63">
    <w:name w:val="标题 8 Char"/>
    <w:basedOn w:val="48"/>
    <w:link w:val="11"/>
    <w:qFormat/>
    <w:locked/>
    <w:uiPriority w:val="99"/>
    <w:rPr>
      <w:rFonts w:ascii="Arial" w:hAnsi="Arial" w:eastAsia="黑体"/>
      <w:kern w:val="2"/>
      <w:sz w:val="24"/>
    </w:rPr>
  </w:style>
  <w:style w:type="character" w:customStyle="1" w:styleId="64">
    <w:name w:val="标题 9 Char"/>
    <w:basedOn w:val="48"/>
    <w:link w:val="12"/>
    <w:qFormat/>
    <w:locked/>
    <w:uiPriority w:val="99"/>
    <w:rPr>
      <w:rFonts w:ascii="Arial" w:hAnsi="Arial" w:eastAsia="黑体"/>
      <w:kern w:val="2"/>
      <w:sz w:val="21"/>
    </w:rPr>
  </w:style>
  <w:style w:type="character" w:customStyle="1" w:styleId="65">
    <w:name w:val="正文文本 Char"/>
    <w:basedOn w:val="48"/>
    <w:link w:val="18"/>
    <w:qFormat/>
    <w:locked/>
    <w:uiPriority w:val="99"/>
    <w:rPr>
      <w:rFonts w:ascii="楷体_GB2312" w:hAnsi="Arial" w:eastAsia="楷体_GB2312"/>
      <w:kern w:val="2"/>
      <w:sz w:val="28"/>
    </w:rPr>
  </w:style>
  <w:style w:type="character" w:customStyle="1" w:styleId="66">
    <w:name w:val="正文首行缩进 Char"/>
    <w:basedOn w:val="65"/>
    <w:link w:val="17"/>
    <w:qFormat/>
    <w:locked/>
    <w:uiPriority w:val="99"/>
    <w:rPr>
      <w:rFonts w:ascii="仿宋_GB2312" w:eastAsia="仿宋_GB2312"/>
      <w:sz w:val="30"/>
    </w:rPr>
  </w:style>
  <w:style w:type="character" w:customStyle="1" w:styleId="67">
    <w:name w:val="文档结构图 Char"/>
    <w:basedOn w:val="48"/>
    <w:link w:val="21"/>
    <w:qFormat/>
    <w:locked/>
    <w:uiPriority w:val="99"/>
    <w:rPr>
      <w:rFonts w:eastAsia="宋体"/>
      <w:kern w:val="2"/>
      <w:sz w:val="21"/>
      <w:lang w:val="en-US" w:eastAsia="zh-CN"/>
    </w:rPr>
  </w:style>
  <w:style w:type="character" w:customStyle="1" w:styleId="68">
    <w:name w:val="批注文字 Char"/>
    <w:basedOn w:val="48"/>
    <w:link w:val="15"/>
    <w:semiHidden/>
    <w:qFormat/>
    <w:locked/>
    <w:uiPriority w:val="99"/>
    <w:rPr>
      <w:kern w:val="2"/>
      <w:sz w:val="21"/>
    </w:rPr>
  </w:style>
  <w:style w:type="character" w:customStyle="1" w:styleId="69">
    <w:name w:val="正文文本 3 Char"/>
    <w:basedOn w:val="48"/>
    <w:link w:val="22"/>
    <w:qFormat/>
    <w:locked/>
    <w:uiPriority w:val="99"/>
    <w:rPr>
      <w:rFonts w:ascii="仿宋_GB2312" w:hAnsi="Arial" w:eastAsia="仿宋_GB2312"/>
      <w:kern w:val="2"/>
      <w:sz w:val="32"/>
    </w:rPr>
  </w:style>
  <w:style w:type="character" w:customStyle="1" w:styleId="70">
    <w:name w:val="正文文本缩进 Char"/>
    <w:basedOn w:val="48"/>
    <w:link w:val="23"/>
    <w:qFormat/>
    <w:locked/>
    <w:uiPriority w:val="99"/>
    <w:rPr>
      <w:rFonts w:ascii="楷体_GB2312" w:eastAsia="楷体_GB2312"/>
      <w:kern w:val="2"/>
      <w:sz w:val="32"/>
    </w:rPr>
  </w:style>
  <w:style w:type="character" w:customStyle="1" w:styleId="71">
    <w:name w:val="纯文本 Char"/>
    <w:basedOn w:val="48"/>
    <w:link w:val="27"/>
    <w:qFormat/>
    <w:locked/>
    <w:uiPriority w:val="0"/>
    <w:rPr>
      <w:rFonts w:ascii="宋体" w:hAnsi="Courier New"/>
      <w:kern w:val="2"/>
      <w:sz w:val="21"/>
    </w:rPr>
  </w:style>
  <w:style w:type="character" w:customStyle="1" w:styleId="72">
    <w:name w:val="日期 Char"/>
    <w:basedOn w:val="48"/>
    <w:link w:val="29"/>
    <w:qFormat/>
    <w:locked/>
    <w:uiPriority w:val="99"/>
    <w:rPr>
      <w:kern w:val="2"/>
      <w:sz w:val="24"/>
    </w:rPr>
  </w:style>
  <w:style w:type="character" w:customStyle="1" w:styleId="73">
    <w:name w:val="正文文本缩进 2 Char"/>
    <w:basedOn w:val="48"/>
    <w:link w:val="30"/>
    <w:qFormat/>
    <w:locked/>
    <w:uiPriority w:val="99"/>
    <w:rPr>
      <w:rFonts w:ascii="Arial" w:hAnsi="Arial" w:eastAsia="仿宋_GB2312"/>
      <w:kern w:val="2"/>
      <w:sz w:val="32"/>
    </w:rPr>
  </w:style>
  <w:style w:type="character" w:customStyle="1" w:styleId="74">
    <w:name w:val="批注框文本 Char"/>
    <w:basedOn w:val="48"/>
    <w:link w:val="31"/>
    <w:semiHidden/>
    <w:qFormat/>
    <w:locked/>
    <w:uiPriority w:val="99"/>
    <w:rPr>
      <w:kern w:val="2"/>
      <w:sz w:val="18"/>
    </w:rPr>
  </w:style>
  <w:style w:type="character" w:customStyle="1" w:styleId="75">
    <w:name w:val="页脚 Char"/>
    <w:basedOn w:val="48"/>
    <w:link w:val="32"/>
    <w:qFormat/>
    <w:locked/>
    <w:uiPriority w:val="99"/>
    <w:rPr>
      <w:kern w:val="2"/>
      <w:sz w:val="18"/>
    </w:rPr>
  </w:style>
  <w:style w:type="character" w:customStyle="1" w:styleId="76">
    <w:name w:val="页眉 Char"/>
    <w:basedOn w:val="48"/>
    <w:link w:val="34"/>
    <w:qFormat/>
    <w:locked/>
    <w:uiPriority w:val="99"/>
    <w:rPr>
      <w:kern w:val="2"/>
      <w:sz w:val="18"/>
    </w:rPr>
  </w:style>
  <w:style w:type="character" w:customStyle="1" w:styleId="77">
    <w:name w:val="正文文本缩进 3 Char"/>
    <w:basedOn w:val="48"/>
    <w:link w:val="39"/>
    <w:qFormat/>
    <w:locked/>
    <w:uiPriority w:val="99"/>
    <w:rPr>
      <w:rFonts w:ascii="Arial" w:hAnsi="Arial" w:eastAsia="仿宋_GB2312"/>
      <w:color w:val="FFFF00"/>
      <w:kern w:val="2"/>
      <w:sz w:val="32"/>
    </w:rPr>
  </w:style>
  <w:style w:type="character" w:customStyle="1" w:styleId="78">
    <w:name w:val="正文文本 2 Char"/>
    <w:basedOn w:val="48"/>
    <w:link w:val="43"/>
    <w:qFormat/>
    <w:locked/>
    <w:uiPriority w:val="99"/>
    <w:rPr>
      <w:rFonts w:ascii="楷体_GB2312" w:eastAsia="楷体_GB2312"/>
      <w:kern w:val="2"/>
      <w:sz w:val="28"/>
    </w:rPr>
  </w:style>
  <w:style w:type="character" w:customStyle="1" w:styleId="79">
    <w:name w:val="批注主题 Char"/>
    <w:basedOn w:val="68"/>
    <w:link w:val="14"/>
    <w:semiHidden/>
    <w:qFormat/>
    <w:locked/>
    <w:uiPriority w:val="99"/>
    <w:rPr>
      <w:b/>
    </w:rPr>
  </w:style>
  <w:style w:type="character" w:customStyle="1" w:styleId="80">
    <w:name w:val="正文首行缩进 2 Char"/>
    <w:basedOn w:val="70"/>
    <w:link w:val="33"/>
    <w:qFormat/>
    <w:locked/>
    <w:uiPriority w:val="99"/>
    <w:rPr>
      <w:rFonts w:ascii="宋体" w:eastAsia="宋体"/>
      <w:sz w:val="21"/>
    </w:rPr>
  </w:style>
  <w:style w:type="character" w:customStyle="1" w:styleId="81">
    <w:name w:val="文档结构图 Char1"/>
    <w:semiHidden/>
    <w:qFormat/>
    <w:uiPriority w:val="99"/>
    <w:rPr>
      <w:rFonts w:ascii="宋体" w:hAnsi="Times New Roman" w:eastAsia="宋体"/>
      <w:sz w:val="18"/>
    </w:rPr>
  </w:style>
  <w:style w:type="character" w:customStyle="1" w:styleId="82">
    <w:name w:val="h3 Char1"/>
    <w:qFormat/>
    <w:uiPriority w:val="99"/>
    <w:rPr>
      <w:rFonts w:eastAsia="宋体"/>
      <w:b/>
      <w:kern w:val="2"/>
      <w:sz w:val="32"/>
      <w:lang w:val="en-US" w:eastAsia="zh-CN"/>
    </w:rPr>
  </w:style>
  <w:style w:type="character" w:customStyle="1" w:styleId="83">
    <w:name w:val="Char Char Char Char Char"/>
    <w:link w:val="84"/>
    <w:qFormat/>
    <w:locked/>
    <w:uiPriority w:val="99"/>
    <w:rPr>
      <w:rFonts w:ascii="Tahoma" w:hAnsi="Tahoma"/>
      <w:kern w:val="2"/>
      <w:sz w:val="24"/>
      <w:shd w:val="clear" w:color="auto" w:fill="000080"/>
    </w:rPr>
  </w:style>
  <w:style w:type="paragraph" w:customStyle="1" w:styleId="84">
    <w:name w:val="Char Char Char Char"/>
    <w:basedOn w:val="21"/>
    <w:link w:val="83"/>
    <w:qFormat/>
    <w:uiPriority w:val="99"/>
    <w:pPr>
      <w:adjustRightInd w:val="0"/>
      <w:snapToGrid w:val="0"/>
      <w:spacing w:line="360" w:lineRule="auto"/>
    </w:pPr>
    <w:rPr>
      <w:rFonts w:ascii="Tahoma" w:hAnsi="Tahoma"/>
      <w:sz w:val="24"/>
      <w:szCs w:val="20"/>
    </w:rPr>
  </w:style>
  <w:style w:type="character" w:customStyle="1" w:styleId="85">
    <w:name w:val="Char Char Char Char Char1"/>
    <w:link w:val="86"/>
    <w:qFormat/>
    <w:locked/>
    <w:uiPriority w:val="99"/>
    <w:rPr>
      <w:rFonts w:ascii="Tahoma" w:hAnsi="Tahoma" w:eastAsia="宋体"/>
      <w:kern w:val="2"/>
      <w:sz w:val="24"/>
      <w:lang w:val="en-US" w:eastAsia="zh-CN"/>
    </w:rPr>
  </w:style>
  <w:style w:type="paragraph" w:customStyle="1" w:styleId="86">
    <w:name w:val="Char Char Char Char1"/>
    <w:basedOn w:val="21"/>
    <w:link w:val="85"/>
    <w:qFormat/>
    <w:uiPriority w:val="99"/>
    <w:pPr>
      <w:adjustRightInd w:val="0"/>
      <w:snapToGrid w:val="0"/>
      <w:spacing w:line="360" w:lineRule="auto"/>
    </w:pPr>
    <w:rPr>
      <w:rFonts w:ascii="Tahoma" w:hAnsi="Tahoma"/>
      <w:sz w:val="24"/>
      <w:szCs w:val="20"/>
    </w:rPr>
  </w:style>
  <w:style w:type="character" w:customStyle="1" w:styleId="87">
    <w:name w:val="列出段落 Char"/>
    <w:link w:val="88"/>
    <w:qFormat/>
    <w:locked/>
    <w:uiPriority w:val="99"/>
    <w:rPr>
      <w:rFonts w:ascii="Calibri" w:hAnsi="Calibri"/>
      <w:sz w:val="24"/>
      <w:lang w:eastAsia="en-US"/>
    </w:rPr>
  </w:style>
  <w:style w:type="paragraph" w:customStyle="1" w:styleId="88">
    <w:name w:val="列出段落1"/>
    <w:basedOn w:val="1"/>
    <w:link w:val="87"/>
    <w:qFormat/>
    <w:uiPriority w:val="99"/>
    <w:pPr>
      <w:widowControl/>
      <w:ind w:left="720"/>
      <w:contextualSpacing/>
      <w:jc w:val="left"/>
    </w:pPr>
    <w:rPr>
      <w:rFonts w:ascii="Calibri" w:hAnsi="Calibri"/>
      <w:kern w:val="0"/>
      <w:sz w:val="24"/>
      <w:szCs w:val="20"/>
      <w:lang w:eastAsia="en-US"/>
    </w:rPr>
  </w:style>
  <w:style w:type="character" w:customStyle="1" w:styleId="89">
    <w:name w:val="font5 Char"/>
    <w:qFormat/>
    <w:uiPriority w:val="99"/>
    <w:rPr>
      <w:rFonts w:ascii="宋体" w:hAnsi="宋体" w:eastAsia="宋体"/>
      <w:sz w:val="28"/>
      <w:lang w:val="en-US" w:eastAsia="zh-CN"/>
    </w:rPr>
  </w:style>
  <w:style w:type="character" w:customStyle="1" w:styleId="90">
    <w:name w:val="正文缩进 Char"/>
    <w:link w:val="5"/>
    <w:qFormat/>
    <w:locked/>
    <w:uiPriority w:val="99"/>
    <w:rPr>
      <w:kern w:val="2"/>
      <w:sz w:val="21"/>
    </w:rPr>
  </w:style>
  <w:style w:type="character" w:customStyle="1" w:styleId="91">
    <w:name w:val="二级目录 Char"/>
    <w:link w:val="92"/>
    <w:qFormat/>
    <w:locked/>
    <w:uiPriority w:val="99"/>
    <w:rPr>
      <w:b/>
      <w:kern w:val="2"/>
      <w:sz w:val="30"/>
      <w:szCs w:val="28"/>
      <w:lang w:val="en-US" w:eastAsia="zh-CN" w:bidi="ar-SA"/>
    </w:rPr>
  </w:style>
  <w:style w:type="paragraph" w:customStyle="1" w:styleId="92">
    <w:name w:val="二级目录"/>
    <w:next w:val="1"/>
    <w:link w:val="91"/>
    <w:qFormat/>
    <w:uiPriority w:val="99"/>
    <w:pPr>
      <w:tabs>
        <w:tab w:val="left" w:pos="907"/>
        <w:tab w:val="left" w:pos="1145"/>
      </w:tabs>
      <w:ind w:left="907" w:hanging="907"/>
      <w:outlineLvl w:val="1"/>
    </w:pPr>
    <w:rPr>
      <w:rFonts w:ascii="Times New Roman" w:hAnsi="Times New Roman" w:eastAsia="宋体" w:cs="Times New Roman"/>
      <w:b/>
      <w:kern w:val="2"/>
      <w:sz w:val="30"/>
      <w:szCs w:val="28"/>
      <w:lang w:val="en-US" w:eastAsia="zh-CN" w:bidi="ar-SA"/>
    </w:rPr>
  </w:style>
  <w:style w:type="paragraph" w:customStyle="1" w:styleId="93">
    <w:name w:val="font6"/>
    <w:basedOn w:val="1"/>
    <w:qFormat/>
    <w:uiPriority w:val="99"/>
    <w:pPr>
      <w:widowControl/>
      <w:spacing w:before="100" w:beforeAutospacing="1" w:after="100" w:afterAutospacing="1"/>
      <w:jc w:val="left"/>
    </w:pPr>
    <w:rPr>
      <w:rFonts w:ascii="宋体" w:hAnsi="宋体"/>
      <w:kern w:val="0"/>
      <w:sz w:val="28"/>
      <w:szCs w:val="28"/>
      <w:u w:val="single"/>
    </w:rPr>
  </w:style>
  <w:style w:type="paragraph" w:customStyle="1" w:styleId="94">
    <w:name w:val="font5"/>
    <w:basedOn w:val="1"/>
    <w:qFormat/>
    <w:uiPriority w:val="99"/>
    <w:pPr>
      <w:widowControl/>
      <w:spacing w:before="100" w:beforeAutospacing="1" w:after="100" w:afterAutospacing="1"/>
      <w:jc w:val="left"/>
    </w:pPr>
    <w:rPr>
      <w:rFonts w:ascii="宋体" w:hAnsi="宋体"/>
      <w:kern w:val="0"/>
      <w:sz w:val="28"/>
      <w:szCs w:val="28"/>
    </w:rPr>
  </w:style>
  <w:style w:type="paragraph" w:customStyle="1" w:styleId="95">
    <w:name w:val="标题1"/>
    <w:basedOn w:val="1"/>
    <w:next w:val="1"/>
    <w:qFormat/>
    <w:uiPriority w:val="99"/>
    <w:pPr>
      <w:tabs>
        <w:tab w:val="left" w:pos="9193"/>
        <w:tab w:val="left" w:pos="9827"/>
      </w:tabs>
      <w:autoSpaceDE w:val="0"/>
      <w:autoSpaceDN w:val="0"/>
      <w:snapToGrid w:val="0"/>
      <w:spacing w:line="700" w:lineRule="atLeast"/>
      <w:jc w:val="center"/>
    </w:pPr>
    <w:rPr>
      <w:rFonts w:ascii="方正小标宋_GBK" w:eastAsia="方正小标宋_GBK"/>
      <w:kern w:val="0"/>
      <w:sz w:val="44"/>
      <w:szCs w:val="20"/>
    </w:rPr>
  </w:style>
  <w:style w:type="paragraph" w:customStyle="1" w:styleId="96">
    <w:name w:val="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97">
    <w:name w:val="xl29"/>
    <w:basedOn w:val="1"/>
    <w:qFormat/>
    <w:uiPriority w:val="99"/>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98">
    <w:name w:val="table_1stline"/>
    <w:basedOn w:val="1"/>
    <w:qFormat/>
    <w:uiPriority w:val="99"/>
    <w:pPr>
      <w:widowControl/>
      <w:spacing w:before="120"/>
      <w:jc w:val="left"/>
    </w:pPr>
    <w:rPr>
      <w:bCs/>
      <w:kern w:val="0"/>
      <w:sz w:val="20"/>
      <w:szCs w:val="20"/>
      <w:lang w:val="de-DE" w:eastAsia="de-DE"/>
    </w:rPr>
  </w:style>
  <w:style w:type="paragraph" w:customStyle="1" w:styleId="99">
    <w:name w:val="xl30"/>
    <w:basedOn w:val="1"/>
    <w:qFormat/>
    <w:uiPriority w:val="99"/>
    <w:pPr>
      <w:widowControl/>
      <w:spacing w:before="100" w:beforeAutospacing="1" w:after="100" w:afterAutospacing="1"/>
      <w:jc w:val="center"/>
    </w:pPr>
    <w:rPr>
      <w:rFonts w:ascii="宋体" w:hAnsi="宋体"/>
      <w:b/>
      <w:bCs/>
      <w:kern w:val="0"/>
      <w:sz w:val="36"/>
      <w:szCs w:val="36"/>
    </w:rPr>
  </w:style>
  <w:style w:type="paragraph" w:customStyle="1" w:styleId="100">
    <w:name w:val="图标"/>
    <w:basedOn w:val="1"/>
    <w:next w:val="1"/>
    <w:qFormat/>
    <w:uiPriority w:val="99"/>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01">
    <w:name w:val="正文空2格  1."/>
    <w:basedOn w:val="1"/>
    <w:qFormat/>
    <w:uiPriority w:val="99"/>
    <w:pPr>
      <w:adjustRightInd w:val="0"/>
      <w:spacing w:line="360" w:lineRule="auto"/>
      <w:ind w:firstLine="480" w:firstLineChars="200"/>
      <w:textAlignment w:val="baseline"/>
    </w:pPr>
    <w:rPr>
      <w:rFonts w:ascii="宋体" w:eastAsia="仿宋" w:cs="宋体"/>
      <w:kern w:val="0"/>
      <w:sz w:val="28"/>
      <w:szCs w:val="20"/>
    </w:rPr>
  </w:style>
  <w:style w:type="paragraph" w:customStyle="1" w:styleId="102">
    <w:name w:val="附录1"/>
    <w:qFormat/>
    <w:uiPriority w:val="99"/>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103">
    <w:name w:val="Body Text(ch)"/>
    <w:basedOn w:val="1"/>
    <w:next w:val="18"/>
    <w:qFormat/>
    <w:uiPriority w:val="99"/>
    <w:pPr>
      <w:spacing w:after="120"/>
    </w:pPr>
    <w:rPr>
      <w:rFonts w:ascii="宋体" w:hAnsi="Arial"/>
      <w:bCs/>
      <w:iCs/>
      <w:szCs w:val="24"/>
    </w:rPr>
  </w:style>
  <w:style w:type="paragraph" w:customStyle="1" w:styleId="104">
    <w:name w:val="Char Char Char Char Char 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105">
    <w:name w:val="Char Char Char Char Char Char Char Char Char Char"/>
    <w:basedOn w:val="1"/>
    <w:qFormat/>
    <w:uiPriority w:val="99"/>
    <w:pPr>
      <w:adjustRightInd w:val="0"/>
      <w:spacing w:line="360" w:lineRule="auto"/>
    </w:pPr>
    <w:rPr>
      <w:kern w:val="0"/>
      <w:sz w:val="24"/>
      <w:szCs w:val="20"/>
    </w:rPr>
  </w:style>
  <w:style w:type="paragraph" w:customStyle="1" w:styleId="106">
    <w:name w:val="普通正文"/>
    <w:basedOn w:val="1"/>
    <w:qFormat/>
    <w:uiPriority w:val="99"/>
    <w:pPr>
      <w:adjustRightInd w:val="0"/>
      <w:spacing w:before="120" w:after="120" w:line="360" w:lineRule="auto"/>
      <w:ind w:firstLine="480"/>
      <w:jc w:val="left"/>
      <w:textAlignment w:val="baseline"/>
    </w:pPr>
    <w:rPr>
      <w:rFonts w:ascii="Arial" w:hAnsi="Arial"/>
      <w:kern w:val="0"/>
      <w:sz w:val="24"/>
      <w:szCs w:val="24"/>
    </w:rPr>
  </w:style>
  <w:style w:type="paragraph" w:customStyle="1" w:styleId="107">
    <w:name w:val="普通 (Web)"/>
    <w:basedOn w:val="1"/>
    <w:qFormat/>
    <w:uiPriority w:val="99"/>
    <w:pPr>
      <w:widowControl/>
      <w:spacing w:before="100" w:beforeAutospacing="1" w:after="100" w:afterAutospacing="1"/>
      <w:jc w:val="left"/>
    </w:pPr>
    <w:rPr>
      <w:rFonts w:ascii="宋体" w:hAnsi="宋体"/>
      <w:kern w:val="0"/>
      <w:sz w:val="24"/>
      <w:szCs w:val="24"/>
    </w:rPr>
  </w:style>
  <w:style w:type="paragraph" w:customStyle="1" w:styleId="108">
    <w:name w:val="标题3"/>
    <w:basedOn w:val="1"/>
    <w:next w:val="1"/>
    <w:qFormat/>
    <w:uiPriority w:val="99"/>
    <w:pPr>
      <w:autoSpaceDE w:val="0"/>
      <w:autoSpaceDN w:val="0"/>
      <w:snapToGrid w:val="0"/>
      <w:spacing w:line="590" w:lineRule="atLeast"/>
      <w:ind w:firstLine="624"/>
    </w:pPr>
    <w:rPr>
      <w:rFonts w:ascii="方正黑体_GBK" w:eastAsia="方正黑体_GBK"/>
      <w:kern w:val="0"/>
      <w:sz w:val="32"/>
      <w:szCs w:val="32"/>
    </w:rPr>
  </w:style>
  <w:style w:type="paragraph" w:customStyle="1" w:styleId="109">
    <w:name w:val="font7"/>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110">
    <w:name w:val="xl2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11">
    <w:name w:val="4"/>
    <w:basedOn w:val="1"/>
    <w:next w:val="39"/>
    <w:qFormat/>
    <w:uiPriority w:val="99"/>
    <w:pPr>
      <w:spacing w:line="360" w:lineRule="auto"/>
      <w:ind w:firstLine="420"/>
    </w:pPr>
    <w:rPr>
      <w:color w:val="FF0000"/>
      <w:sz w:val="24"/>
      <w:szCs w:val="24"/>
    </w:rPr>
  </w:style>
  <w:style w:type="paragraph" w:customStyle="1" w:styleId="112">
    <w:name w:val="Char"/>
    <w:basedOn w:val="1"/>
    <w:qFormat/>
    <w:uiPriority w:val="99"/>
    <w:pPr>
      <w:tabs>
        <w:tab w:val="left" w:pos="360"/>
      </w:tabs>
      <w:ind w:firstLine="200" w:firstLineChars="200"/>
    </w:pPr>
    <w:rPr>
      <w:sz w:val="28"/>
      <w:szCs w:val="30"/>
    </w:rPr>
  </w:style>
  <w:style w:type="paragraph" w:styleId="113">
    <w:name w:val="List Paragraph"/>
    <w:basedOn w:val="1"/>
    <w:qFormat/>
    <w:uiPriority w:val="99"/>
    <w:pPr>
      <w:widowControl/>
      <w:ind w:left="720"/>
      <w:contextualSpacing/>
      <w:jc w:val="left"/>
    </w:pPr>
    <w:rPr>
      <w:rFonts w:ascii="Calibri" w:hAnsi="Calibri"/>
      <w:kern w:val="0"/>
      <w:sz w:val="24"/>
      <w:szCs w:val="24"/>
      <w:lang w:eastAsia="en-US"/>
    </w:rPr>
  </w:style>
  <w:style w:type="paragraph" w:customStyle="1" w:styleId="114">
    <w:name w:val="xl25"/>
    <w:basedOn w:val="1"/>
    <w:qFormat/>
    <w:uiPriority w:val="99"/>
    <w:pPr>
      <w:widowControl/>
      <w:spacing w:before="100" w:beforeAutospacing="1" w:after="100" w:afterAutospacing="1"/>
      <w:jc w:val="center"/>
      <w:textAlignment w:val="center"/>
    </w:pPr>
    <w:rPr>
      <w:rFonts w:ascii="Arial Unicode MS" w:hAnsi="Arial Unicode MS" w:cs="Arial Unicode MS"/>
      <w:kern w:val="0"/>
      <w:sz w:val="24"/>
      <w:szCs w:val="24"/>
    </w:rPr>
  </w:style>
  <w:style w:type="paragraph" w:customStyle="1" w:styleId="115">
    <w:name w:val="样式1"/>
    <w:basedOn w:val="1"/>
    <w:qFormat/>
    <w:uiPriority w:val="99"/>
    <w:pPr>
      <w:tabs>
        <w:tab w:val="left" w:pos="709"/>
      </w:tabs>
      <w:adjustRightInd w:val="0"/>
      <w:ind w:left="709" w:hanging="709"/>
      <w:textAlignment w:val="baseline"/>
    </w:pPr>
    <w:rPr>
      <w:rFonts w:ascii="宋体" w:hAnsi="宋体"/>
      <w:kern w:val="0"/>
    </w:rPr>
  </w:style>
  <w:style w:type="paragraph" w:customStyle="1" w:styleId="116">
    <w:name w:val="Char1"/>
    <w:basedOn w:val="21"/>
    <w:qFormat/>
    <w:uiPriority w:val="99"/>
    <w:rPr>
      <w:rFonts w:ascii="Tahoma" w:hAnsi="Tahoma"/>
      <w:sz w:val="24"/>
      <w:szCs w:val="24"/>
    </w:rPr>
  </w:style>
  <w:style w:type="paragraph" w:customStyle="1" w:styleId="117">
    <w:name w:val="Char Char Char Char Char Char Char Char Char Char1"/>
    <w:basedOn w:val="1"/>
    <w:qFormat/>
    <w:uiPriority w:val="99"/>
    <w:pPr>
      <w:adjustRightInd w:val="0"/>
      <w:spacing w:line="360" w:lineRule="auto"/>
    </w:pPr>
    <w:rPr>
      <w:kern w:val="0"/>
      <w:sz w:val="24"/>
      <w:szCs w:val="20"/>
    </w:rPr>
  </w:style>
  <w:style w:type="paragraph" w:customStyle="1" w:styleId="118">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19">
    <w:name w:val="xl2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20">
    <w:name w:val="xl2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21">
    <w:name w:val="table_lines"/>
    <w:basedOn w:val="1"/>
    <w:qFormat/>
    <w:uiPriority w:val="99"/>
    <w:pPr>
      <w:widowControl/>
      <w:jc w:val="left"/>
    </w:pPr>
    <w:rPr>
      <w:kern w:val="0"/>
      <w:sz w:val="20"/>
      <w:szCs w:val="20"/>
      <w:lang w:val="de-DE" w:eastAsia="de-DE"/>
    </w:rPr>
  </w:style>
  <w:style w:type="paragraph" w:customStyle="1" w:styleId="122">
    <w:name w:val="_Style 27"/>
    <w:qFormat/>
    <w:uiPriority w:val="99"/>
    <w:pPr>
      <w:jc w:val="both"/>
    </w:pPr>
    <w:rPr>
      <w:rFonts w:ascii="Times New Roman" w:hAnsi="Times New Roman" w:eastAsia="宋体" w:cs="Times New Roman"/>
      <w:sz w:val="21"/>
      <w:szCs w:val="21"/>
      <w:lang w:val="en-US" w:eastAsia="zh-CN" w:bidi="ar-SA"/>
    </w:rPr>
  </w:style>
  <w:style w:type="character" w:customStyle="1" w:styleId="123">
    <w:name w:val="ask-title2"/>
    <w:qFormat/>
    <w:uiPriority w:val="99"/>
  </w:style>
  <w:style w:type="character" w:customStyle="1" w:styleId="124">
    <w:name w:val="批注框文本 字符"/>
    <w:qFormat/>
    <w:uiPriority w:val="0"/>
    <w:rPr>
      <w:kern w:val="2"/>
      <w:sz w:val="18"/>
      <w:szCs w:val="18"/>
    </w:rPr>
  </w:style>
  <w:style w:type="character" w:customStyle="1" w:styleId="125">
    <w:name w:val="HTML 预设格式 Char"/>
    <w:basedOn w:val="48"/>
    <w:link w:val="44"/>
    <w:qFormat/>
    <w:uiPriority w:val="0"/>
    <w:rPr>
      <w:rFonts w:ascii="宋体" w:hAnsi="宋体"/>
      <w:sz w:val="24"/>
      <w:szCs w:val="24"/>
    </w:rPr>
  </w:style>
  <w:style w:type="paragraph" w:customStyle="1" w:styleId="126">
    <w:name w:val="style16"/>
    <w:basedOn w:val="1"/>
    <w:qFormat/>
    <w:uiPriority w:val="0"/>
    <w:pPr>
      <w:widowControl/>
      <w:spacing w:before="100" w:beforeAutospacing="1" w:after="100" w:afterAutospacing="1"/>
      <w:jc w:val="left"/>
    </w:pPr>
    <w:rPr>
      <w:rFonts w:ascii="Arial" w:hAnsi="Arial" w:cs="Arial"/>
      <w:color w:val="000000"/>
      <w:kern w:val="0"/>
    </w:rPr>
  </w:style>
  <w:style w:type="paragraph" w:customStyle="1" w:styleId="127">
    <w:name w:val="论文正文"/>
    <w:basedOn w:val="1"/>
    <w:qFormat/>
    <w:uiPriority w:val="0"/>
    <w:pPr>
      <w:spacing w:line="360" w:lineRule="auto"/>
      <w:ind w:firstLine="480" w:firstLineChars="200"/>
    </w:pPr>
    <w:rPr>
      <w:rFonts w:ascii="宋体" w:hAnsi="宋体" w:cs="宋体"/>
      <w:kern w:val="0"/>
      <w:sz w:val="24"/>
      <w:szCs w:val="20"/>
    </w:rPr>
  </w:style>
  <w:style w:type="paragraph" w:customStyle="1" w:styleId="128">
    <w:name w:val="论文三级标题"/>
    <w:basedOn w:val="1"/>
    <w:qFormat/>
    <w:uiPriority w:val="0"/>
    <w:pPr>
      <w:spacing w:line="360" w:lineRule="auto"/>
    </w:pPr>
    <w:rPr>
      <w:rFonts w:ascii="黑体" w:eastAsia="黑体" w:cs="宋体"/>
      <w:b/>
      <w:bCs/>
      <w:kern w:val="0"/>
      <w:sz w:val="24"/>
      <w:szCs w:val="20"/>
    </w:rPr>
  </w:style>
  <w:style w:type="paragraph" w:customStyle="1" w:styleId="129">
    <w:name w:val="p0"/>
    <w:basedOn w:val="1"/>
    <w:qFormat/>
    <w:uiPriority w:val="0"/>
    <w:pPr>
      <w:widowControl/>
    </w:pPr>
    <w:rPr>
      <w:kern w:val="0"/>
    </w:rPr>
  </w:style>
  <w:style w:type="paragraph" w:styleId="130">
    <w:name w:val="No Spacing"/>
    <w:qFormat/>
    <w:uiPriority w:val="1"/>
    <w:pPr>
      <w:widowControl w:val="0"/>
      <w:jc w:val="both"/>
    </w:pPr>
    <w:rPr>
      <w:rFonts w:ascii="Times New Roman" w:hAnsi="Times New Roman" w:eastAsia="宋体" w:cs="Times New Roman"/>
      <w:kern w:val="2"/>
      <w:sz w:val="21"/>
      <w:szCs w:val="21"/>
      <w:lang w:val="en-US" w:eastAsia="zh-CN" w:bidi="ar-SA"/>
    </w:rPr>
  </w:style>
  <w:style w:type="character" w:customStyle="1" w:styleId="131">
    <w:name w:val="标题 Char"/>
    <w:basedOn w:val="48"/>
    <w:link w:val="47"/>
    <w:qFormat/>
    <w:uiPriority w:val="0"/>
    <w:rPr>
      <w:rFonts w:ascii="Cambria" w:hAnsi="Cambria" w:cs="Times New Roman"/>
      <w:b/>
      <w:bCs/>
      <w:kern w:val="2"/>
      <w:sz w:val="32"/>
      <w:szCs w:val="32"/>
    </w:rPr>
  </w:style>
  <w:style w:type="character" w:customStyle="1" w:styleId="132">
    <w:name w:val="NormalCharacter"/>
    <w:semiHidden/>
    <w:qFormat/>
    <w:uiPriority w:val="0"/>
  </w:style>
  <w:style w:type="paragraph" w:customStyle="1" w:styleId="133">
    <w:name w:val="UserStyle_11"/>
    <w:basedOn w:val="1"/>
    <w:qFormat/>
    <w:uiPriority w:val="0"/>
    <w:pPr>
      <w:ind w:left="720"/>
      <w:contextualSpacing/>
      <w:jc w:val="left"/>
    </w:pPr>
    <w:rPr>
      <w:rFonts w:ascii="Calibri" w:hAnsi="Calibri"/>
      <w:kern w:val="0"/>
      <w:sz w:val="24"/>
      <w:szCs w:val="24"/>
      <w:lang w:eastAsia="en-US" w:bidi="en-US"/>
    </w:rPr>
  </w:style>
  <w:style w:type="paragraph" w:customStyle="1" w:styleId="134">
    <w:name w:val="NormalIndent"/>
    <w:basedOn w:val="1"/>
    <w:qFormat/>
    <w:uiPriority w:val="0"/>
    <w:pPr>
      <w:ind w:firstLine="420"/>
    </w:pPr>
  </w:style>
  <w:style w:type="paragraph" w:customStyle="1" w:styleId="135">
    <w:name w:val="UserStyle_39"/>
    <w:basedOn w:val="1"/>
    <w:qFormat/>
    <w:uiPriority w:val="0"/>
    <w:pPr>
      <w:spacing w:before="120" w:after="120" w:line="360" w:lineRule="auto"/>
      <w:ind w:firstLine="480"/>
      <w:jc w:val="left"/>
    </w:pPr>
    <w:rPr>
      <w:rFonts w:ascii="Arial" w:hAnsi="Arial"/>
      <w:kern w:val="0"/>
      <w:sz w:val="24"/>
      <w:szCs w:val="24"/>
    </w:rPr>
  </w:style>
  <w:style w:type="paragraph" w:customStyle="1" w:styleId="136">
    <w:name w:val="Heading2"/>
    <w:basedOn w:val="1"/>
    <w:next w:val="134"/>
    <w:qFormat/>
    <w:uiPriority w:val="0"/>
    <w:pPr>
      <w:keepNext/>
      <w:keepLines/>
      <w:spacing w:before="260" w:after="260" w:line="416" w:lineRule="auto"/>
      <w:jc w:val="center"/>
    </w:pPr>
    <w:rPr>
      <w:rFonts w:ascii="Arial" w:hAnsi="Arial" w:eastAsia="幼圆" w:cs="Arial"/>
      <w:b/>
      <w:bCs/>
      <w:sz w:val="44"/>
      <w:szCs w:val="44"/>
    </w:rPr>
  </w:style>
  <w:style w:type="paragraph" w:customStyle="1" w:styleId="137">
    <w:name w:val="Table Paragraph"/>
    <w:basedOn w:val="1"/>
    <w:qFormat/>
    <w:uiPriority w:val="0"/>
    <w:pPr>
      <w:jc w:val="left"/>
    </w:pPr>
    <w:rPr>
      <w:rFonts w:ascii="Calibri" w:hAnsi="Calibri"/>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9"/>
    <customShpInfo spid="_x0000_s4100"/>
    <customShpInfo spid="_x0000_s409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5FACDA-6603-4D83-8AF2-926CBE1E4988}">
  <ds:schemaRefs/>
</ds:datastoreItem>
</file>

<file path=docProps/app.xml><?xml version="1.0" encoding="utf-8"?>
<Properties xmlns="http://schemas.openxmlformats.org/officeDocument/2006/extended-properties" xmlns:vt="http://schemas.openxmlformats.org/officeDocument/2006/docPropsVTypes">
  <Template>财政厅局域网标书</Template>
  <Company>@  V2017/03/01</Company>
  <Pages>1</Pages>
  <Words>7085</Words>
  <Characters>40391</Characters>
  <Lines>336</Lines>
  <Paragraphs>94</Paragraphs>
  <TotalTime>3</TotalTime>
  <ScaleCrop>false</ScaleCrop>
  <LinksUpToDate>false</LinksUpToDate>
  <CharactersWithSpaces>47382</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2019-07-10T16:10:00Z</dcterms:created>
  <dc:creator>政府采购中心</dc:creator>
  <cp:lastModifiedBy>蒋大坚</cp:lastModifiedBy>
  <cp:lastPrinted>2021-07-27T07:18:00Z</cp:lastPrinted>
  <dcterms:modified xsi:type="dcterms:W3CDTF">2021-07-28T06:51:57Z</dcterms:modified>
  <dc:title>江苏卫生信息系统业务软件</dc:title>
  <cp:revision>245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269CD164DC024B15AAD86034744B630A</vt:lpwstr>
  </property>
</Properties>
</file>