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sz w:val="72"/>
          <w:szCs w:val="72"/>
        </w:rPr>
      </w:pPr>
      <w:r>
        <w:rPr>
          <w:rFonts w:hint="eastAsia" w:eastAsia="黑体" w:cs="黑体"/>
          <w:sz w:val="72"/>
          <w:szCs w:val="72"/>
        </w:rPr>
        <w:t>询价文件</w:t>
      </w:r>
    </w:p>
    <w:p>
      <w:pPr>
        <w:tabs>
          <w:tab w:val="left" w:pos="8610"/>
        </w:tabs>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p>
    <w:p>
      <w:pPr>
        <w:snapToGrid w:val="0"/>
        <w:spacing w:line="300" w:lineRule="auto"/>
        <w:rPr>
          <w:rFonts w:ascii="宋体" w:hAnsi="宋体" w:cs="宋体"/>
          <w:b/>
          <w:bCs/>
          <w:sz w:val="32"/>
          <w:szCs w:val="32"/>
        </w:rPr>
      </w:pPr>
    </w:p>
    <w:p>
      <w:pPr>
        <w:snapToGrid w:val="0"/>
        <w:spacing w:line="300" w:lineRule="auto"/>
        <w:ind w:firstLine="643" w:firstLineChars="200"/>
        <w:jc w:val="center"/>
        <w:rPr>
          <w:rFonts w:ascii="宋体" w:hAnsi="宋体" w:cs="宋体"/>
          <w:b/>
          <w:bCs/>
          <w:color w:val="FF0000"/>
          <w:sz w:val="32"/>
          <w:szCs w:val="32"/>
        </w:rPr>
      </w:pPr>
      <w:r>
        <w:rPr>
          <w:rFonts w:hint="eastAsia" w:ascii="宋体" w:hAnsi="宋体" w:cs="宋体"/>
          <w:b/>
          <w:bCs/>
          <w:sz w:val="32"/>
          <w:szCs w:val="32"/>
        </w:rPr>
        <w:t xml:space="preserve">项目编号： </w:t>
      </w:r>
      <w:r>
        <w:rPr>
          <w:rFonts w:ascii="宋体" w:hAnsi="宋体" w:cs="宋体"/>
          <w:b/>
          <w:bCs/>
          <w:sz w:val="32"/>
          <w:szCs w:val="32"/>
        </w:rPr>
        <w:t>YC</w:t>
      </w:r>
      <w:r>
        <w:rPr>
          <w:rFonts w:hint="eastAsia" w:ascii="宋体" w:hAnsi="宋体" w:cs="宋体"/>
          <w:b/>
          <w:bCs/>
          <w:sz w:val="32"/>
          <w:szCs w:val="32"/>
        </w:rPr>
        <w:t>YZ2020HW026</w:t>
      </w:r>
    </w:p>
    <w:p>
      <w:pPr>
        <w:snapToGrid w:val="0"/>
        <w:spacing w:line="300" w:lineRule="auto"/>
        <w:jc w:val="center"/>
        <w:rPr>
          <w:rFonts w:ascii="宋体" w:hAnsi="宋体"/>
          <w:b/>
          <w:bCs/>
          <w:sz w:val="32"/>
          <w:szCs w:val="32"/>
        </w:rPr>
      </w:pPr>
    </w:p>
    <w:p>
      <w:pPr>
        <w:spacing w:afterLines="50" w:line="360" w:lineRule="auto"/>
        <w:jc w:val="center"/>
        <w:rPr>
          <w:rFonts w:ascii="仿宋" w:hAnsi="仿宋" w:eastAsia="仿宋" w:cs="仿宋"/>
          <w:b/>
          <w:sz w:val="44"/>
          <w:szCs w:val="44"/>
        </w:rPr>
      </w:pPr>
      <w:r>
        <w:rPr>
          <w:rFonts w:hint="eastAsia" w:ascii="宋体" w:hAnsi="宋体" w:cs="宋体"/>
          <w:b/>
          <w:bCs/>
          <w:sz w:val="32"/>
          <w:szCs w:val="32"/>
        </w:rPr>
        <w:t>项目名称：盐城幼儿师范高等专科学校</w:t>
      </w:r>
    </w:p>
    <w:p>
      <w:pPr>
        <w:spacing w:afterLines="50" w:line="360" w:lineRule="auto"/>
        <w:jc w:val="center"/>
        <w:rPr>
          <w:rFonts w:ascii="宋体" w:hAnsi="宋体"/>
          <w:sz w:val="28"/>
          <w:szCs w:val="28"/>
        </w:rPr>
      </w:pPr>
      <w:r>
        <w:rPr>
          <w:rFonts w:hint="eastAsia" w:ascii="宋体" w:hAnsi="宋体" w:cs="宋体"/>
          <w:b/>
          <w:bCs/>
          <w:sz w:val="32"/>
          <w:szCs w:val="32"/>
        </w:rPr>
        <w:t>政府采购管理系统（第一期）采购项目</w:t>
      </w:r>
    </w:p>
    <w:p>
      <w:pPr>
        <w:snapToGrid w:val="0"/>
        <w:spacing w:before="120" w:after="120" w:line="300" w:lineRule="auto"/>
        <w:ind w:firstLine="2100" w:firstLineChars="750"/>
        <w:rPr>
          <w:rFonts w:ascii="宋体" w:hAnsi="宋体"/>
          <w:sz w:val="28"/>
          <w:szCs w:val="28"/>
        </w:rPr>
      </w:pPr>
    </w:p>
    <w:p>
      <w:pPr>
        <w:pStyle w:val="22"/>
        <w:ind w:firstLine="420"/>
      </w:pPr>
    </w:p>
    <w:p>
      <w:pPr>
        <w:pStyle w:val="22"/>
        <w:ind w:firstLine="420"/>
      </w:pPr>
    </w:p>
    <w:p>
      <w:pPr>
        <w:snapToGrid w:val="0"/>
        <w:spacing w:before="120" w:after="120" w:line="300" w:lineRule="auto"/>
        <w:ind w:firstLine="2100" w:firstLineChars="750"/>
        <w:rPr>
          <w:rFonts w:ascii="宋体" w:hAnsi="宋体"/>
          <w:sz w:val="28"/>
          <w:szCs w:val="28"/>
        </w:rPr>
      </w:pPr>
    </w:p>
    <w:p>
      <w:pPr>
        <w:pStyle w:val="22"/>
        <w:ind w:firstLine="0" w:firstLineChars="0"/>
        <w:jc w:val="both"/>
        <w:rPr>
          <w:rFonts w:ascii="宋体" w:hAnsi="宋体"/>
          <w:sz w:val="32"/>
          <w:szCs w:val="32"/>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300" w:lineRule="auto"/>
        <w:jc w:val="center"/>
        <w:rPr>
          <w:rFonts w:eastAsia="黑体" w:cs="黑体"/>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ascii="宋体" w:hAnsi="宋体" w:cs="宋体"/>
          <w:b/>
          <w:bCs/>
          <w:sz w:val="32"/>
          <w:szCs w:val="32"/>
        </w:rPr>
        <w:t>20</w:t>
      </w:r>
      <w:r>
        <w:rPr>
          <w:rFonts w:hint="eastAsia" w:ascii="宋体" w:hAnsi="宋体" w:cs="宋体"/>
          <w:b/>
          <w:bCs/>
          <w:sz w:val="32"/>
          <w:szCs w:val="32"/>
        </w:rPr>
        <w:t>20年12月</w:t>
      </w:r>
      <w:r>
        <w:rPr>
          <w:rFonts w:hint="eastAsia" w:ascii="宋体" w:hAnsi="宋体" w:cs="宋体"/>
          <w:b/>
          <w:bCs/>
          <w:sz w:val="32"/>
          <w:szCs w:val="32"/>
          <w:lang w:val="en-US" w:eastAsia="zh-CN"/>
        </w:rPr>
        <w:t>7</w:t>
      </w:r>
      <w:r>
        <w:rPr>
          <w:rFonts w:hint="eastAsia" w:ascii="宋体" w:hAnsi="宋体" w:cs="宋体"/>
          <w:b/>
          <w:bCs/>
          <w:sz w:val="32"/>
          <w:szCs w:val="32"/>
        </w:rPr>
        <w:t>日</w:t>
      </w:r>
    </w:p>
    <w:p>
      <w:pPr>
        <w:snapToGrid w:val="0"/>
        <w:spacing w:before="120" w:after="120" w:line="360" w:lineRule="auto"/>
        <w:jc w:val="center"/>
      </w:pPr>
      <w:r>
        <w:rPr>
          <w:rFonts w:hint="eastAsia" w:eastAsia="黑体"/>
          <w:sz w:val="36"/>
          <w:szCs w:val="36"/>
        </w:rPr>
        <w:t>第一部分   询 价 公 告</w:t>
      </w:r>
    </w:p>
    <w:p>
      <w:pPr>
        <w:spacing w:line="440" w:lineRule="exact"/>
        <w:ind w:firstLine="600" w:firstLineChars="200"/>
        <w:rPr>
          <w:rFonts w:ascii="宋体" w:hAnsi="宋体" w:cs="宋体"/>
          <w:b/>
          <w:bCs/>
          <w:sz w:val="28"/>
          <w:szCs w:val="28"/>
        </w:rPr>
      </w:pPr>
      <w:bookmarkStart w:id="0" w:name="_Toc28359089"/>
      <w:bookmarkStart w:id="1" w:name="_Toc35393798"/>
      <w:bookmarkStart w:id="2" w:name="_Toc35393629"/>
      <w:bookmarkStart w:id="3" w:name="_Toc28359012"/>
      <w:r>
        <w:rPr>
          <w:rFonts w:hint="eastAsia" w:ascii="宋体"/>
          <w:spacing w:val="10"/>
          <w:kern w:val="15"/>
          <w:position w:val="2"/>
          <w:sz w:val="28"/>
          <w:szCs w:val="28"/>
        </w:rPr>
        <w:t>根据</w:t>
      </w:r>
      <w:r>
        <w:rPr>
          <w:rFonts w:hint="eastAsia" w:ascii="宋体"/>
          <w:spacing w:val="10"/>
          <w:kern w:val="15"/>
          <w:position w:val="2"/>
          <w:sz w:val="28"/>
          <w:szCs w:val="28"/>
          <w:u w:val="single"/>
        </w:rPr>
        <w:t>盐城幼儿师范高等专科学校</w:t>
      </w:r>
      <w:r>
        <w:rPr>
          <w:rFonts w:hint="eastAsia" w:ascii="宋体"/>
          <w:spacing w:val="10"/>
          <w:kern w:val="15"/>
          <w:position w:val="2"/>
          <w:sz w:val="28"/>
          <w:szCs w:val="28"/>
        </w:rPr>
        <w:t>就其所需的</w:t>
      </w:r>
      <w:r>
        <w:rPr>
          <w:rFonts w:hint="eastAsia" w:ascii="宋体"/>
          <w:spacing w:val="10"/>
          <w:kern w:val="15"/>
          <w:position w:val="2"/>
          <w:sz w:val="28"/>
          <w:szCs w:val="28"/>
          <w:u w:val="single"/>
        </w:rPr>
        <w:t>政府采购管理系统（第一期） 采购项目</w:t>
      </w:r>
      <w:r>
        <w:rPr>
          <w:rFonts w:hint="eastAsia" w:ascii="宋体"/>
          <w:spacing w:val="10"/>
          <w:kern w:val="15"/>
          <w:position w:val="2"/>
          <w:sz w:val="28"/>
          <w:szCs w:val="28"/>
        </w:rPr>
        <w:t>进行</w:t>
      </w:r>
      <w:r>
        <w:rPr>
          <w:rFonts w:hint="eastAsia" w:ascii="宋体"/>
          <w:spacing w:val="10"/>
          <w:kern w:val="15"/>
          <w:position w:val="2"/>
          <w:sz w:val="28"/>
          <w:szCs w:val="28"/>
          <w:u w:val="single"/>
        </w:rPr>
        <w:t>询价</w:t>
      </w:r>
      <w:r>
        <w:rPr>
          <w:rFonts w:hint="eastAsia" w:ascii="宋体"/>
          <w:spacing w:val="10"/>
          <w:kern w:val="15"/>
          <w:position w:val="2"/>
          <w:sz w:val="28"/>
          <w:szCs w:val="28"/>
        </w:rPr>
        <w:t>采购，诚邀符合相关资格条件的询价供应商(供应商)前来报价。</w:t>
      </w:r>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一、项目基本情况</w:t>
      </w:r>
      <w:bookmarkEnd w:id="0"/>
      <w:bookmarkEnd w:id="1"/>
      <w:bookmarkEnd w:id="2"/>
      <w:bookmarkEnd w:id="3"/>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1.项目编号：</w:t>
      </w:r>
      <w:r>
        <w:rPr>
          <w:rFonts w:cs="宋体" w:asciiTheme="minorEastAsia" w:hAnsiTheme="minorEastAsia" w:eastAsiaTheme="minorEastAsia"/>
          <w:sz w:val="28"/>
          <w:szCs w:val="28"/>
        </w:rPr>
        <w:t>YC</w:t>
      </w:r>
      <w:r>
        <w:rPr>
          <w:rFonts w:hint="eastAsia" w:cs="宋体" w:asciiTheme="minorEastAsia" w:hAnsiTheme="minorEastAsia" w:eastAsiaTheme="minorEastAsia"/>
          <w:sz w:val="28"/>
          <w:szCs w:val="28"/>
        </w:rPr>
        <w:t>YZ2020HW026</w:t>
      </w:r>
    </w:p>
    <w:p>
      <w:pPr>
        <w:spacing w:line="440" w:lineRule="exact"/>
        <w:ind w:firstLine="560" w:firstLineChars="200"/>
        <w:rPr>
          <w:rFonts w:ascii="宋体"/>
          <w:spacing w:val="10"/>
          <w:kern w:val="15"/>
          <w:position w:val="2"/>
          <w:sz w:val="28"/>
          <w:szCs w:val="28"/>
        </w:rPr>
      </w:pPr>
      <w:r>
        <w:rPr>
          <w:rFonts w:hint="eastAsia" w:cs="宋体" w:asciiTheme="minorEastAsia" w:hAnsiTheme="minorEastAsia" w:eastAsiaTheme="minorEastAsia"/>
          <w:sz w:val="28"/>
          <w:szCs w:val="28"/>
        </w:rPr>
        <w:t>2.项目名称：</w:t>
      </w:r>
      <w:r>
        <w:rPr>
          <w:rFonts w:hint="eastAsia" w:ascii="宋体"/>
          <w:spacing w:val="10"/>
          <w:kern w:val="15"/>
          <w:position w:val="2"/>
          <w:sz w:val="28"/>
          <w:szCs w:val="28"/>
        </w:rPr>
        <w:t>盐城幼儿师范高等专科学校政府采购管理系统（第一期） 采购项目</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3.采购方式：□竞争性谈判 □竞争性磋商 </w:t>
      </w:r>
      <w:r>
        <w:rPr>
          <w:rFonts w:hint="eastAsia" w:ascii="MS Mincho" w:hAnsi="MS Mincho" w:eastAsia="MS Mincho" w:cs="MS Mincho"/>
          <w:color w:val="444444"/>
          <w:sz w:val="28"/>
          <w:szCs w:val="28"/>
        </w:rPr>
        <w:t>☑</w:t>
      </w:r>
      <w:r>
        <w:rPr>
          <w:rFonts w:hint="eastAsia" w:cs="宋体" w:asciiTheme="minorEastAsia" w:hAnsiTheme="minorEastAsia" w:eastAsiaTheme="minorEastAsia"/>
          <w:sz w:val="28"/>
          <w:szCs w:val="28"/>
        </w:rPr>
        <w:t>询价</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4.预算金额：19.5万元</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5.最高限价：19.5万元</w:t>
      </w:r>
    </w:p>
    <w:p>
      <w:pPr>
        <w:spacing w:line="440" w:lineRule="exact"/>
        <w:ind w:firstLine="560" w:firstLineChars="200"/>
        <w:rPr>
          <w:rFonts w:ascii="宋体"/>
          <w:spacing w:val="10"/>
          <w:kern w:val="15"/>
          <w:position w:val="2"/>
          <w:sz w:val="28"/>
          <w:szCs w:val="28"/>
        </w:rPr>
      </w:pPr>
      <w:r>
        <w:rPr>
          <w:rFonts w:hint="eastAsia" w:cs="宋体" w:asciiTheme="minorEastAsia" w:hAnsiTheme="minorEastAsia" w:eastAsiaTheme="minorEastAsia"/>
          <w:sz w:val="28"/>
          <w:szCs w:val="28"/>
        </w:rPr>
        <w:t>6.采购需求：</w:t>
      </w:r>
      <w:r>
        <w:rPr>
          <w:rFonts w:hint="eastAsia" w:ascii="宋体"/>
          <w:spacing w:val="10"/>
          <w:kern w:val="15"/>
          <w:position w:val="2"/>
          <w:sz w:val="28"/>
          <w:szCs w:val="28"/>
        </w:rPr>
        <w:t>按照上级相关文件要求，进一步提高大额采购工作质量和效率，紧密贴近业务实际需要，增强大额采购工作的过程管理，尤其是采购文件编制的流转审批环节，实现沟通意见、修改记录在线留痕，审核流程可进行退回再调整，不断规范学校大额采购活动，促进大额采购管理的科学化、精细化，具体详见第四章项目需求。</w:t>
      </w:r>
    </w:p>
    <w:p>
      <w:pPr>
        <w:widowControl/>
        <w:spacing w:line="440" w:lineRule="exact"/>
        <w:ind w:firstLine="560" w:firstLineChars="200"/>
        <w:jc w:val="left"/>
        <w:rPr>
          <w:rFonts w:ascii="宋体"/>
          <w:spacing w:val="10"/>
          <w:kern w:val="15"/>
          <w:position w:val="2"/>
          <w:sz w:val="28"/>
          <w:szCs w:val="28"/>
        </w:rPr>
      </w:pPr>
      <w:r>
        <w:rPr>
          <w:rFonts w:hint="eastAsia" w:cs="宋体" w:asciiTheme="minorEastAsia" w:hAnsiTheme="minorEastAsia" w:eastAsiaTheme="minorEastAsia"/>
          <w:sz w:val="28"/>
          <w:szCs w:val="28"/>
        </w:rPr>
        <w:t>7.合同履行期限：</w:t>
      </w:r>
      <w:r>
        <w:rPr>
          <w:rFonts w:hint="eastAsia" w:ascii="宋体"/>
          <w:spacing w:val="10"/>
          <w:kern w:val="15"/>
          <w:position w:val="2"/>
          <w:sz w:val="28"/>
          <w:szCs w:val="28"/>
        </w:rPr>
        <w:t>今年12月18日前完成系统布置、第一阶段项目验收（采购文件审核、在线留痕等），如未在今年12月18日完成第一阶段项目验收功能的，将按每延误一天扣除中标价的5%的违约金，由招标人从待付货款中扣除；明年上半年完成整体项目优化和验收。</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8.本项目</w:t>
      </w:r>
      <w:r>
        <w:rPr>
          <w:rFonts w:hint="eastAsia" w:cs="宋体" w:asciiTheme="minorEastAsia" w:hAnsiTheme="minorEastAsia" w:eastAsiaTheme="minorEastAsia"/>
          <w:sz w:val="28"/>
          <w:szCs w:val="28"/>
          <w:u w:val="single"/>
        </w:rPr>
        <w:t>不接受</w:t>
      </w:r>
      <w:r>
        <w:rPr>
          <w:rFonts w:hint="eastAsia" w:cs="宋体" w:asciiTheme="minorEastAsia" w:hAnsiTheme="minorEastAsia" w:eastAsiaTheme="minorEastAsia"/>
          <w:sz w:val="28"/>
          <w:szCs w:val="28"/>
        </w:rPr>
        <w:t>联合体。</w:t>
      </w:r>
      <w:bookmarkStart w:id="4" w:name="_Toc28359013"/>
      <w:bookmarkStart w:id="5" w:name="_Toc35393630"/>
      <w:bookmarkStart w:id="6" w:name="_Toc28359090"/>
      <w:bookmarkStart w:id="7" w:name="_Toc35393799"/>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二、申请人的资格要求：</w:t>
      </w:r>
      <w:bookmarkEnd w:id="4"/>
      <w:bookmarkEnd w:id="5"/>
      <w:bookmarkEnd w:id="6"/>
      <w:bookmarkEnd w:id="7"/>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1.满足《中华人民共和国政府采购法》第二十二条规定，并提供下列材料；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(1)法人或者其他组织的营业执照等证明文件，自然人的身份证明；</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(2)上一年度的财务报表（成立不满一年不需提供）；</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(3)依法缴纳税收和社会保障资金的相关材料；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(4)具备履行合同所必需的设备和专业技术能力的书面声明；</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(5)参加政府采购活动前3年内在经营活动中没有重大违法记录的书面声明；</w:t>
      </w:r>
    </w:p>
    <w:p>
      <w:pPr>
        <w:spacing w:line="440" w:lineRule="exact"/>
        <w:ind w:firstLine="560" w:firstLineChars="200"/>
        <w:rPr>
          <w:rFonts w:cs="宋体" w:asciiTheme="minorEastAsia" w:hAnsiTheme="minorEastAsia" w:eastAsiaTheme="minorEastAsia"/>
          <w:sz w:val="28"/>
          <w:szCs w:val="28"/>
        </w:rPr>
      </w:pPr>
      <w:bookmarkStart w:id="8" w:name="_Toc28359091"/>
      <w:bookmarkStart w:id="9" w:name="_Toc28359014"/>
      <w:r>
        <w:rPr>
          <w:rFonts w:hint="eastAsia" w:cs="宋体" w:asciiTheme="minorEastAsia" w:hAnsiTheme="minorEastAsia" w:eastAsiaTheme="minorEastAsia"/>
          <w:sz w:val="28"/>
          <w:szCs w:val="28"/>
        </w:rPr>
        <w:t>2.落实政府采购政策需满足的资格要求：无</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3.本项目的特定资格要求：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（1）未被“信用中国”网站（www.creditchina.gov.cn）列入失信被执行人、重大税收违法案件当事人名单、政府采购严重失信行为记录名单。</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（2）单位负责人为同一人或者存在直接控股、管理关系的不同供应商，不得参加同一合同项下的政府采购活动。</w:t>
      </w:r>
      <w:bookmarkStart w:id="10" w:name="_Toc35393800"/>
      <w:bookmarkStart w:id="11" w:name="_Toc35393631"/>
    </w:p>
    <w:bookmarkEnd w:id="8"/>
    <w:bookmarkEnd w:id="9"/>
    <w:bookmarkEnd w:id="10"/>
    <w:bookmarkEnd w:id="11"/>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三</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 </w:t>
      </w:r>
      <w:r>
        <w:rPr>
          <w:rFonts w:ascii="宋体" w:hAnsi="宋体" w:cs="宋体"/>
          <w:kern w:val="15"/>
          <w:position w:val="2"/>
          <w:sz w:val="28"/>
          <w:szCs w:val="28"/>
        </w:rPr>
        <w:t>月</w:t>
      </w:r>
      <w:r>
        <w:rPr>
          <w:rFonts w:hint="eastAsia" w:ascii="宋体" w:hAnsi="宋体" w:cs="宋体"/>
          <w:kern w:val="15"/>
          <w:position w:val="2"/>
          <w:sz w:val="28"/>
          <w:szCs w:val="28"/>
        </w:rPr>
        <w:t>11</w:t>
      </w:r>
      <w:r>
        <w:rPr>
          <w:rFonts w:ascii="宋体" w:hAnsi="宋体" w:cs="宋体"/>
          <w:kern w:val="15"/>
          <w:position w:val="2"/>
          <w:sz w:val="28"/>
          <w:szCs w:val="28"/>
        </w:rPr>
        <w:t>日</w:t>
      </w:r>
      <w:r>
        <w:rPr>
          <w:rFonts w:hint="eastAsia" w:ascii="宋体" w:hAnsi="宋体" w:cs="宋体"/>
          <w:kern w:val="15"/>
          <w:position w:val="2"/>
          <w:sz w:val="28"/>
          <w:szCs w:val="28"/>
        </w:rPr>
        <w:t>09：30</w:t>
      </w:r>
      <w:r>
        <w:rPr>
          <w:rFonts w:ascii="宋体" w:hAnsi="宋体" w:cs="宋体"/>
          <w:kern w:val="15"/>
          <w:position w:val="2"/>
          <w:sz w:val="28"/>
          <w:szCs w:val="28"/>
        </w:rPr>
        <w:t>-</w:t>
      </w:r>
      <w:r>
        <w:rPr>
          <w:rFonts w:hint="eastAsia" w:ascii="宋体" w:hAnsi="宋体" w:cs="宋体"/>
          <w:kern w:val="15"/>
          <w:position w:val="2"/>
          <w:sz w:val="28"/>
          <w:szCs w:val="28"/>
        </w:rPr>
        <w:t>10</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 </w:t>
      </w:r>
      <w:r>
        <w:rPr>
          <w:rFonts w:ascii="宋体" w:hAnsi="宋体" w:cs="宋体"/>
          <w:kern w:val="15"/>
          <w:position w:val="2"/>
          <w:sz w:val="28"/>
          <w:szCs w:val="28"/>
        </w:rPr>
        <w:t>月</w:t>
      </w:r>
      <w:r>
        <w:rPr>
          <w:rFonts w:hint="eastAsia" w:ascii="宋体" w:hAnsi="宋体" w:cs="宋体"/>
          <w:kern w:val="15"/>
          <w:position w:val="2"/>
          <w:sz w:val="28"/>
          <w:szCs w:val="28"/>
        </w:rPr>
        <w:t>11</w:t>
      </w:r>
      <w:r>
        <w:rPr>
          <w:rFonts w:ascii="宋体" w:hAnsi="宋体" w:cs="宋体"/>
          <w:kern w:val="15"/>
          <w:position w:val="2"/>
          <w:sz w:val="28"/>
          <w:szCs w:val="28"/>
        </w:rPr>
        <w:t>日</w:t>
      </w:r>
      <w:r>
        <w:rPr>
          <w:rFonts w:hint="eastAsia" w:ascii="宋体" w:hAnsi="宋体" w:cs="宋体"/>
          <w:kern w:val="15"/>
          <w:position w:val="2"/>
          <w:sz w:val="28"/>
          <w:szCs w:val="28"/>
        </w:rPr>
        <w:t>10：0</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 </w:t>
      </w:r>
      <w:r>
        <w:rPr>
          <w:rFonts w:ascii="宋体" w:hAnsi="宋体" w:cs="宋体"/>
          <w:kern w:val="15"/>
          <w:position w:val="2"/>
          <w:sz w:val="28"/>
          <w:szCs w:val="28"/>
        </w:rPr>
        <w:t>月</w:t>
      </w:r>
      <w:r>
        <w:rPr>
          <w:rFonts w:hint="eastAsia" w:ascii="宋体" w:hAnsi="宋体" w:cs="宋体"/>
          <w:kern w:val="15"/>
          <w:position w:val="2"/>
          <w:sz w:val="28"/>
          <w:szCs w:val="28"/>
        </w:rPr>
        <w:t>11</w:t>
      </w:r>
      <w:r>
        <w:rPr>
          <w:rFonts w:ascii="宋体" w:hAnsi="宋体" w:cs="宋体"/>
          <w:kern w:val="15"/>
          <w:position w:val="2"/>
          <w:sz w:val="28"/>
          <w:szCs w:val="28"/>
        </w:rPr>
        <w:t>日</w:t>
      </w:r>
      <w:r>
        <w:rPr>
          <w:rFonts w:hint="eastAsia" w:ascii="宋体" w:hAnsi="宋体" w:cs="宋体"/>
          <w:kern w:val="15"/>
          <w:position w:val="2"/>
          <w:sz w:val="28"/>
          <w:szCs w:val="28"/>
        </w:rPr>
        <w:t>10</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（一）使用部门联系人：秦老师  ，联系电话：13515141126 。</w:t>
      </w:r>
    </w:p>
    <w:p>
      <w:pPr>
        <w:pStyle w:val="27"/>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bookmarkStart w:id="84" w:name="_GoBack"/>
      <w:bookmarkEnd w:id="84"/>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叁仟元整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7"/>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7"/>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十、现场勘查</w:t>
      </w:r>
    </w:p>
    <w:p>
      <w:pPr>
        <w:spacing w:line="460" w:lineRule="exact"/>
        <w:ind w:firstLine="700" w:firstLineChars="250"/>
        <w:rPr>
          <w:rFonts w:ascii="宋体" w:hAnsi="宋体" w:cs="宋体"/>
          <w:b/>
          <w:bCs/>
          <w:kern w:val="15"/>
          <w:position w:val="2"/>
          <w:sz w:val="28"/>
          <w:szCs w:val="28"/>
        </w:rPr>
      </w:pPr>
      <w:r>
        <w:rPr>
          <w:rFonts w:hint="eastAsia" w:ascii="宋体" w:hAnsi="宋体" w:cs="宋体"/>
          <w:kern w:val="15"/>
          <w:position w:val="2"/>
          <w:sz w:val="28"/>
          <w:szCs w:val="28"/>
        </w:rPr>
        <w:t>1、投标人须在投标前自行组织现场踏勘，到学校踏勘学校现有使用系统情况并现场演示</w:t>
      </w:r>
      <w:r>
        <w:rPr>
          <w:rFonts w:hint="eastAsia" w:ascii="宋体"/>
          <w:spacing w:val="10"/>
          <w:kern w:val="15"/>
          <w:position w:val="2"/>
          <w:sz w:val="28"/>
          <w:szCs w:val="28"/>
        </w:rPr>
        <w:t>采购文件审核、</w:t>
      </w:r>
      <w:r>
        <w:rPr>
          <w:rFonts w:hint="eastAsia" w:ascii="宋体" w:hAnsi="宋体" w:cs="宋体"/>
          <w:kern w:val="15"/>
          <w:position w:val="2"/>
          <w:sz w:val="28"/>
          <w:szCs w:val="28"/>
        </w:rPr>
        <w:t>在线留痕等主要功能；采购人现场踏勘联系人：秦老师，联系方式：13515141126  。</w:t>
      </w:r>
      <w:r>
        <w:rPr>
          <w:rFonts w:hint="eastAsia" w:ascii="宋体" w:hAnsi="宋体" w:cs="宋体"/>
          <w:b/>
          <w:bCs/>
          <w:kern w:val="15"/>
          <w:position w:val="2"/>
          <w:sz w:val="28"/>
          <w:szCs w:val="28"/>
        </w:rPr>
        <w:t>如投标人未踏勘现场、未取得《现场踏勘证明书》，都不予接收投标文件。</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踏勘时间：2020年 12 月9日-2020年 12月10日（工作日）上午9：00—下午17:00。</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踏勘地点：盐城幼儿师范高等专科学校校区内。</w:t>
      </w:r>
    </w:p>
    <w:p>
      <w:pPr>
        <w:numPr>
          <w:ilvl w:val="0"/>
          <w:numId w:val="1"/>
        </w:num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投标人踏勘现场发生的费用自理，自行负责在踏勘现场中所发生的人员伤亡和财产损失。</w:t>
      </w:r>
    </w:p>
    <w:p>
      <w:pPr>
        <w:spacing w:line="460" w:lineRule="exact"/>
        <w:ind w:firstLine="562" w:firstLineChars="200"/>
        <w:rPr>
          <w:rFonts w:ascii="宋体" w:hAnsi="宋体" w:cs="宋体"/>
          <w:kern w:val="15"/>
          <w:position w:val="2"/>
          <w:sz w:val="28"/>
          <w:szCs w:val="28"/>
        </w:rPr>
      </w:pPr>
      <w:r>
        <w:rPr>
          <w:rFonts w:hint="eastAsia" w:cs="宋体"/>
          <w:b/>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13" w:firstLineChars="1592"/>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12</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7</w:t>
      </w:r>
      <w:r>
        <w:rPr>
          <w:rFonts w:ascii="宋体" w:hAnsi="宋体"/>
          <w:b/>
          <w:spacing w:val="10"/>
          <w:kern w:val="15"/>
          <w:position w:val="2"/>
          <w:sz w:val="30"/>
          <w:szCs w:val="30"/>
        </w:rPr>
        <w:t>日</w:t>
      </w:r>
    </w:p>
    <w:p>
      <w:pPr>
        <w:pStyle w:val="8"/>
        <w:spacing w:line="360" w:lineRule="auto"/>
        <w:ind w:firstLine="600" w:firstLineChars="250"/>
        <w:jc w:val="left"/>
        <w:rPr>
          <w:rFonts w:hAnsi="宋体" w:cs="宋体"/>
          <w:sz w:val="24"/>
          <w:szCs w:val="24"/>
          <w:u w:val="single"/>
        </w:rPr>
      </w:pPr>
      <w:r>
        <w:rPr>
          <w:rFonts w:eastAsia="黑体" w:cs="黑体"/>
          <w:sz w:val="24"/>
          <w:szCs w:val="24"/>
        </w:rPr>
        <w:br w:type="page"/>
      </w:r>
    </w:p>
    <w:p>
      <w:pPr>
        <w:snapToGrid w:val="0"/>
        <w:spacing w:before="120" w:after="120" w:line="360" w:lineRule="auto"/>
        <w:jc w:val="center"/>
        <w:rPr>
          <w:rFonts w:eastAsia="黑体"/>
          <w:sz w:val="36"/>
          <w:szCs w:val="36"/>
        </w:rPr>
      </w:pP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12" w:name="_Toc20823275"/>
      <w:bookmarkStart w:id="13" w:name="_Toc513029203"/>
      <w:bookmarkStart w:id="14" w:name="_Toc120614214"/>
      <w:bookmarkStart w:id="15" w:name="_Toc16938519"/>
      <w:r>
        <w:rPr>
          <w:rFonts w:eastAsia="Times New Roman"/>
          <w:b/>
          <w:sz w:val="32"/>
          <w:szCs w:val="32"/>
        </w:rPr>
        <w:t>一、总则</w:t>
      </w:r>
      <w:bookmarkEnd w:id="12"/>
      <w:bookmarkEnd w:id="13"/>
      <w:bookmarkEnd w:id="14"/>
      <w:bookmarkEnd w:id="15"/>
    </w:p>
    <w:p>
      <w:pPr>
        <w:spacing w:line="480" w:lineRule="exact"/>
        <w:ind w:firstLine="420"/>
        <w:outlineLvl w:val="3"/>
        <w:rPr>
          <w:rFonts w:ascii="Arial" w:hAnsi="黑体" w:eastAsia="黑体"/>
          <w:sz w:val="28"/>
          <w:szCs w:val="28"/>
        </w:rPr>
      </w:pPr>
      <w:bookmarkStart w:id="16" w:name="_Hlt16619475"/>
      <w:bookmarkEnd w:id="16"/>
      <w:bookmarkStart w:id="17" w:name="_Toc513029204"/>
      <w:bookmarkStart w:id="18" w:name="_Toc20823276"/>
      <w:bookmarkStart w:id="19" w:name="_Toc16938520"/>
      <w:r>
        <w:rPr>
          <w:rFonts w:hint="eastAsia" w:ascii="Arial" w:hAnsi="黑体" w:eastAsia="黑体"/>
          <w:sz w:val="28"/>
          <w:szCs w:val="28"/>
        </w:rPr>
        <w:t>（一）</w:t>
      </w:r>
      <w:r>
        <w:rPr>
          <w:rFonts w:ascii="Arial" w:hAnsi="黑体" w:eastAsia="黑体"/>
          <w:sz w:val="28"/>
          <w:szCs w:val="28"/>
        </w:rPr>
        <w:t>、</w:t>
      </w:r>
      <w:bookmarkEnd w:id="17"/>
      <w:bookmarkEnd w:id="18"/>
      <w:bookmarkEnd w:id="19"/>
      <w:r>
        <w:rPr>
          <w:rFonts w:ascii="Arial" w:hAnsi="黑体" w:eastAsia="黑体"/>
          <w:sz w:val="28"/>
          <w:szCs w:val="28"/>
        </w:rPr>
        <w:t>适用范围</w:t>
      </w:r>
    </w:p>
    <w:p>
      <w:pPr>
        <w:pStyle w:val="27"/>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7"/>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20" w:name="_Toc16938521"/>
      <w:bookmarkStart w:id="21" w:name="_Toc513029205"/>
      <w:bookmarkStart w:id="22" w:name="_Toc20823277"/>
      <w:r>
        <w:rPr>
          <w:rFonts w:hint="eastAsia" w:ascii="Arial" w:hAnsi="黑体" w:eastAsia="黑体"/>
          <w:sz w:val="28"/>
          <w:szCs w:val="28"/>
        </w:rPr>
        <w:t>（三）</w:t>
      </w:r>
      <w:r>
        <w:rPr>
          <w:rFonts w:ascii="Arial" w:hAnsi="黑体" w:eastAsia="黑体"/>
          <w:sz w:val="28"/>
          <w:szCs w:val="28"/>
        </w:rPr>
        <w:t>、合格的</w:t>
      </w:r>
      <w:bookmarkEnd w:id="20"/>
      <w:bookmarkEnd w:id="21"/>
      <w:bookmarkEnd w:id="22"/>
      <w:r>
        <w:rPr>
          <w:rFonts w:ascii="Arial" w:hAnsi="黑体" w:eastAsia="黑体"/>
          <w:sz w:val="28"/>
          <w:szCs w:val="28"/>
        </w:rPr>
        <w:t>询价供应商</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23" w:name="_Toc462564067"/>
      <w:bookmarkStart w:id="24" w:name="_Toc513029207"/>
      <w:bookmarkStart w:id="25" w:name="_Toc20823279"/>
      <w:bookmarkStart w:id="26" w:name="_Toc16938523"/>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23"/>
      <w:bookmarkEnd w:id="24"/>
      <w:bookmarkEnd w:id="25"/>
      <w:bookmarkEnd w:id="26"/>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7"/>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7"/>
        <w:spacing w:line="440" w:lineRule="exact"/>
        <w:ind w:firstLine="700" w:firstLineChars="250"/>
        <w:rPr>
          <w:rFonts w:ascii="宋体" w:hAnsi="宋体" w:cs="宋体"/>
          <w:color w:val="auto"/>
          <w:kern w:val="15"/>
          <w:position w:val="2"/>
          <w:sz w:val="28"/>
        </w:rPr>
      </w:pPr>
      <w:bookmarkStart w:id="27" w:name="_Toc20823281"/>
      <w:bookmarkStart w:id="28" w:name="_Toc120614215"/>
      <w:bookmarkStart w:id="29" w:name="_Toc513029209"/>
      <w:bookmarkStart w:id="30" w:name="_Toc16938525"/>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7"/>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7"/>
        <w:spacing w:line="440" w:lineRule="exact"/>
        <w:ind w:firstLine="700" w:firstLineChars="250"/>
        <w:rPr>
          <w:rFonts w:ascii="宋体" w:hAnsi="宋体" w:cs="宋体"/>
          <w:color w:val="auto"/>
          <w:kern w:val="15"/>
          <w:position w:val="2"/>
          <w:sz w:val="28"/>
        </w:rPr>
      </w:pPr>
      <w:bookmarkStart w:id="31" w:name="_Toc513029217"/>
      <w:bookmarkStart w:id="32" w:name="_Toc6114955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7"/>
        <w:spacing w:line="440" w:lineRule="exact"/>
        <w:ind w:firstLine="700" w:firstLineChars="250"/>
        <w:rPr>
          <w:rFonts w:ascii="宋体" w:hAnsi="宋体" w:cs="宋体"/>
          <w:color w:val="auto"/>
          <w:kern w:val="15"/>
          <w:position w:val="2"/>
          <w:sz w:val="28"/>
        </w:rPr>
      </w:pPr>
      <w:bookmarkStart w:id="33" w:name="_Hlt26954834"/>
      <w:bookmarkEnd w:id="33"/>
      <w:bookmarkStart w:id="34" w:name="_Toc14577353"/>
      <w:bookmarkStart w:id="35" w:name="_Toc513029215"/>
      <w:bookmarkStart w:id="36" w:name="_Toc462564074"/>
      <w:bookmarkStart w:id="37" w:name="_Toc61149555"/>
      <w:bookmarkStart w:id="38" w:name="_Toc462564073"/>
      <w:bookmarkStart w:id="39" w:name="_Toc513029214"/>
      <w:bookmarkStart w:id="40" w:name="_Toc14577352"/>
      <w:bookmarkStart w:id="41" w:name="_Toc61149554"/>
      <w:r>
        <w:rPr>
          <w:rFonts w:hint="eastAsia" w:ascii="宋体" w:hAnsi="宋体" w:cs="宋体"/>
          <w:color w:val="auto"/>
          <w:kern w:val="15"/>
          <w:position w:val="2"/>
          <w:sz w:val="28"/>
        </w:rPr>
        <w:t>（二）、响应文件</w:t>
      </w:r>
      <w:bookmarkEnd w:id="34"/>
      <w:bookmarkEnd w:id="35"/>
      <w:bookmarkEnd w:id="36"/>
      <w:bookmarkEnd w:id="37"/>
      <w:r>
        <w:rPr>
          <w:rFonts w:hint="eastAsia" w:ascii="宋体" w:hAnsi="宋体" w:cs="宋体"/>
          <w:color w:val="auto"/>
          <w:kern w:val="15"/>
          <w:position w:val="2"/>
          <w:sz w:val="28"/>
        </w:rPr>
        <w:t>编制要求</w:t>
      </w:r>
      <w:bookmarkEnd w:id="38"/>
      <w:bookmarkEnd w:id="39"/>
      <w:bookmarkEnd w:id="40"/>
      <w:bookmarkEnd w:id="41"/>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31"/>
    <w:bookmarkEnd w:id="32"/>
    <w:p>
      <w:pPr>
        <w:pStyle w:val="27"/>
        <w:spacing w:line="440" w:lineRule="exact"/>
        <w:ind w:firstLine="700" w:firstLineChars="250"/>
        <w:rPr>
          <w:rFonts w:ascii="宋体" w:hAnsi="宋体" w:cs="宋体"/>
          <w:color w:val="auto"/>
          <w:kern w:val="15"/>
          <w:position w:val="2"/>
          <w:sz w:val="28"/>
        </w:rPr>
      </w:pPr>
      <w:bookmarkStart w:id="42" w:name="_Toc513029221"/>
      <w:bookmarkStart w:id="43" w:name="_Toc61149559"/>
      <w:r>
        <w:rPr>
          <w:rFonts w:hint="eastAsia" w:ascii="宋体" w:hAnsi="宋体" w:cs="宋体"/>
          <w:color w:val="auto"/>
          <w:kern w:val="15"/>
          <w:position w:val="2"/>
          <w:sz w:val="28"/>
        </w:rPr>
        <w:t>（1）参加询价供应商应严格按本采购文件第五部分的要求编制响应文件。</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7"/>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① 采购文件中规定要求提供的材料或询价供应商认为需要提供的其他材料。</w:t>
      </w: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42"/>
      <w:bookmarkEnd w:id="43"/>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44" w:name="_Toc513029213"/>
      <w:bookmarkStart w:id="45" w:name="_Toc20823285"/>
      <w:bookmarkStart w:id="46" w:name="_Toc462564072"/>
      <w:bookmarkStart w:id="47" w:name="_Toc120614216"/>
      <w:bookmarkStart w:id="48" w:name="_Toc16938529"/>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pPr>
        <w:pStyle w:val="27"/>
        <w:spacing w:line="440" w:lineRule="exact"/>
        <w:ind w:firstLine="700" w:firstLineChars="250"/>
        <w:rPr>
          <w:rFonts w:ascii="宋体" w:hAnsi="宋体" w:cs="宋体"/>
          <w:color w:val="auto"/>
          <w:kern w:val="15"/>
          <w:position w:val="2"/>
          <w:sz w:val="28"/>
        </w:rPr>
      </w:pPr>
      <w:bookmarkStart w:id="49" w:name="_Toc61149563"/>
      <w:bookmarkStart w:id="50" w:name="_Toc14577363"/>
      <w:r>
        <w:rPr>
          <w:rFonts w:hint="eastAsia" w:ascii="宋体" w:hAnsi="宋体" w:cs="宋体"/>
          <w:color w:val="auto"/>
          <w:kern w:val="15"/>
          <w:position w:val="2"/>
          <w:sz w:val="28"/>
        </w:rPr>
        <w:t>（一）、响应文件</w:t>
      </w:r>
      <w:bookmarkStart w:id="51" w:name="_Hlt26954743"/>
      <w:bookmarkEnd w:id="51"/>
      <w:r>
        <w:rPr>
          <w:rFonts w:hint="eastAsia" w:ascii="宋体" w:hAnsi="宋体" w:cs="宋体"/>
          <w:color w:val="auto"/>
          <w:kern w:val="15"/>
          <w:position w:val="2"/>
          <w:sz w:val="28"/>
        </w:rPr>
        <w:t>的密封和标记</w:t>
      </w:r>
      <w:bookmarkEnd w:id="49"/>
      <w:bookmarkEnd w:id="50"/>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7"/>
        <w:spacing w:line="440" w:lineRule="exact"/>
        <w:ind w:firstLine="700" w:firstLineChars="250"/>
        <w:rPr>
          <w:rFonts w:ascii="宋体" w:hAnsi="宋体" w:cs="宋体"/>
          <w:color w:val="auto"/>
          <w:kern w:val="15"/>
          <w:position w:val="2"/>
          <w:sz w:val="28"/>
        </w:rPr>
      </w:pPr>
      <w:bookmarkStart w:id="52" w:name="_Hlt26954858"/>
      <w:bookmarkEnd w:id="52"/>
      <w:bookmarkStart w:id="53" w:name="_Hlt26954752"/>
      <w:bookmarkEnd w:id="53"/>
      <w:bookmarkStart w:id="54" w:name="_Hlt26670496"/>
      <w:bookmarkEnd w:id="54"/>
      <w:bookmarkStart w:id="55" w:name="_Toc61149564"/>
      <w:bookmarkStart w:id="56" w:name="_Toc14577364"/>
      <w:r>
        <w:rPr>
          <w:rFonts w:hint="eastAsia" w:ascii="宋体" w:hAnsi="宋体" w:cs="宋体"/>
          <w:color w:val="auto"/>
          <w:kern w:val="15"/>
          <w:position w:val="2"/>
          <w:sz w:val="28"/>
        </w:rPr>
        <w:t>（二）、</w:t>
      </w:r>
      <w:bookmarkEnd w:id="55"/>
      <w:bookmarkEnd w:id="56"/>
      <w:r>
        <w:rPr>
          <w:rFonts w:hint="eastAsia" w:ascii="宋体" w:hAnsi="宋体" w:cs="宋体"/>
          <w:color w:val="auto"/>
          <w:kern w:val="15"/>
          <w:position w:val="2"/>
          <w:sz w:val="28"/>
        </w:rPr>
        <w:t>响应文件开启时间</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7"/>
        <w:spacing w:line="440" w:lineRule="exact"/>
        <w:ind w:firstLine="700" w:firstLineChars="250"/>
        <w:rPr>
          <w:rFonts w:ascii="宋体" w:hAnsi="宋体" w:cs="宋体"/>
          <w:color w:val="auto"/>
          <w:kern w:val="15"/>
          <w:position w:val="2"/>
          <w:sz w:val="28"/>
        </w:rPr>
      </w:pPr>
      <w:bookmarkStart w:id="57" w:name="_Hlt26954860"/>
      <w:bookmarkEnd w:id="57"/>
      <w:bookmarkStart w:id="58" w:name="_Toc61149565"/>
      <w:bookmarkStart w:id="59" w:name="_Toc14577365"/>
      <w:r>
        <w:rPr>
          <w:rFonts w:hint="eastAsia" w:ascii="宋体" w:hAnsi="宋体" w:cs="宋体"/>
          <w:color w:val="auto"/>
          <w:kern w:val="15"/>
          <w:position w:val="2"/>
          <w:sz w:val="28"/>
        </w:rPr>
        <w:t>（三）、迟交的响应文件</w:t>
      </w:r>
      <w:bookmarkEnd w:id="58"/>
      <w:bookmarkEnd w:id="59"/>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7"/>
        <w:spacing w:line="440" w:lineRule="exact"/>
        <w:ind w:firstLine="700" w:firstLineChars="250"/>
        <w:rPr>
          <w:rFonts w:ascii="宋体" w:hAnsi="宋体" w:cs="宋体"/>
          <w:color w:val="auto"/>
          <w:kern w:val="15"/>
          <w:position w:val="2"/>
          <w:sz w:val="28"/>
        </w:rPr>
      </w:pPr>
      <w:bookmarkStart w:id="60" w:name="_Hlt26954754"/>
      <w:bookmarkEnd w:id="60"/>
      <w:bookmarkStart w:id="61" w:name="_Hlt26954862"/>
      <w:bookmarkEnd w:id="61"/>
      <w:bookmarkStart w:id="62" w:name="_Toc14577366"/>
      <w:bookmarkStart w:id="63" w:name="_Toc61149566"/>
      <w:r>
        <w:rPr>
          <w:rFonts w:hint="eastAsia" w:ascii="宋体" w:hAnsi="宋体" w:cs="宋体"/>
          <w:color w:val="auto"/>
          <w:kern w:val="15"/>
          <w:position w:val="2"/>
          <w:sz w:val="28"/>
        </w:rPr>
        <w:t>（四）、响应文件</w:t>
      </w:r>
      <w:bookmarkStart w:id="64" w:name="_Hlt26670588"/>
      <w:r>
        <w:rPr>
          <w:rFonts w:hint="eastAsia" w:ascii="宋体" w:hAnsi="宋体" w:cs="宋体"/>
          <w:color w:val="auto"/>
          <w:kern w:val="15"/>
          <w:position w:val="2"/>
          <w:sz w:val="28"/>
        </w:rPr>
        <w:t>的修改</w:t>
      </w:r>
      <w:bookmarkEnd w:id="64"/>
      <w:r>
        <w:rPr>
          <w:rFonts w:hint="eastAsia" w:ascii="宋体" w:hAnsi="宋体" w:cs="宋体"/>
          <w:color w:val="auto"/>
          <w:kern w:val="15"/>
          <w:position w:val="2"/>
          <w:sz w:val="28"/>
        </w:rPr>
        <w:t>和撤回</w:t>
      </w:r>
      <w:bookmarkEnd w:id="62"/>
      <w:bookmarkEnd w:id="63"/>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65" w:name="_Toc120614217"/>
      <w:bookmarkStart w:id="66" w:name="_Toc16938540"/>
      <w:bookmarkStart w:id="67" w:name="_Toc513029224"/>
      <w:bookmarkStart w:id="68" w:name="_Toc20823296"/>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pPr>
        <w:pStyle w:val="27"/>
        <w:spacing w:line="440" w:lineRule="exact"/>
        <w:ind w:firstLine="700" w:firstLineChars="250"/>
        <w:rPr>
          <w:rFonts w:ascii="宋体" w:hAnsi="宋体" w:cs="宋体"/>
          <w:color w:val="auto"/>
          <w:kern w:val="15"/>
          <w:position w:val="2"/>
          <w:sz w:val="28"/>
        </w:rPr>
      </w:pPr>
      <w:bookmarkStart w:id="69" w:name="_Toc513029229"/>
      <w:bookmarkStart w:id="70" w:name="_Toc20823301"/>
      <w:bookmarkStart w:id="71" w:name="_Toc120614218"/>
      <w:bookmarkStart w:id="72" w:name="_Toc16938545"/>
      <w:r>
        <w:rPr>
          <w:rFonts w:hint="eastAsia" w:ascii="宋体" w:hAnsi="宋体" w:cs="宋体"/>
          <w:color w:val="auto"/>
          <w:kern w:val="15"/>
          <w:position w:val="2"/>
          <w:sz w:val="28"/>
        </w:rPr>
        <w:t>（一）、仪式</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7"/>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pPr>
        <w:spacing w:line="440" w:lineRule="exact"/>
        <w:ind w:firstLine="480"/>
        <w:rPr>
          <w:rFonts w:ascii="宋体" w:hAnsi="宋体" w:cs="宋体"/>
          <w:sz w:val="28"/>
        </w:rPr>
      </w:pPr>
      <w:bookmarkStart w:id="73" w:name="_Toc20823307"/>
      <w:bookmarkStart w:id="74" w:name="_Toc513029235"/>
      <w:bookmarkStart w:id="75" w:name="_Toc16938551"/>
      <w:bookmarkStart w:id="76" w:name="_Toc120614219"/>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pPr>
        <w:spacing w:line="440" w:lineRule="exact"/>
        <w:ind w:firstLine="420"/>
        <w:rPr>
          <w:rFonts w:ascii="宋体"/>
          <w:sz w:val="28"/>
          <w:szCs w:val="28"/>
        </w:rPr>
      </w:pPr>
      <w:bookmarkStart w:id="77" w:name="_Toc120614220"/>
      <w:bookmarkStart w:id="78" w:name="_Toc513029236"/>
      <w:bookmarkStart w:id="79" w:name="_Toc16938552"/>
      <w:bookmarkStart w:id="80" w:name="_Toc20823308"/>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pPr>
        <w:spacing w:line="440" w:lineRule="exact"/>
        <w:ind w:firstLine="321"/>
        <w:outlineLvl w:val="2"/>
        <w:rPr>
          <w:b/>
          <w:sz w:val="28"/>
          <w:szCs w:val="28"/>
        </w:rPr>
      </w:pPr>
      <w:r>
        <w:rPr>
          <w:rFonts w:hint="eastAsia"/>
          <w:b/>
          <w:sz w:val="28"/>
          <w:szCs w:val="28"/>
        </w:rPr>
        <w:t>八、样品</w:t>
      </w:r>
    </w:p>
    <w:p>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pPr>
        <w:snapToGrid w:val="0"/>
        <w:spacing w:line="500" w:lineRule="exact"/>
        <w:rPr>
          <w:rFonts w:ascii="宋体" w:hAnsi="宋体" w:cs="宋体"/>
          <w:kern w:val="15"/>
          <w:position w:val="2"/>
          <w:sz w:val="24"/>
          <w:szCs w:val="24"/>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sz w:val="36"/>
          <w:szCs w:val="36"/>
        </w:rPr>
      </w:pPr>
      <w:r>
        <w:rPr>
          <w:rFonts w:hint="eastAsia" w:eastAsia="黑体" w:cs="黑体"/>
          <w:sz w:val="36"/>
          <w:szCs w:val="36"/>
        </w:rPr>
        <w:t>第三部分 合同条款及格式</w:t>
      </w:r>
    </w:p>
    <w:p>
      <w:pPr>
        <w:spacing w:line="440" w:lineRule="exact"/>
        <w:ind w:firstLine="560" w:firstLineChars="200"/>
        <w:rPr>
          <w:rFonts w:asciiTheme="minorEastAsia" w:hAnsiTheme="minorEastAsia" w:eastAsiaTheme="minorEastAsia"/>
          <w:sz w:val="28"/>
          <w:szCs w:val="28"/>
        </w:rPr>
      </w:pPr>
      <w:bookmarkStart w:id="81" w:name="_Toc20823315"/>
      <w:bookmarkStart w:id="82" w:name="_Toc16938559"/>
      <w:bookmarkStart w:id="83" w:name="_Toc513029243"/>
      <w:r>
        <w:rPr>
          <w:rFonts w:hint="eastAsia" w:cs="宋体" w:asciiTheme="minorEastAsia" w:hAnsiTheme="minorEastAsia" w:eastAsiaTheme="minorEastAsia"/>
          <w:sz w:val="28"/>
          <w:szCs w:val="28"/>
        </w:rPr>
        <w:t>以下为中标后签定本项目合同的通用条款，中标供应商不得提出实质性的修改，关于专用条款将由采购人与中标供应商结合本项目具体情况协商后签订。</w:t>
      </w:r>
    </w:p>
    <w:p>
      <w:pPr>
        <w:snapToGrid w:val="0"/>
        <w:spacing w:beforeLines="50" w:afterLines="50" w:line="440" w:lineRule="exact"/>
        <w:jc w:val="center"/>
        <w:outlineLvl w:val="0"/>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政府采购合同（货物）</w:t>
      </w:r>
    </w:p>
    <w:p>
      <w:pPr>
        <w:spacing w:afterLines="50" w:line="360" w:lineRule="auto"/>
        <w:jc w:val="center"/>
        <w:rPr>
          <w:rFonts w:cs="宋体" w:asciiTheme="minorEastAsia" w:hAnsiTheme="minorEastAsia" w:eastAsiaTheme="minorEastAsia"/>
          <w:kern w:val="2"/>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kern w:val="2"/>
          <w:sz w:val="28"/>
          <w:szCs w:val="28"/>
        </w:rPr>
        <w:t>盐城幼儿师范高等专科学校政府采购管理系统（第一期）采购项目</w:t>
      </w:r>
    </w:p>
    <w:p>
      <w:pPr>
        <w:pStyle w:val="8"/>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p>
      <w:pPr>
        <w:pStyle w:val="8"/>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甲方：（买方）</w:t>
      </w:r>
      <w:r>
        <w:rPr>
          <w:rFonts w:hint="eastAsia" w:asciiTheme="minorEastAsia" w:hAnsiTheme="minorEastAsia" w:eastAsiaTheme="minorEastAsia"/>
          <w:sz w:val="28"/>
          <w:szCs w:val="28"/>
          <w:u w:val="single"/>
        </w:rPr>
        <w:t>盐城幼儿师范高等专科学校</w:t>
      </w:r>
    </w:p>
    <w:p>
      <w:pPr>
        <w:pStyle w:val="8"/>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r>
        <w:rPr>
          <w:rFonts w:asciiTheme="minorEastAsia" w:hAnsiTheme="minorEastAsia" w:eastAsiaTheme="minorEastAsia"/>
          <w:sz w:val="28"/>
          <w:szCs w:val="28"/>
        </w:rPr>
        <w:t>_________</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甲、乙双方根据</w:t>
      </w:r>
      <w:r>
        <w:rPr>
          <w:rFonts w:hint="eastAsia" w:asciiTheme="minorEastAsia" w:hAnsiTheme="minorEastAsia" w:eastAsiaTheme="minorEastAsia"/>
          <w:sz w:val="28"/>
          <w:szCs w:val="28"/>
          <w:u w:val="single"/>
        </w:rPr>
        <w:t>盐城幼儿师范高等专科学校政府采购管理系统（第一期）采购项目</w:t>
      </w:r>
      <w:r>
        <w:rPr>
          <w:rFonts w:hint="eastAsia" w:asciiTheme="minorEastAsia" w:hAnsiTheme="minorEastAsia" w:eastAsiaTheme="minorEastAsia"/>
          <w:sz w:val="28"/>
          <w:szCs w:val="28"/>
        </w:rPr>
        <w:t>询价招标的结果，签署本合同。</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一、货物内容</w:t>
      </w:r>
    </w:p>
    <w:p>
      <w:pPr>
        <w:pStyle w:val="8"/>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1.1 货物名称：</w:t>
      </w:r>
    </w:p>
    <w:p>
      <w:pPr>
        <w:pStyle w:val="8"/>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1.2 型号规格：</w:t>
      </w:r>
    </w:p>
    <w:p>
      <w:pPr>
        <w:pStyle w:val="8"/>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1.3 数量（单位）：</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二、合同金额</w:t>
      </w:r>
    </w:p>
    <w:p>
      <w:pPr>
        <w:pStyle w:val="8"/>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本合同金额为（大写）：</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元）人民币或其他币种。</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三、技术资料</w:t>
      </w:r>
    </w:p>
    <w:p>
      <w:pPr>
        <w:pStyle w:val="8"/>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乙方应按招标文件规定的时间向甲方提供使用货物的有关技术资料。</w:t>
      </w:r>
    </w:p>
    <w:p>
      <w:pPr>
        <w:pStyle w:val="8"/>
        <w:snapToGrid w:val="0"/>
        <w:spacing w:before="120" w:after="120" w:line="440" w:lineRule="exact"/>
        <w:ind w:left="479" w:hanging="478" w:hangingChars="171"/>
        <w:rPr>
          <w:rFonts w:asciiTheme="minorEastAsia" w:hAnsiTheme="minorEastAsia" w:eastAsiaTheme="minorEastAsia"/>
          <w:sz w:val="28"/>
          <w:szCs w:val="28"/>
        </w:rPr>
      </w:pPr>
      <w:r>
        <w:rPr>
          <w:rFonts w:cs="宋体" w:asciiTheme="minorEastAsia" w:hAnsiTheme="minorEastAsia" w:eastAsiaTheme="minorEastAsia"/>
          <w:sz w:val="28"/>
          <w:szCs w:val="28"/>
        </w:rPr>
        <w:t xml:space="preserve">3.2 </w:t>
      </w:r>
      <w:r>
        <w:rPr>
          <w:rFonts w:hint="eastAsia" w:cs="宋体" w:asciiTheme="minorEastAsia" w:hAnsiTheme="minorEastAsia" w:eastAsia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line="440" w:lineRule="exact"/>
        <w:ind w:left="481" w:hanging="481" w:hangingChars="17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四、知识产权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b/>
          <w:bCs/>
          <w:sz w:val="28"/>
          <w:szCs w:val="28"/>
        </w:rPr>
        <w:t>五、产权担保</w:t>
      </w:r>
    </w:p>
    <w:p>
      <w:pPr>
        <w:pStyle w:val="8"/>
        <w:snapToGrid w:val="0"/>
        <w:spacing w:before="120" w:after="120" w:line="440" w:lineRule="exact"/>
        <w:ind w:left="476" w:hanging="476" w:hangingChars="170"/>
        <w:rPr>
          <w:rFonts w:asciiTheme="minorEastAsia" w:hAnsiTheme="minorEastAsia" w:eastAsiaTheme="minorEastAsia"/>
          <w:sz w:val="28"/>
          <w:szCs w:val="28"/>
          <w:u w:val="single"/>
        </w:rPr>
      </w:pPr>
      <w:r>
        <w:rPr>
          <w:rFonts w:asciiTheme="minorEastAsia" w:hAnsiTheme="minorEastAsia" w:eastAsiaTheme="minorEastAsia"/>
          <w:sz w:val="28"/>
          <w:szCs w:val="28"/>
        </w:rPr>
        <w:t xml:space="preserve">5.1 </w:t>
      </w:r>
      <w:r>
        <w:rPr>
          <w:rFonts w:hint="eastAsia" w:asciiTheme="minorEastAsia" w:hAnsiTheme="minorEastAsia" w:eastAsiaTheme="minorEastAsia"/>
          <w:sz w:val="28"/>
          <w:szCs w:val="28"/>
        </w:rPr>
        <w:t>乙方保证所交付的货物的所有权完全属于乙方且无任何抵押、查封等产权瑕疵。</w:t>
      </w:r>
    </w:p>
    <w:p>
      <w:pPr>
        <w:snapToGrid w:val="0"/>
        <w:spacing w:beforeLines="50"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六、履约保证金</w:t>
      </w:r>
    </w:p>
    <w:p>
      <w:pPr>
        <w:snapToGrid w:val="0"/>
        <w:spacing w:beforeLines="50" w:afterLines="50" w:line="440" w:lineRule="exact"/>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6.1乙方交纳人民币元作为本合同的履约保证金（合同金额的10%）。鼓励采购人对AA评级及以上政府采购供应商（需提供信用管理部门备案的第三方信用报告），免收履约保证金或降低履约保证金缴纳比例。</w:t>
      </w:r>
    </w:p>
    <w:p>
      <w:pPr>
        <w:snapToGrid w:val="0"/>
        <w:spacing w:beforeLines="50" w:afterLines="50" w:line="440" w:lineRule="exact"/>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七、转包或分包</w:t>
      </w:r>
    </w:p>
    <w:p>
      <w:pPr>
        <w:pStyle w:val="8"/>
        <w:snapToGrid w:val="0"/>
        <w:spacing w:before="120" w:after="120" w:line="440" w:lineRule="exact"/>
        <w:ind w:left="476" w:hanging="476" w:hangingChars="170"/>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asciiTheme="minorEastAsia" w:hAnsiTheme="minorEastAsia" w:eastAsiaTheme="minorEastAsia"/>
          <w:sz w:val="28"/>
          <w:szCs w:val="28"/>
        </w:rPr>
        <w:t>.1</w:t>
      </w:r>
      <w:r>
        <w:rPr>
          <w:rFonts w:hint="eastAsia" w:asciiTheme="minorEastAsia" w:hAnsiTheme="minorEastAsia" w:eastAsiaTheme="minorEastAsia"/>
          <w:sz w:val="28"/>
          <w:szCs w:val="28"/>
        </w:rPr>
        <w:t>本合同范围的货物，应由乙方直接供应，不得转让他人供应；</w:t>
      </w:r>
    </w:p>
    <w:p>
      <w:pPr>
        <w:pStyle w:val="8"/>
        <w:snapToGrid w:val="0"/>
        <w:spacing w:before="120" w:after="120" w:line="440" w:lineRule="exact"/>
        <w:ind w:left="476" w:hanging="476" w:hangingChars="170"/>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除非得到甲方的书面同意，乙方不得部分分包给他人供应。</w:t>
      </w:r>
    </w:p>
    <w:p>
      <w:pPr>
        <w:pStyle w:val="8"/>
        <w:snapToGrid w:val="0"/>
        <w:spacing w:before="120" w:after="120" w:line="440" w:lineRule="exact"/>
        <w:ind w:left="476" w:hanging="476" w:hangingChars="170"/>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asciiTheme="minorEastAsia" w:hAnsiTheme="minorEastAsia" w:eastAsiaTheme="minorEastAsia"/>
          <w:sz w:val="28"/>
          <w:szCs w:val="28"/>
        </w:rPr>
        <w:t>.3</w:t>
      </w:r>
      <w:r>
        <w:rPr>
          <w:rFonts w:hint="eastAsia" w:asciiTheme="minorEastAsia" w:hAnsiTheme="minorEastAsia" w:eastAsiaTheme="minorEastAsia"/>
          <w:sz w:val="28"/>
          <w:szCs w:val="28"/>
        </w:rPr>
        <w:t>如有转让和未经甲方同意的分包行为，甲方有权给予终止合同。</w:t>
      </w:r>
    </w:p>
    <w:p>
      <w:pPr>
        <w:pStyle w:val="8"/>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八、质保期</w:t>
      </w:r>
    </w:p>
    <w:p>
      <w:pPr>
        <w:pStyle w:val="8"/>
        <w:snapToGrid w:val="0"/>
        <w:spacing w:before="120" w:after="120" w:line="440" w:lineRule="exact"/>
        <w:ind w:left="1"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8.1 </w:t>
      </w:r>
      <w:r>
        <w:rPr>
          <w:rFonts w:asciiTheme="minorEastAsia" w:hAnsiTheme="minorEastAsia" w:eastAsiaTheme="minorEastAsia"/>
          <w:sz w:val="28"/>
          <w:szCs w:val="28"/>
        </w:rPr>
        <w:t>质保期为合理使用年限，终身免费质保，质量保修期自</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验收合格之日起计算。因非乙方人为因素出现的故障不在免费保修范围内。</w:t>
      </w:r>
    </w:p>
    <w:p>
      <w:pPr>
        <w:pStyle w:val="8"/>
        <w:snapToGrid w:val="0"/>
        <w:spacing w:before="120" w:after="120" w:line="440" w:lineRule="exact"/>
        <w:ind w:left="1"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w:t>
      </w:r>
      <w:r>
        <w:rPr>
          <w:rFonts w:asciiTheme="minorEastAsia" w:hAnsiTheme="minorEastAsia" w:eastAsiaTheme="minorEastAsia"/>
          <w:sz w:val="28"/>
          <w:szCs w:val="28"/>
        </w:rPr>
        <w:t>保修期内若因乙方责任引起的质量缺陷，乙方应该在12小时内派人到场保修，并承担保修责任及保修费用；乙方不能在约定期限内派人到场保修的，甲方有权委托他人保修，保修费用从暂留有乙方质量保证金中扣除；如质保金已退还的，甲方保留追偿的权利。</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九、交货期、交货方式及交货地点</w:t>
      </w:r>
    </w:p>
    <w:p>
      <w:pPr>
        <w:widowControl/>
        <w:spacing w:line="440" w:lineRule="exact"/>
        <w:ind w:firstLine="560" w:firstLineChars="200"/>
        <w:jc w:val="left"/>
        <w:rPr>
          <w:rFonts w:ascii="仿宋" w:hAnsi="仿宋" w:eastAsia="仿宋" w:cs="仿宋"/>
          <w:sz w:val="28"/>
          <w:szCs w:val="28"/>
        </w:rPr>
      </w:pPr>
      <w:r>
        <w:rPr>
          <w:rFonts w:hint="eastAsia" w:asciiTheme="minorEastAsia" w:hAnsiTheme="minorEastAsia"/>
          <w:sz w:val="28"/>
          <w:szCs w:val="28"/>
        </w:rPr>
        <w:t>9</w:t>
      </w:r>
      <w:r>
        <w:rPr>
          <w:rFonts w:asciiTheme="minorEastAsia" w:hAnsiTheme="minorEastAsia"/>
          <w:sz w:val="28"/>
          <w:szCs w:val="28"/>
        </w:rPr>
        <w:t xml:space="preserve">.1 </w:t>
      </w:r>
      <w:r>
        <w:rPr>
          <w:rFonts w:hint="eastAsia" w:asciiTheme="minorEastAsia" w:hAnsiTheme="minorEastAsia"/>
          <w:sz w:val="28"/>
          <w:szCs w:val="28"/>
        </w:rPr>
        <w:t>交货期：</w:t>
      </w:r>
      <w:r>
        <w:rPr>
          <w:rFonts w:hint="eastAsia" w:ascii="宋体"/>
          <w:spacing w:val="10"/>
          <w:kern w:val="15"/>
          <w:position w:val="2"/>
          <w:sz w:val="28"/>
          <w:szCs w:val="28"/>
        </w:rPr>
        <w:t>今年12月18日前完成系统布置、第一阶段项目验收（采购文件审核、在线留痕等），如未在今年12月18日完成第一阶段项目验收功能的，将按每延误一天扣除中标价的5%的违约金，由招标人从待付货款中扣除；明年上半年完成整体项目优化和验收。</w:t>
      </w:r>
    </w:p>
    <w:p>
      <w:pPr>
        <w:pStyle w:val="8"/>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交货方式：</w:t>
      </w:r>
      <w:r>
        <w:rPr>
          <w:rFonts w:hint="eastAsia" w:asciiTheme="minorEastAsia" w:hAnsiTheme="minorEastAsia" w:eastAsiaTheme="minorEastAsia"/>
          <w:sz w:val="28"/>
          <w:szCs w:val="28"/>
          <w:u w:val="single"/>
        </w:rPr>
        <w:t>甲方指定方式 。</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交货地点：</w:t>
      </w:r>
      <w:r>
        <w:rPr>
          <w:rFonts w:hint="eastAsia" w:asciiTheme="minorEastAsia" w:hAnsiTheme="minorEastAsia" w:eastAsiaTheme="minorEastAsia"/>
          <w:sz w:val="28"/>
          <w:szCs w:val="28"/>
          <w:u w:val="single"/>
        </w:rPr>
        <w:t>甲方指定地点。</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十、货款支付</w:t>
      </w:r>
    </w:p>
    <w:p>
      <w:pPr>
        <w:pStyle w:val="26"/>
        <w:spacing w:line="540" w:lineRule="exact"/>
        <w:ind w:firstLine="0" w:firstLineChars="0"/>
        <w:rPr>
          <w:rFonts w:cs="宋体" w:asciiTheme="minorEastAsia" w:hAnsiTheme="minorEastAsia"/>
          <w:sz w:val="28"/>
          <w:szCs w:val="28"/>
        </w:rPr>
      </w:pPr>
      <w:r>
        <w:rPr>
          <w:rFonts w:hint="eastAsia" w:cs="宋体" w:asciiTheme="minorEastAsia" w:hAnsiTheme="minorEastAsia"/>
          <w:sz w:val="28"/>
          <w:szCs w:val="28"/>
        </w:rPr>
        <w:t>10.1 付款方式：</w:t>
      </w:r>
      <w:r>
        <w:rPr>
          <w:rFonts w:cs="宋体" w:asciiTheme="minorEastAsia" w:hAnsiTheme="minorEastAsia"/>
          <w:sz w:val="28"/>
          <w:szCs w:val="28"/>
        </w:rPr>
        <w:t>第一阶段验收合格后</w:t>
      </w:r>
      <w:r>
        <w:rPr>
          <w:rFonts w:hint="eastAsia" w:cs="宋体" w:asciiTheme="minorEastAsia" w:hAnsiTheme="minorEastAsia"/>
          <w:sz w:val="28"/>
          <w:szCs w:val="28"/>
        </w:rPr>
        <w:t>，</w:t>
      </w:r>
      <w:r>
        <w:rPr>
          <w:rFonts w:cs="宋体" w:asciiTheme="minorEastAsia" w:hAnsiTheme="minorEastAsia"/>
          <w:sz w:val="28"/>
          <w:szCs w:val="28"/>
        </w:rPr>
        <w:t>支付</w:t>
      </w:r>
      <w:r>
        <w:rPr>
          <w:rFonts w:hint="eastAsia" w:cs="宋体" w:asciiTheme="minorEastAsia" w:hAnsiTheme="minorEastAsia"/>
          <w:sz w:val="28"/>
          <w:szCs w:val="28"/>
        </w:rPr>
        <w:t>10万元。余款在整体项目优化且验收合格后全额付清。签订合同前交履约保证金10%，在全额付款前转为质保金，待项目验收合格后</w:t>
      </w:r>
      <w:r>
        <w:rPr>
          <w:rFonts w:hint="eastAsia" w:asciiTheme="minorEastAsia" w:hAnsiTheme="minorEastAsia"/>
          <w:sz w:val="28"/>
          <w:szCs w:val="28"/>
        </w:rPr>
        <w:t>满一年无质量问题后无息</w:t>
      </w:r>
      <w:r>
        <w:rPr>
          <w:rFonts w:asciiTheme="minorEastAsia" w:hAnsiTheme="minorEastAsia"/>
          <w:sz w:val="28"/>
          <w:szCs w:val="28"/>
        </w:rPr>
        <w:t>付清</w:t>
      </w:r>
      <w:r>
        <w:rPr>
          <w:rFonts w:hint="eastAsia" w:cs="宋体" w:asciiTheme="minorEastAsia" w:hAnsiTheme="minorEastAsia"/>
          <w:sz w:val="28"/>
          <w:szCs w:val="28"/>
        </w:rPr>
        <w:t>。</w:t>
      </w:r>
    </w:p>
    <w:p>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10.2付款前，乙方应当提供完税发票供甲方办理付款手续。如乙方不提供完税发票的，校方有权拒绝付款。</w:t>
      </w:r>
    </w:p>
    <w:p>
      <w:pPr>
        <w:snapToGrid w:val="0"/>
        <w:spacing w:beforeLines="50"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十一、税费</w:t>
      </w:r>
    </w:p>
    <w:p>
      <w:pPr>
        <w:snapToGrid w:val="0"/>
        <w:spacing w:beforeLines="50"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11.1本合同执行中相关的一切税费均由乙方负担。</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十二、质量保证及售后服务</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12.1 乙方应按招标文件规定的货物性能、技术要求、质量标准向甲方提供未经使用的全新产品。</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12.2 乙方提供的货物在质量期内因货物本身的质量问题发生故障，乙方应负责免费更换。对达不到技术要求者，根据实际情况，经双方协商，可按以下办法处理：</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⑴更换：由乙方承担所发生的全部费用。</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⑵贬值处理：由甲乙双方合议定价。</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⑶退货处理：乙方应退还甲方支付的合同款，同时应承担该货物的直接费用（运输、保险、检验、货款利息及银行手续费等）。</w:t>
      </w:r>
    </w:p>
    <w:p>
      <w:pPr>
        <w:pStyle w:val="8"/>
        <w:snapToGrid w:val="0"/>
        <w:spacing w:before="120" w:after="12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12.3 如在使用过程中发生质量问题，乙方在接到甲方通知后在小时内到达甲方现场。</w:t>
      </w:r>
    </w:p>
    <w:p>
      <w:pPr>
        <w:pStyle w:val="8"/>
        <w:snapToGrid w:val="0"/>
        <w:spacing w:before="120" w:after="120"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12.4 在质保期内，乙方应对货物出现的质量及安全问题负责处理解决并承担一切费用。</w:t>
      </w:r>
    </w:p>
    <w:p>
      <w:pPr>
        <w:spacing w:line="440" w:lineRule="exact"/>
        <w:rPr>
          <w:rFonts w:asciiTheme="minorEastAsia" w:hAnsiTheme="minorEastAsia" w:eastAsiaTheme="minorEastAsia"/>
          <w:b/>
          <w:sz w:val="28"/>
          <w:szCs w:val="28"/>
        </w:rPr>
      </w:pPr>
      <w:r>
        <w:rPr>
          <w:rFonts w:hint="eastAsia" w:cs="宋体" w:asciiTheme="minorEastAsia" w:hAnsiTheme="minorEastAsia" w:eastAsiaTheme="minorEastAsia"/>
          <w:sz w:val="28"/>
          <w:szCs w:val="28"/>
        </w:rPr>
        <w:t>12.5上述的货物免费保修期为年，因人为因素出现的故障不在免费保修范围内。超过保修期的机器设备，终生维修，维修时只收部件成本费。</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十三、调试和验收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13.4 对技术复杂的货物，甲方可请国家认可的专业检测机构参与初步验收及最终验收，并由其出具质量检测报告。</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13.5 验收时乙方必须在现场，验收完毕后作出验收结果报告；验收费用由甲乙双方协商解决。</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十四、货物包装、发运及运输</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14.1 乙方应在货物发运前对其进行满足运输距离、防潮、防震、防锈和防破损装卸等要求包装，以保证货物安全运达甲方指定地点。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14.2 使用说明书、质量检验证明书、随配附件和工具以及清单一并附于货物内。</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14.3 乙方在货物发运手续办理完毕后24小时内或货到甲方48小时前通知甲方，以准备接货。</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14.4 货物在交付甲方前发生的风险均由乙方负责。</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14.5 货物在规定的交付期限内由乙方送达甲方指定的地点视为交付，乙方同时需通知甲方货物已送达。</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十五、违约责任</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15.1 甲方无正当理由拒收货物的，甲方向乙方偿付拒收货款总值的百分之五违约金。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15.2 甲方无故逾期验收和办理货款支付手续的,甲方应按逾期付款总额每日万分之五向乙方支付违约金。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15.3 乙方逾期交付货物的，乙方应向甲方支付合同价5%的违约金，由甲方从待付货款中扣除。如造成甲方损失超过违约金的，超出部分由乙方继续承担赔偿责任。 </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十六、不可抗力事件处理</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16.1 在合同有效期内，任何一方因不可抗力事件导致不能履行合同，则合同履行期可延长，其延长期与不可抗力影响期相同。</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16.2 不可抗力事件发生后，应立即通知对方，并寄送有关权威机构出具的证明。</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16.3 不可抗力事件延续120天以上，双方应通过友好协商，确定是否继续履行合同。</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十七、诉讼</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17.1 双方在执行合同中所发生的一切争议，应通过协商解决。如协商不成，可向合同签订地法院起诉，合同签订地在此约定为盐城市。</w:t>
      </w:r>
    </w:p>
    <w:p>
      <w:pPr>
        <w:pStyle w:val="8"/>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十八、合同生效及其它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18.1 合同经双方法定代表人或授权委托代表人签字并加盖单位公章。</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18.2本合同未尽事宜，遵照《合同法》有关条文执行。</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18.3 本合同正本一式捌份，具有同等法律效力，甲方执伍份、乙方执贰份、监管部门执壹份。</w:t>
      </w:r>
    </w:p>
    <w:p>
      <w:pPr>
        <w:pStyle w:val="8"/>
        <w:snapToGrid w:val="0"/>
        <w:spacing w:before="120" w:after="120" w:line="440" w:lineRule="exact"/>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甲方：乙方：</w:t>
      </w:r>
    </w:p>
    <w:p>
      <w:pPr>
        <w:pStyle w:val="8"/>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地址：地址：</w:t>
      </w:r>
    </w:p>
    <w:p>
      <w:pPr>
        <w:pStyle w:val="8"/>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法定代表人或授权代表：法定代表人或授权代表：</w:t>
      </w:r>
    </w:p>
    <w:p>
      <w:pPr>
        <w:pStyle w:val="8"/>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 联系电话：</w:t>
      </w:r>
    </w:p>
    <w:p>
      <w:pPr>
        <w:pStyle w:val="8"/>
        <w:snapToGrid w:val="0"/>
        <w:spacing w:before="120" w:after="120" w:line="440" w:lineRule="exact"/>
        <w:ind w:firstLine="5740" w:firstLineChars="2050"/>
        <w:rPr>
          <w:rFonts w:asciiTheme="minorEastAsia" w:hAnsiTheme="minorEastAsia" w:eastAsiaTheme="minorEastAsia"/>
          <w:sz w:val="28"/>
          <w:szCs w:val="28"/>
        </w:rPr>
      </w:pPr>
      <w:r>
        <w:rPr>
          <w:rFonts w:hint="eastAsia" w:asciiTheme="minorEastAsia" w:hAnsiTheme="minorEastAsia" w:eastAsiaTheme="minorEastAsia"/>
          <w:sz w:val="28"/>
          <w:szCs w:val="28"/>
        </w:rPr>
        <w:t>签订日期：年月日</w:t>
      </w:r>
      <w:bookmarkEnd w:id="81"/>
      <w:bookmarkEnd w:id="82"/>
      <w:bookmarkEnd w:id="83"/>
    </w:p>
    <w:p>
      <w:pPr>
        <w:spacing w:line="440" w:lineRule="exact"/>
      </w:pPr>
      <w:r>
        <w:br w:type="page"/>
      </w:r>
    </w:p>
    <w:p>
      <w:pPr>
        <w:numPr>
          <w:ilvl w:val="0"/>
          <w:numId w:val="2"/>
        </w:numPr>
        <w:snapToGrid w:val="0"/>
        <w:spacing w:before="120" w:after="120" w:line="360" w:lineRule="auto"/>
        <w:jc w:val="center"/>
        <w:rPr>
          <w:rFonts w:eastAsia="黑体" w:cs="黑体"/>
          <w:sz w:val="36"/>
          <w:szCs w:val="36"/>
        </w:rPr>
      </w:pPr>
      <w:r>
        <w:rPr>
          <w:rFonts w:hint="eastAsia" w:eastAsia="黑体" w:cs="黑体"/>
          <w:sz w:val="36"/>
          <w:szCs w:val="36"/>
        </w:rPr>
        <w:t xml:space="preserve"> 项目需求</w:t>
      </w:r>
    </w:p>
    <w:p>
      <w:pPr>
        <w:spacing w:line="440" w:lineRule="exact"/>
        <w:ind w:firstLine="562" w:firstLineChars="20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b/>
          <w:sz w:val="28"/>
          <w:szCs w:val="28"/>
        </w:rPr>
        <w:t>一、货物名称：</w:t>
      </w:r>
      <w:r>
        <w:rPr>
          <w:rFonts w:hint="eastAsia" w:asciiTheme="minorEastAsia" w:hAnsiTheme="minorEastAsia" w:eastAsiaTheme="minorEastAsia"/>
          <w:spacing w:val="10"/>
          <w:kern w:val="15"/>
          <w:position w:val="2"/>
          <w:sz w:val="28"/>
          <w:szCs w:val="28"/>
        </w:rPr>
        <w:t>盐城幼儿师范高等专科学校政府采购管理系统（第一期） 采购项目</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二、系统架构：</w:t>
      </w:r>
    </w:p>
    <w:p>
      <w:pPr>
        <w:spacing w:line="440" w:lineRule="exact"/>
        <w:ind w:firstLine="562" w:firstLineChars="20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1.后台管理。</w:t>
      </w:r>
    </w:p>
    <w:p>
      <w:pPr>
        <w:spacing w:line="54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1.1组织架构管理：部门管理、用户添加、用户管理、角色管理、角色关系等。</w:t>
      </w:r>
    </w:p>
    <w:p>
      <w:pPr>
        <w:spacing w:line="54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1.2模块管理。根据内控管理要求对岗位权限及操作权限进行配置，让不同的人员和不同角色的用户分别拥有各自对应的模块操作权限；流转发起权限。</w:t>
      </w:r>
    </w:p>
    <w:p>
      <w:pPr>
        <w:spacing w:line="54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1.3流程平台化管理。系统提供图形化流程定义方法，无须任何编程，各采购项目实施环节和步骤均能流程化展现和构建，为项目审批和掌握进展提供便利。</w:t>
      </w:r>
    </w:p>
    <w:p>
      <w:pPr>
        <w:spacing w:line="54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1.4协作共享管理。包括数据查询、统计分析等管理内容。</w:t>
      </w:r>
    </w:p>
    <w:p>
      <w:pPr>
        <w:pStyle w:val="26"/>
        <w:spacing w:line="540" w:lineRule="exact"/>
        <w:ind w:firstLine="498" w:firstLineChars="177"/>
        <w:rPr>
          <w:rFonts w:cs="仿宋" w:asciiTheme="minorEastAsia" w:hAnsiTheme="minorEastAsia"/>
          <w:b/>
          <w:sz w:val="28"/>
          <w:szCs w:val="28"/>
        </w:rPr>
      </w:pPr>
      <w:r>
        <w:rPr>
          <w:rFonts w:hint="eastAsia" w:cs="仿宋" w:asciiTheme="minorEastAsia" w:hAnsiTheme="minorEastAsia"/>
          <w:b/>
          <w:sz w:val="28"/>
          <w:szCs w:val="28"/>
        </w:rPr>
        <w:t>2.功能管理。</w:t>
      </w:r>
    </w:p>
    <w:p>
      <w:pPr>
        <w:pStyle w:val="26"/>
        <w:spacing w:line="540" w:lineRule="exact"/>
        <w:ind w:firstLine="495" w:firstLineChars="177"/>
        <w:rPr>
          <w:rFonts w:cs="仿宋" w:asciiTheme="minorEastAsia" w:hAnsiTheme="minorEastAsia"/>
          <w:b/>
          <w:sz w:val="28"/>
          <w:szCs w:val="28"/>
        </w:rPr>
      </w:pPr>
      <w:r>
        <w:rPr>
          <w:rFonts w:hint="eastAsia" w:cs="仿宋" w:asciiTheme="minorEastAsia" w:hAnsiTheme="minorEastAsia"/>
          <w:sz w:val="28"/>
          <w:szCs w:val="28"/>
        </w:rPr>
        <w:t>2.1上传下载、编辑修改、沟通审批、在线留痕、统计分析、项目摘要表单、开标前质疑沟通审批表单等采购文件审核功能管理。</w:t>
      </w:r>
    </w:p>
    <w:p>
      <w:pPr>
        <w:pStyle w:val="26"/>
        <w:spacing w:line="540" w:lineRule="exact"/>
        <w:ind w:firstLine="498" w:firstLineChars="177"/>
        <w:rPr>
          <w:rFonts w:cs="仿宋" w:asciiTheme="minorEastAsia" w:hAnsiTheme="minorEastAsia"/>
          <w:b/>
          <w:sz w:val="28"/>
          <w:szCs w:val="28"/>
        </w:rPr>
      </w:pPr>
      <w:r>
        <w:rPr>
          <w:rFonts w:hint="eastAsia" w:cs="仿宋" w:asciiTheme="minorEastAsia" w:hAnsiTheme="minorEastAsia"/>
          <w:b/>
          <w:sz w:val="28"/>
          <w:szCs w:val="28"/>
        </w:rPr>
        <w:t>3.其他管理。</w:t>
      </w:r>
    </w:p>
    <w:p>
      <w:pPr>
        <w:pStyle w:val="26"/>
        <w:spacing w:line="540" w:lineRule="exact"/>
        <w:ind w:firstLine="498" w:firstLineChars="177"/>
        <w:rPr>
          <w:rFonts w:cs="仿宋" w:asciiTheme="minorEastAsia" w:hAnsiTheme="minorEastAsia"/>
          <w:sz w:val="28"/>
          <w:szCs w:val="28"/>
        </w:rPr>
      </w:pPr>
      <w:r>
        <w:rPr>
          <w:rFonts w:hint="eastAsia" w:cs="仿宋" w:asciiTheme="minorEastAsia" w:hAnsiTheme="minorEastAsia"/>
          <w:b/>
          <w:sz w:val="28"/>
          <w:szCs w:val="28"/>
        </w:rPr>
        <w:t>3.1</w:t>
      </w:r>
      <w:r>
        <w:rPr>
          <w:rFonts w:hint="eastAsia" w:cs="仿宋" w:asciiTheme="minorEastAsia" w:hAnsiTheme="minorEastAsia"/>
          <w:sz w:val="28"/>
          <w:szCs w:val="28"/>
        </w:rPr>
        <w:t>与学校信息门户对接管理。系统安全管理。售后服务管理。</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三、主要功能</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多用户（需求部门、归口部门、招标部门等工作人员、部门主管、校领导等）上传下载打印采购文件、附件，在线编辑、修改、审批，沟通意见、</w:t>
      </w:r>
      <w:r>
        <w:rPr>
          <w:rFonts w:hint="eastAsia" w:asciiTheme="minorEastAsia" w:hAnsiTheme="minorEastAsia"/>
          <w:sz w:val="28"/>
          <w:szCs w:val="28"/>
        </w:rPr>
        <w:t>修改记录</w:t>
      </w:r>
      <w:r>
        <w:rPr>
          <w:rFonts w:hint="eastAsia" w:cs="仿宋" w:asciiTheme="minorEastAsia" w:hAnsiTheme="minorEastAsia"/>
          <w:sz w:val="28"/>
          <w:szCs w:val="28"/>
        </w:rPr>
        <w:t>在线留痕。采购文件、合同等摘要表单，采购项目分类、统计、排序、搜索、查询等。总体上，不少于以下具体功能：</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1、采购计划登记，委托单需求管理；</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2、采购文件在线拟制；</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3、采购文件审核（在线留痕及汇总排序、搜索查询等）；</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4、采购人采购事项确认（需求、采购文件、采购结果）；</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5、采购公告生成发布；</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6、项目答疑登记；</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7、中标管理；</w:t>
      </w:r>
    </w:p>
    <w:p>
      <w:pPr>
        <w:pStyle w:val="26"/>
        <w:spacing w:line="540" w:lineRule="exact"/>
        <w:ind w:firstLine="495" w:firstLineChars="177"/>
        <w:rPr>
          <w:rFonts w:cs="仿宋" w:asciiTheme="minorEastAsia" w:hAnsiTheme="minorEastAsia"/>
          <w:sz w:val="28"/>
          <w:szCs w:val="28"/>
        </w:rPr>
      </w:pPr>
      <w:r>
        <w:rPr>
          <w:rFonts w:cs="仿宋" w:asciiTheme="minorEastAsia" w:hAnsiTheme="minorEastAsia"/>
          <w:sz w:val="28"/>
          <w:szCs w:val="28"/>
        </w:rPr>
        <w:t>8、</w:t>
      </w:r>
      <w:r>
        <w:rPr>
          <w:rFonts w:hint="eastAsia" w:cs="仿宋" w:asciiTheme="minorEastAsia" w:hAnsiTheme="minorEastAsia"/>
          <w:sz w:val="28"/>
          <w:szCs w:val="28"/>
        </w:rPr>
        <w:t>采购合同登记管理；</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9、项目归档。</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四、技术需求</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4.1技术要求</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 xml:space="preserve">为支持异构环境，项目要求采用基于J2EE平台体系的三层分布式技术架构，将用户界面、业务逻辑与数据资源进行分离, 引入组件化、参数化、模式化等先进构造思想，构建安全性好、稳定高效、扩展性强的信息系统。 </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用户界面设计采用优秀的原型设计工具来模拟，快速搭建软件系统的高保真原型，便于用户沟通、确认。界面原型确认后进入软件代码编程开发。</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整个系统各功能模块界面风格一致，界面友善、操作简捷，符合人性化设计；业务表单尽量做到所见即所得；操作出现错误的提示信息采用业务用语描述；提供详细完整的在线用户使用指南，有上下文相关的帮助、提示信息等。</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4.1.1先进性</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技术架构应具备较强的生命力，并具备一定的发展潜力。系统设计应采用业界成熟的先进技术，系统建设平台应该多层次分布式体系架构，能够跨操作系统平台。</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4.1.2规范性与标准性</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要保证系统设计开发的标准化。系统设计在功能、安全、网络等各方面符合国家、财政部、电子政务信息系统建设相关标准和规范，保证与其它部门、其他系统的互连互通和资源共享。</w:t>
      </w:r>
    </w:p>
    <w:p>
      <w:pPr>
        <w:pStyle w:val="26"/>
        <w:spacing w:line="540" w:lineRule="exact"/>
        <w:ind w:firstLine="495" w:firstLineChars="177"/>
        <w:rPr>
          <w:rFonts w:cs="仿宋" w:asciiTheme="minorEastAsia" w:hAnsiTheme="minorEastAsia"/>
          <w:b/>
          <w:bCs/>
          <w:sz w:val="28"/>
          <w:szCs w:val="28"/>
        </w:rPr>
      </w:pPr>
      <w:r>
        <w:rPr>
          <w:rFonts w:hint="eastAsia" w:cs="仿宋" w:asciiTheme="minorEastAsia" w:hAnsiTheme="minorEastAsia"/>
          <w:sz w:val="28"/>
          <w:szCs w:val="28"/>
        </w:rPr>
        <w:t>遵循国家财政部金财工程的技术标准体系，包括《编码和命名规范》、《过程标准》、《用户界面规范》、《代码和数据元标准》、《数据交换标准》、《公共构件规范》、《消息中间件应用指南》、《0racle数据库设计应用指南》、《BEA Weblogic平台开发应用指南》等。</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4.1.3可靠性</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可靠性是系统应该优先保证的，系统应具有较强的容错及故障恢复能力。系统建设过程中保证提高系统的开发质量，优化软件，减少软件缺陷，保证软件具有稳定性、可靠性、容错性和健壮性。系统应拥有一套完善的错误处理机制，避免单点故障而影响整个系统的正常运行。</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4.1.4易用性</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提供系统导航功能和完整易用的帮助系统，在任何一个环节都可以查看相应的帮助文件，用户即使在完全不熟悉系统业务的情况下，也可以按照帮助中的内容有条不紊完整地完成应有的操作。</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4.1.5可扩展性与可维护性</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要求采用模块化、组件化和高内聚、低耦合系统设计，具有适应业务变化的能力，如系统用户数量及业务量的增长、规则或代码的变化、业务单据的变更、业务流程重组等，应尽可能地保证将业务变化造成的影响局部化。当系统用户数量及业务两增长时，系统容量发生变化时，应能通过在横向和纵向的各个层次的扩充，保证系统合理的响应时间和负载能力。</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4.1.6采用界面原型设计工具</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用户界面设计采用优秀的原型设计工具来模拟，快速搭建软件系统的高保真原型，便于用户沟通、确认。界面原型确认后进入软件代码编程开发。</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整个系统各功能模块界面风格一致，界面友善、操作简捷，符合人性化设计；业务表单尽量做到所见即所得；操作出现错误的提示信息采用业务用语描述；提供详细完整的在线用户使用指南，有上下文相关的帮助、提示信息等。</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4.2运行环境要求</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4.2.1数据库环境</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数据库要求为Oracle 10G及以上；操作系统环境可以是Windows、Unix、Linu等。</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4.2.2应用服务器环境</w:t>
      </w:r>
    </w:p>
    <w:p>
      <w:pPr>
        <w:pStyle w:val="26"/>
        <w:spacing w:line="540" w:lineRule="exact"/>
        <w:ind w:firstLine="495" w:firstLineChars="177"/>
        <w:rPr>
          <w:rFonts w:cs="仿宋" w:asciiTheme="minorEastAsia" w:hAnsiTheme="minorEastAsia"/>
          <w:b/>
          <w:bCs/>
          <w:sz w:val="28"/>
          <w:szCs w:val="28"/>
        </w:rPr>
      </w:pPr>
      <w:r>
        <w:rPr>
          <w:rFonts w:hint="eastAsia" w:cs="仿宋" w:asciiTheme="minorEastAsia" w:hAnsiTheme="minorEastAsia"/>
          <w:sz w:val="28"/>
          <w:szCs w:val="28"/>
        </w:rPr>
        <w:t>Web应用服务要求为Weblogic 10及以上；操作系统环境可以是Windows、Unix、Linux等。</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4.2.3客户端环境</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操作系统要求为WindowsXP及以上版本；浏览器为IE 8.0及以上版本。</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4.3性能要求</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采用轻量级技术，降低平台运行开销，用户界面跟应用逻辑代码分开，可以根据客户要求随时修改，增强操作响应速度。</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（1）支持最大用户数大于2000 个。支持日常800 用户以上同时在线使用。</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（2）响应时间≤1秒，高峰期最大响应时间小于5秒。</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（3）事务处理操作≤2秒。</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（4）普通应用查询≤3秒。</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（5）统计分析类查询≤5秒。</w:t>
      </w:r>
    </w:p>
    <w:p>
      <w:pPr>
        <w:pStyle w:val="26"/>
        <w:spacing w:line="540" w:lineRule="exact"/>
        <w:ind w:firstLine="498" w:firstLineChars="177"/>
        <w:rPr>
          <w:rFonts w:cs="仿宋" w:asciiTheme="minorEastAsia" w:hAnsiTheme="minorEastAsia"/>
          <w:b/>
          <w:bCs/>
          <w:sz w:val="28"/>
          <w:szCs w:val="28"/>
        </w:rPr>
      </w:pPr>
      <w:r>
        <w:rPr>
          <w:rFonts w:hint="eastAsia" w:cs="仿宋" w:asciiTheme="minorEastAsia" w:hAnsiTheme="minorEastAsia"/>
          <w:b/>
          <w:bCs/>
          <w:sz w:val="28"/>
          <w:szCs w:val="28"/>
        </w:rPr>
        <w:t>4.4实施服务内容</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严格按照规范流程进行，包括项目启动、业务流程调研和定制、系统初始化、系统调试、系统培训、试运行等重要工作环节。</w:t>
      </w:r>
    </w:p>
    <w:p>
      <w:pPr>
        <w:pStyle w:val="26"/>
        <w:spacing w:line="540" w:lineRule="exact"/>
        <w:ind w:firstLine="560"/>
        <w:rPr>
          <w:rFonts w:cs="仿宋" w:asciiTheme="minorEastAsia" w:hAnsiTheme="minorEastAsia"/>
          <w:sz w:val="28"/>
          <w:szCs w:val="28"/>
        </w:rPr>
      </w:pPr>
      <w:r>
        <w:rPr>
          <w:rFonts w:hint="eastAsia" w:cs="仿宋" w:asciiTheme="minorEastAsia" w:hAnsiTheme="minorEastAsia"/>
          <w:sz w:val="28"/>
          <w:szCs w:val="28"/>
        </w:rPr>
        <w:t>1、项目启动：根据使用单位要求，明确工作计划、内容及分工、阶段目标、提交成果、团队人员等，经双方讨论确定后执行。</w:t>
      </w:r>
    </w:p>
    <w:p>
      <w:pPr>
        <w:pStyle w:val="26"/>
        <w:spacing w:line="540" w:lineRule="exact"/>
        <w:ind w:firstLine="560"/>
        <w:rPr>
          <w:rFonts w:cs="仿宋" w:asciiTheme="minorEastAsia" w:hAnsiTheme="minorEastAsia"/>
          <w:sz w:val="28"/>
          <w:szCs w:val="28"/>
        </w:rPr>
      </w:pPr>
      <w:r>
        <w:rPr>
          <w:rFonts w:hint="eastAsia" w:cs="仿宋" w:asciiTheme="minorEastAsia" w:hAnsiTheme="minorEastAsia"/>
          <w:sz w:val="28"/>
          <w:szCs w:val="28"/>
        </w:rPr>
        <w:t>2、业务流程调研和定制：以现场会议方式与使用单位沟通，调研并确认业务流程，并形成文档资料给使用单位确认；开发人员进行流程定制开发。</w:t>
      </w:r>
    </w:p>
    <w:p>
      <w:pPr>
        <w:pStyle w:val="26"/>
        <w:spacing w:line="540" w:lineRule="exact"/>
        <w:ind w:firstLine="560"/>
        <w:rPr>
          <w:rFonts w:cs="仿宋" w:asciiTheme="minorEastAsia" w:hAnsiTheme="minorEastAsia"/>
          <w:sz w:val="28"/>
          <w:szCs w:val="28"/>
        </w:rPr>
      </w:pPr>
      <w:r>
        <w:rPr>
          <w:rFonts w:hint="eastAsia" w:cs="仿宋" w:asciiTheme="minorEastAsia" w:hAnsiTheme="minorEastAsia"/>
          <w:sz w:val="28"/>
          <w:szCs w:val="28"/>
        </w:rPr>
        <w:t>3、系统初始化：使用单位需提交基础资料清单，实施人员配合使用单位进行基础数据采集，根据使用单位提供的基础资料进行汇总和梳理，并录入系统、完成初始化。</w:t>
      </w:r>
    </w:p>
    <w:p>
      <w:pPr>
        <w:pStyle w:val="26"/>
        <w:spacing w:line="540" w:lineRule="exact"/>
        <w:ind w:firstLine="560"/>
        <w:rPr>
          <w:rFonts w:cs="仿宋" w:asciiTheme="minorEastAsia" w:hAnsiTheme="minorEastAsia"/>
          <w:sz w:val="28"/>
          <w:szCs w:val="28"/>
        </w:rPr>
      </w:pPr>
      <w:r>
        <w:rPr>
          <w:rFonts w:hint="eastAsia" w:cs="仿宋" w:asciiTheme="minorEastAsia" w:hAnsiTheme="minorEastAsia"/>
          <w:sz w:val="28"/>
          <w:szCs w:val="28"/>
        </w:rPr>
        <w:t>4、系统调试：实施人员对系统进行模拟测试和调试运行，确保流程贯通、业务数据准确。</w:t>
      </w:r>
    </w:p>
    <w:p>
      <w:pPr>
        <w:pStyle w:val="26"/>
        <w:spacing w:line="540" w:lineRule="exact"/>
        <w:ind w:firstLine="560"/>
        <w:rPr>
          <w:rFonts w:cs="仿宋" w:asciiTheme="minorEastAsia" w:hAnsiTheme="minorEastAsia"/>
          <w:sz w:val="28"/>
          <w:szCs w:val="28"/>
        </w:rPr>
      </w:pPr>
      <w:r>
        <w:rPr>
          <w:rFonts w:hint="eastAsia" w:cs="仿宋" w:asciiTheme="minorEastAsia" w:hAnsiTheme="minorEastAsia"/>
          <w:sz w:val="28"/>
          <w:szCs w:val="28"/>
        </w:rPr>
        <w:t>5、系统培训：对系统使用人员分类集中培训、指导。培训、服务范围包括采购人、代理机构。</w:t>
      </w:r>
    </w:p>
    <w:p>
      <w:pPr>
        <w:pStyle w:val="26"/>
        <w:spacing w:line="540" w:lineRule="exact"/>
        <w:ind w:firstLine="495" w:firstLineChars="177"/>
        <w:rPr>
          <w:rFonts w:cs="仿宋" w:asciiTheme="minorEastAsia" w:hAnsiTheme="minorEastAsia"/>
          <w:sz w:val="28"/>
          <w:szCs w:val="28"/>
        </w:rPr>
      </w:pPr>
      <w:r>
        <w:rPr>
          <w:rFonts w:hint="eastAsia" w:cs="仿宋" w:asciiTheme="minorEastAsia" w:hAnsiTheme="minorEastAsia"/>
          <w:sz w:val="28"/>
          <w:szCs w:val="28"/>
        </w:rPr>
        <w:t>6、系统上线运行：明确1名技术人员在现场提供必要的技术支持，直到系统上线运行2个月。</w:t>
      </w:r>
    </w:p>
    <w:p>
      <w:pPr>
        <w:pStyle w:val="3"/>
      </w:pPr>
    </w:p>
    <w:p>
      <w:pPr>
        <w:pStyle w:val="8"/>
        <w:snapToGrid w:val="0"/>
        <w:spacing w:before="120" w:after="120" w:line="440" w:lineRule="exact"/>
        <w:ind w:firstLine="274" w:firstLineChars="98"/>
        <w:rPr>
          <w:rFonts w:hAnsi="宋体" w:cs="宋体"/>
          <w:kern w:val="2"/>
          <w:sz w:val="28"/>
          <w:szCs w:val="28"/>
        </w:rPr>
      </w:pPr>
    </w:p>
    <w:p>
      <w:pPr>
        <w:pStyle w:val="16"/>
        <w:spacing w:line="440" w:lineRule="exact"/>
        <w:rPr>
          <w:color w:val="auto"/>
          <w:sz w:val="24"/>
          <w:szCs w:val="24"/>
        </w:rPr>
      </w:pPr>
    </w:p>
    <w:p>
      <w:pPr>
        <w:pStyle w:val="8"/>
        <w:snapToGrid w:val="0"/>
        <w:spacing w:before="120" w:after="120" w:line="440" w:lineRule="exact"/>
        <w:ind w:firstLine="480" w:firstLineChars="200"/>
        <w:rPr>
          <w:sz w:val="24"/>
          <w:szCs w:val="24"/>
        </w:rPr>
      </w:pPr>
    </w:p>
    <w:p>
      <w:pPr>
        <w:pStyle w:val="16"/>
        <w:rPr>
          <w:color w:val="auto"/>
        </w:rPr>
      </w:pPr>
    </w:p>
    <w:p>
      <w:pPr>
        <w:pStyle w:val="16"/>
        <w:rPr>
          <w:color w:val="auto"/>
        </w:rPr>
      </w:pPr>
    </w:p>
    <w:p>
      <w:pPr>
        <w:pStyle w:val="17"/>
        <w:rPr>
          <w:rFonts w:eastAsia="DengXian"/>
          <w:color w:val="auto"/>
        </w:rPr>
      </w:pPr>
    </w:p>
    <w:p>
      <w:pPr>
        <w:pStyle w:val="16"/>
        <w:rPr>
          <w:color w:val="auto"/>
        </w:rPr>
      </w:pPr>
    </w:p>
    <w:p>
      <w:pPr>
        <w:pStyle w:val="17"/>
        <w:rPr>
          <w:rFonts w:eastAsia="DengXian"/>
          <w:color w:val="auto"/>
        </w:rPr>
      </w:pPr>
    </w:p>
    <w:p>
      <w:pPr>
        <w:snapToGrid w:val="0"/>
        <w:spacing w:line="360" w:lineRule="auto"/>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napToGrid w:val="0"/>
        <w:spacing w:line="360" w:lineRule="auto"/>
        <w:jc w:val="center"/>
        <w:rPr>
          <w:rFonts w:eastAsia="黑体"/>
          <w:sz w:val="36"/>
          <w:szCs w:val="36"/>
        </w:rPr>
      </w:pPr>
      <w:r>
        <w:rPr>
          <w:b/>
          <w:sz w:val="36"/>
        </w:rPr>
        <w:t>年月日</w:t>
      </w:r>
    </w:p>
    <w:p>
      <w:pPr>
        <w:widowControl/>
        <w:jc w:val="left"/>
        <w:rPr>
          <w:rFonts w:eastAsia="黑体"/>
          <w:sz w:val="36"/>
          <w:szCs w:val="36"/>
        </w:rPr>
      </w:pPr>
      <w:r>
        <w:rPr>
          <w:rFonts w:eastAsia="黑体"/>
          <w:sz w:val="36"/>
          <w:szCs w:val="36"/>
        </w:rPr>
        <w:br w:type="page"/>
      </w:r>
    </w:p>
    <w:p>
      <w:pPr>
        <w:snapToGrid w:val="0"/>
        <w:spacing w:before="50" w:after="50"/>
        <w:rPr>
          <w:rFonts w:ascii="宋体" w:hAnsi="宋体"/>
          <w:i/>
          <w:u w:val="single"/>
        </w:rPr>
      </w:pPr>
    </w:p>
    <w:p>
      <w:pPr>
        <w:snapToGrid w:val="0"/>
        <w:spacing w:before="50" w:after="50" w:line="360" w:lineRule="auto"/>
        <w:rPr>
          <w:rFonts w:ascii="宋体" w:hAnsi="宋体" w:eastAsia="仿宋_GB2312"/>
          <w:sz w:val="24"/>
          <w:szCs w:val="20"/>
        </w:rPr>
      </w:pPr>
      <w:r>
        <w:rPr>
          <w:rFonts w:hint="eastAsia" w:ascii="宋体" w:hAnsi="宋体"/>
          <w:b/>
          <w:bCs/>
          <w:sz w:val="24"/>
        </w:rPr>
        <w:t>1、实质性资格证明文件目录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文件1 法人或者其他组织的营业执照等证明文件，自然人的身份证明（复印件）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文件2 上一年度财务状况报表（复印件，成立不满一年不需提供）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文件3 依法缴纳税收和社会保障资金的相关材料（复印件）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文件4 具备履行合同所必需的设备和专业技术能力证明材料（原件，格式见附表）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文件5 参加政府采购活动前 3 年内在经营活动中没有重大违法记录的书面声明（原件,格式见附表）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文件6 法人授权书（原件）</w:t>
      </w:r>
    </w:p>
    <w:p>
      <w:pPr>
        <w:snapToGrid w:val="0"/>
        <w:spacing w:before="50" w:afterLines="50" w:line="360" w:lineRule="auto"/>
        <w:ind w:firstLine="482"/>
        <w:jc w:val="left"/>
        <w:rPr>
          <w:rFonts w:ascii="宋体" w:hAnsi="宋体" w:cs="宋体"/>
          <w:bCs/>
          <w:sz w:val="24"/>
          <w:szCs w:val="24"/>
        </w:rPr>
      </w:pPr>
      <w:r>
        <w:rPr>
          <w:rFonts w:hint="eastAsia" w:ascii="宋体" w:hAnsi="宋体" w:cs="宋体"/>
          <w:bCs/>
          <w:sz w:val="24"/>
          <w:szCs w:val="24"/>
        </w:rPr>
        <w:t>文件7 询价文件中规定要求提供的证明材料和投标人认为需要提供的其他材料</w:t>
      </w:r>
    </w:p>
    <w:p>
      <w:pPr>
        <w:pStyle w:val="16"/>
        <w:rPr>
          <w:bCs/>
          <w:color w:val="auto"/>
          <w:kern w:val="2"/>
          <w:sz w:val="24"/>
          <w:szCs w:val="24"/>
        </w:rPr>
      </w:pPr>
      <w:r>
        <w:rPr>
          <w:rFonts w:hint="eastAsia"/>
          <w:bCs/>
          <w:color w:val="auto"/>
          <w:kern w:val="2"/>
          <w:sz w:val="24"/>
          <w:szCs w:val="24"/>
        </w:rPr>
        <w:t>注：上述复印件均需加盖投标单位公章。</w:t>
      </w:r>
    </w:p>
    <w:p>
      <w:pPr>
        <w:pStyle w:val="17"/>
        <w:rPr>
          <w:rFonts w:ascii="宋体" w:hAnsi="宋体" w:eastAsia="宋体" w:cs="宋体"/>
          <w:color w:val="auto"/>
          <w:sz w:val="24"/>
          <w:szCs w:val="24"/>
        </w:rPr>
      </w:pPr>
    </w:p>
    <w:p>
      <w:pPr>
        <w:pStyle w:val="16"/>
        <w:rPr>
          <w:color w:val="auto"/>
        </w:rPr>
      </w:pPr>
    </w:p>
    <w:p>
      <w:pPr>
        <w:pStyle w:val="17"/>
        <w:rPr>
          <w:rFonts w:ascii="宋体" w:hAnsi="宋体" w:eastAsia="宋体" w:cs="宋体"/>
          <w:color w:val="auto"/>
          <w:sz w:val="24"/>
          <w:szCs w:val="24"/>
        </w:rPr>
      </w:pPr>
    </w:p>
    <w:p>
      <w:pPr>
        <w:pStyle w:val="16"/>
        <w:rPr>
          <w:color w:val="auto"/>
          <w:sz w:val="24"/>
          <w:szCs w:val="24"/>
        </w:rPr>
      </w:pPr>
    </w:p>
    <w:p>
      <w:pPr>
        <w:pStyle w:val="17"/>
        <w:rPr>
          <w:rFonts w:ascii="宋体" w:hAnsi="宋体" w:eastAsia="宋体" w:cs="宋体"/>
          <w:color w:val="auto"/>
          <w:sz w:val="24"/>
          <w:szCs w:val="24"/>
        </w:rPr>
      </w:pPr>
    </w:p>
    <w:p>
      <w:pPr>
        <w:pStyle w:val="16"/>
        <w:rPr>
          <w:color w:val="auto"/>
          <w:sz w:val="24"/>
          <w:szCs w:val="24"/>
        </w:rPr>
      </w:pPr>
    </w:p>
    <w:p>
      <w:pPr>
        <w:pStyle w:val="17"/>
        <w:rPr>
          <w:rFonts w:ascii="宋体" w:hAnsi="宋体" w:eastAsia="宋体" w:cs="宋体"/>
          <w:color w:val="auto"/>
          <w:sz w:val="24"/>
          <w:szCs w:val="24"/>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7"/>
        <w:rPr>
          <w:color w:val="auto"/>
        </w:rPr>
      </w:pPr>
    </w:p>
    <w:p>
      <w:pPr>
        <w:pStyle w:val="16"/>
        <w:rPr>
          <w:color w:val="auto"/>
        </w:rPr>
      </w:pPr>
    </w:p>
    <w:p>
      <w:pPr>
        <w:pStyle w:val="16"/>
        <w:ind w:firstLine="0"/>
        <w:rPr>
          <w:color w:val="auto"/>
        </w:rPr>
      </w:pPr>
    </w:p>
    <w:p>
      <w:pPr>
        <w:pStyle w:val="4"/>
        <w:jc w:val="center"/>
        <w:rPr>
          <w:rFonts w:ascii="黑体" w:hAnsi="宋体" w:eastAsia="黑体"/>
          <w:b w:val="0"/>
          <w:bCs w:val="0"/>
          <w:sz w:val="30"/>
          <w:szCs w:val="30"/>
        </w:rPr>
      </w:pP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w:t>
      </w:r>
    </w:p>
    <w:p>
      <w:pPr>
        <w:spacing w:line="460" w:lineRule="exact"/>
        <w:ind w:firstLine="492"/>
        <w:rPr>
          <w:rFonts w:ascii="宋体" w:hAnsi="宋体"/>
          <w:bCs/>
          <w:sz w:val="24"/>
        </w:rPr>
      </w:pPr>
      <w:r>
        <w:rPr>
          <w:rFonts w:hint="eastAsia" w:ascii="宋体" w:hAnsi="宋体"/>
          <w:bCs/>
          <w:sz w:val="24"/>
        </w:rPr>
        <w:t>主要专业技术能力有：。</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日期：年月日</w:t>
      </w:r>
    </w:p>
    <w:p>
      <w:pPr>
        <w:pStyle w:val="3"/>
      </w:pPr>
      <w:r>
        <w:br w:type="page"/>
      </w:r>
    </w:p>
    <w:p>
      <w:pPr>
        <w:pStyle w:val="4"/>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u w:val="single"/>
        </w:rPr>
      </w:pPr>
      <w:r>
        <w:rPr>
          <w:rFonts w:hint="eastAsia" w:ascii="宋体" w:hAnsi="宋体"/>
          <w:bCs/>
          <w:sz w:val="24"/>
        </w:rPr>
        <w:t xml:space="preserve">                                      授权代表签字：</w:t>
      </w:r>
    </w:p>
    <w:p>
      <w:pPr>
        <w:spacing w:line="460" w:lineRule="exact"/>
        <w:rPr>
          <w:rFonts w:ascii="宋体" w:hAnsi="宋体"/>
          <w:bCs/>
          <w:sz w:val="24"/>
        </w:rPr>
      </w:pPr>
      <w:r>
        <w:rPr>
          <w:rFonts w:hint="eastAsia" w:ascii="宋体" w:hAnsi="宋体"/>
          <w:bCs/>
          <w:sz w:val="24"/>
        </w:rPr>
        <w:t xml:space="preserve">                                      日期：年月日</w:t>
      </w:r>
    </w:p>
    <w:p>
      <w:pPr>
        <w:spacing w:line="460" w:lineRule="exact"/>
        <w:rPr>
          <w:rFonts w:ascii="宋体" w:hAnsi="宋体"/>
          <w:bCs/>
          <w:sz w:val="24"/>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4"/>
        <w:jc w:val="center"/>
        <w:rPr>
          <w:rFonts w:ascii="宋体"/>
          <w:sz w:val="28"/>
          <w:szCs w:val="28"/>
        </w:rPr>
      </w:pPr>
      <w:r>
        <w:rPr>
          <w:rFonts w:hint="eastAsia" w:ascii="宋体" w:hAnsi="宋体" w:cs="宋体"/>
          <w:sz w:val="28"/>
          <w:szCs w:val="28"/>
        </w:rPr>
        <w:t>法人授权书（格式）</w:t>
      </w:r>
    </w:p>
    <w:p>
      <w:pPr>
        <w:snapToGrid w:val="0"/>
        <w:spacing w:line="300" w:lineRule="auto"/>
        <w:rPr>
          <w:rFonts w:ascii="宋体" w:hAnsi="Arial"/>
        </w:rPr>
      </w:pPr>
    </w:p>
    <w:p>
      <w:pPr>
        <w:snapToGrid w:val="0"/>
        <w:spacing w:line="480" w:lineRule="auto"/>
        <w:ind w:firstLine="615"/>
        <w:rPr>
          <w:sz w:val="24"/>
          <w:szCs w:val="24"/>
        </w:rPr>
      </w:pPr>
      <w:r>
        <w:rPr>
          <w:rFonts w:hint="eastAsia" w:cs="宋体"/>
          <w:sz w:val="24"/>
          <w:szCs w:val="24"/>
        </w:rPr>
        <w:t>本授权书声明：公司的</w:t>
      </w:r>
      <w:r>
        <w:rPr>
          <w:sz w:val="24"/>
          <w:szCs w:val="24"/>
        </w:rPr>
        <w:t xml:space="preserve">_______  </w:t>
      </w:r>
      <w:r>
        <w:rPr>
          <w:rFonts w:hint="eastAsia" w:cs="宋体"/>
          <w:sz w:val="24"/>
          <w:szCs w:val="24"/>
        </w:rPr>
        <w:t>（法定代表人姓名）</w:t>
      </w:r>
      <w:r>
        <w:rPr>
          <w:sz w:val="24"/>
          <w:szCs w:val="24"/>
        </w:rPr>
        <w:t>_______</w:t>
      </w:r>
      <w:r>
        <w:rPr>
          <w:rFonts w:hint="eastAsia" w:cs="宋体"/>
          <w:sz w:val="24"/>
          <w:szCs w:val="24"/>
        </w:rPr>
        <w:t>职务代表本公司授权（被授权人的姓名）</w:t>
      </w:r>
      <w:r>
        <w:rPr>
          <w:sz w:val="24"/>
          <w:szCs w:val="24"/>
        </w:rPr>
        <w:t>______ (</w:t>
      </w:r>
      <w:r>
        <w:rPr>
          <w:rFonts w:hint="eastAsia" w:cs="宋体"/>
          <w:sz w:val="24"/>
          <w:szCs w:val="24"/>
        </w:rPr>
        <w:t>职务</w:t>
      </w:r>
      <w:r>
        <w:rPr>
          <w:sz w:val="24"/>
          <w:szCs w:val="24"/>
        </w:rPr>
        <w:t>)</w:t>
      </w:r>
      <w:r>
        <w:rPr>
          <w:rFonts w:hint="eastAsia" w:cs="宋体"/>
          <w:sz w:val="24"/>
          <w:szCs w:val="24"/>
        </w:rPr>
        <w:t>为本公司的合法投标代表，就参加</w:t>
      </w:r>
      <w:r>
        <w:rPr>
          <w:rFonts w:hint="eastAsia" w:cs="宋体"/>
          <w:sz w:val="24"/>
          <w:szCs w:val="24"/>
          <w:u w:val="single"/>
        </w:rPr>
        <w:t>YCYZ（编号）</w:t>
      </w:r>
      <w:r>
        <w:rPr>
          <w:rFonts w:hint="eastAsia" w:cs="宋体"/>
          <w:sz w:val="24"/>
          <w:szCs w:val="24"/>
        </w:rPr>
        <w:t>标的内容的投标、签订合同以及合同的执行、完成和纠纷处理，以本公司名义处理一切与之有关的事务。</w:t>
      </w:r>
    </w:p>
    <w:p>
      <w:pPr>
        <w:spacing w:line="480" w:lineRule="auto"/>
        <w:ind w:firstLine="645"/>
        <w:rPr>
          <w:sz w:val="24"/>
          <w:szCs w:val="24"/>
        </w:rPr>
      </w:pPr>
      <w:r>
        <w:rPr>
          <w:rFonts w:hint="eastAsia" w:cs="宋体"/>
          <w:sz w:val="24"/>
          <w:szCs w:val="24"/>
        </w:rPr>
        <w:t>本授权书于年月日签字生效，特此声明。</w:t>
      </w:r>
    </w:p>
    <w:p>
      <w:pPr>
        <w:spacing w:line="480" w:lineRule="auto"/>
        <w:ind w:firstLine="720" w:firstLineChars="300"/>
        <w:rPr>
          <w:sz w:val="24"/>
          <w:szCs w:val="24"/>
        </w:rPr>
      </w:pPr>
      <w:r>
        <w:rPr>
          <w:rFonts w:hint="eastAsia" w:cs="宋体"/>
          <w:sz w:val="24"/>
          <w:szCs w:val="24"/>
        </w:rPr>
        <w:t>法定代表人签字：</w:t>
      </w:r>
    </w:p>
    <w:p>
      <w:pPr>
        <w:spacing w:line="480" w:lineRule="auto"/>
        <w:rPr>
          <w:sz w:val="24"/>
          <w:szCs w:val="24"/>
          <w:u w:val="single"/>
        </w:rPr>
      </w:pPr>
      <w:r>
        <w:rPr>
          <w:rFonts w:hint="eastAsia" w:cs="宋体"/>
          <w:sz w:val="24"/>
          <w:szCs w:val="24"/>
        </w:rPr>
        <w:t>职务：</w:t>
      </w:r>
    </w:p>
    <w:p>
      <w:pPr>
        <w:spacing w:line="480" w:lineRule="auto"/>
        <w:rPr>
          <w:sz w:val="24"/>
          <w:szCs w:val="24"/>
          <w:u w:val="single"/>
        </w:rPr>
      </w:pPr>
      <w:r>
        <w:rPr>
          <w:rFonts w:hint="eastAsia" w:cs="宋体"/>
          <w:sz w:val="24"/>
          <w:szCs w:val="24"/>
        </w:rPr>
        <w:t>单位名称：</w:t>
      </w:r>
    </w:p>
    <w:p>
      <w:pPr>
        <w:spacing w:line="480" w:lineRule="auto"/>
        <w:rPr>
          <w:sz w:val="24"/>
          <w:szCs w:val="24"/>
        </w:rPr>
      </w:pPr>
      <w:r>
        <w:rPr>
          <w:rFonts w:hint="eastAsia" w:cs="宋体"/>
          <w:sz w:val="24"/>
          <w:szCs w:val="24"/>
        </w:rPr>
        <w:t>地址：</w:t>
      </w:r>
    </w:p>
    <w:p>
      <w:pPr>
        <w:spacing w:line="480" w:lineRule="auto"/>
        <w:rPr>
          <w:sz w:val="24"/>
          <w:szCs w:val="24"/>
          <w:u w:val="single"/>
        </w:rPr>
      </w:pPr>
      <w:r>
        <w:rPr>
          <w:rFonts w:hint="eastAsia" w:cs="宋体"/>
          <w:sz w:val="24"/>
          <w:szCs w:val="24"/>
        </w:rPr>
        <w:t>投标代表（被授权人）签字：</w:t>
      </w:r>
    </w:p>
    <w:p>
      <w:pPr>
        <w:spacing w:line="480" w:lineRule="auto"/>
        <w:rPr>
          <w:sz w:val="24"/>
          <w:szCs w:val="24"/>
          <w:u w:val="single"/>
        </w:rPr>
      </w:pPr>
      <w:r>
        <w:rPr>
          <w:rFonts w:hint="eastAsia" w:cs="宋体"/>
          <w:sz w:val="24"/>
          <w:szCs w:val="24"/>
        </w:rPr>
        <w:t>职务：</w:t>
      </w:r>
    </w:p>
    <w:p>
      <w:pPr>
        <w:spacing w:line="480" w:lineRule="auto"/>
        <w:rPr>
          <w:sz w:val="24"/>
          <w:szCs w:val="24"/>
          <w:u w:val="single"/>
        </w:rPr>
      </w:pPr>
      <w:r>
        <w:rPr>
          <w:rFonts w:hint="eastAsia" w:cs="宋体"/>
          <w:sz w:val="24"/>
          <w:szCs w:val="24"/>
        </w:rPr>
        <w:t>单位名称：</w:t>
      </w:r>
    </w:p>
    <w:p>
      <w:pPr>
        <w:spacing w:line="480" w:lineRule="auto"/>
        <w:rPr>
          <w:sz w:val="24"/>
          <w:szCs w:val="24"/>
        </w:rPr>
      </w:pPr>
      <w:r>
        <w:rPr>
          <w:rFonts w:hint="eastAsia" w:cs="宋体"/>
          <w:sz w:val="24"/>
          <w:szCs w:val="24"/>
        </w:rPr>
        <w:t>地址：</w:t>
      </w:r>
    </w:p>
    <w:p>
      <w:pPr>
        <w:spacing w:line="480" w:lineRule="auto"/>
        <w:rPr>
          <w:sz w:val="24"/>
          <w:szCs w:val="24"/>
          <w:u w:val="single"/>
        </w:rPr>
      </w:pPr>
      <w:r>
        <w:rPr>
          <w:rFonts w:hint="eastAsia" w:cs="宋体"/>
          <w:sz w:val="24"/>
          <w:szCs w:val="24"/>
        </w:rPr>
        <w:t>投标人（单位公章）：</w:t>
      </w:r>
    </w:p>
    <w:p>
      <w:pPr>
        <w:spacing w:line="480" w:lineRule="auto"/>
        <w:outlineLvl w:val="0"/>
        <w:rPr>
          <w:sz w:val="24"/>
          <w:szCs w:val="24"/>
        </w:rPr>
      </w:pPr>
      <w:r>
        <w:rPr>
          <w:rFonts w:hint="eastAsia" w:cs="宋体"/>
          <w:sz w:val="24"/>
          <w:szCs w:val="24"/>
        </w:rPr>
        <w:t>日期：</w:t>
      </w:r>
    </w:p>
    <w:p>
      <w:pPr>
        <w:pStyle w:val="16"/>
        <w:ind w:firstLine="0"/>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6"/>
        <w:rPr>
          <w:color w:val="auto"/>
        </w:rPr>
      </w:pPr>
    </w:p>
    <w:p>
      <w:pPr>
        <w:pStyle w:val="17"/>
        <w:rPr>
          <w:color w:val="auto"/>
        </w:rPr>
      </w:pPr>
    </w:p>
    <w:p>
      <w:pPr>
        <w:pStyle w:val="17"/>
        <w:rPr>
          <w:color w:val="auto"/>
        </w:rPr>
        <w:sectPr>
          <w:footerReference r:id="rId5" w:type="default"/>
          <w:pgSz w:w="11906" w:h="16838"/>
          <w:pgMar w:top="1418" w:right="1077" w:bottom="1247" w:left="1077" w:header="851" w:footer="992" w:gutter="0"/>
          <w:pgNumType w:start="1"/>
          <w:cols w:space="720" w:num="1"/>
          <w:docGrid w:type="lines" w:linePitch="312" w:charSpace="0"/>
        </w:sectPr>
      </w:pPr>
    </w:p>
    <w:p>
      <w:pPr>
        <w:pageBreakBefore/>
        <w:spacing w:line="360" w:lineRule="auto"/>
        <w:ind w:firstLine="2720" w:firstLineChars="850"/>
        <w:rPr>
          <w:rFonts w:ascii="黑体" w:hAnsi="Arial" w:eastAsia="黑体"/>
          <w:sz w:val="32"/>
          <w:szCs w:val="32"/>
        </w:rPr>
      </w:pPr>
      <w:r>
        <w:rPr>
          <w:rFonts w:hint="eastAsia" w:ascii="黑体" w:hAnsi="Arial" w:eastAsia="黑体"/>
          <w:sz w:val="32"/>
          <w:szCs w:val="32"/>
        </w:rPr>
        <w:t>开标一览表（格式）</w:t>
      </w:r>
    </w:p>
    <w:p>
      <w:pPr>
        <w:spacing w:line="360" w:lineRule="auto"/>
        <w:rPr>
          <w:rFonts w:ascii="黑体" w:hAnsi="Arial" w:eastAsia="黑体"/>
          <w:szCs w:val="28"/>
        </w:rPr>
      </w:pPr>
    </w:p>
    <w:tbl>
      <w:tblPr>
        <w:tblStyle w:val="1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2700" w:type="dxa"/>
            <w:vAlign w:val="center"/>
          </w:tcPr>
          <w:p>
            <w:pPr>
              <w:spacing w:line="360" w:lineRule="auto"/>
              <w:ind w:firstLine="482" w:firstLineChars="200"/>
              <w:rPr>
                <w:rFonts w:ascii="宋体"/>
                <w:b/>
                <w:bCs/>
                <w:color w:val="000000"/>
                <w:sz w:val="24"/>
              </w:rPr>
            </w:pPr>
            <w:r>
              <w:rPr>
                <w:rFonts w:hint="eastAsia" w:ascii="宋体"/>
                <w:b/>
                <w:bCs/>
                <w:color w:val="000000"/>
                <w:sz w:val="24"/>
              </w:rPr>
              <w:t>项 目 编 号</w:t>
            </w:r>
          </w:p>
        </w:tc>
        <w:tc>
          <w:tcPr>
            <w:tcW w:w="6449" w:type="dxa"/>
            <w:vAlign w:val="center"/>
          </w:tcPr>
          <w:p>
            <w:pPr>
              <w:pStyle w:val="2"/>
              <w:spacing w:before="0" w:after="0" w:line="360" w:lineRule="auto"/>
              <w:rPr>
                <w:rFonts w:ascii="Times New Roman" w:hAnsi="宋体" w:eastAsia="宋体" w:cs="宋体"/>
                <w:b w:val="0"/>
                <w:bCs w:val="0"/>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trPr>
        <w:tc>
          <w:tcPr>
            <w:tcW w:w="2700" w:type="dxa"/>
            <w:vAlign w:val="center"/>
          </w:tcPr>
          <w:p>
            <w:pPr>
              <w:spacing w:line="360" w:lineRule="auto"/>
              <w:ind w:firstLine="482" w:firstLineChars="200"/>
              <w:rPr>
                <w:rFonts w:ascii="宋体"/>
                <w:b/>
                <w:bCs/>
                <w:color w:val="000000"/>
                <w:sz w:val="24"/>
              </w:rPr>
            </w:pPr>
            <w:r>
              <w:rPr>
                <w:rFonts w:hint="eastAsia" w:ascii="宋体"/>
                <w:b/>
                <w:bCs/>
                <w:color w:val="000000"/>
                <w:sz w:val="24"/>
              </w:rPr>
              <w:t>项 目 名 称</w:t>
            </w:r>
          </w:p>
        </w:tc>
        <w:tc>
          <w:tcPr>
            <w:tcW w:w="6449" w:type="dxa"/>
            <w:vAlign w:val="center"/>
          </w:tcPr>
          <w:p>
            <w:pPr>
              <w:spacing w:line="360" w:lineRule="auto"/>
              <w:rPr>
                <w:rFonts w:hAnsi="宋体" w:cs="宋体"/>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149" w:type="dxa"/>
            <w:gridSpan w:val="2"/>
            <w:vAlign w:val="center"/>
          </w:tcPr>
          <w:p>
            <w:pPr>
              <w:spacing w:line="360" w:lineRule="auto"/>
              <w:rPr>
                <w:rFonts w:ascii="宋体"/>
                <w:color w:val="000000"/>
                <w:sz w:val="24"/>
              </w:rPr>
            </w:pPr>
            <w:r>
              <w:rPr>
                <w:rFonts w:hint="eastAsia" w:ascii="宋体"/>
                <w:b/>
                <w:bCs/>
                <w:color w:val="000000"/>
                <w:sz w:val="24"/>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149" w:type="dxa"/>
            <w:gridSpan w:val="2"/>
            <w:vAlign w:val="center"/>
          </w:tcPr>
          <w:p>
            <w:pPr>
              <w:spacing w:line="360" w:lineRule="auto"/>
              <w:rPr>
                <w:rFonts w:ascii="宋体"/>
                <w:b/>
                <w:bCs/>
                <w:color w:val="000000"/>
                <w:sz w:val="24"/>
              </w:rPr>
            </w:pPr>
            <w:r>
              <w:rPr>
                <w:rFonts w:hint="eastAsia" w:ascii="宋体"/>
                <w:b/>
                <w:bCs/>
                <w:color w:val="000000"/>
                <w:sz w:val="24"/>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9149" w:type="dxa"/>
            <w:gridSpan w:val="2"/>
            <w:vAlign w:val="center"/>
          </w:tcPr>
          <w:p>
            <w:pPr>
              <w:spacing w:line="360" w:lineRule="auto"/>
              <w:rPr>
                <w:rFonts w:ascii="宋体"/>
                <w:b/>
                <w:bCs/>
                <w:color w:val="000000"/>
                <w:sz w:val="24"/>
              </w:rPr>
            </w:pPr>
            <w:r>
              <w:rPr>
                <w:rFonts w:hint="eastAsia" w:ascii="宋体"/>
                <w:b/>
                <w:bCs/>
                <w:color w:val="000000"/>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149" w:type="dxa"/>
            <w:gridSpan w:val="2"/>
            <w:vAlign w:val="center"/>
          </w:tcPr>
          <w:p>
            <w:pPr>
              <w:spacing w:line="360" w:lineRule="auto"/>
              <w:rPr>
                <w:rFonts w:ascii="宋体"/>
                <w:color w:val="000000"/>
                <w:sz w:val="24"/>
              </w:rPr>
            </w:pPr>
            <w:r>
              <w:rPr>
                <w:rFonts w:hint="eastAsia" w:ascii="宋体"/>
                <w:b/>
                <w:bCs/>
                <w:color w:val="000000"/>
                <w:sz w:val="24"/>
              </w:rPr>
              <w:t>保证金形式：</w:t>
            </w:r>
          </w:p>
        </w:tc>
      </w:tr>
    </w:tbl>
    <w:p>
      <w:pPr>
        <w:spacing w:line="360" w:lineRule="auto"/>
        <w:rPr>
          <w:rFonts w:ascii="宋体"/>
          <w:sz w:val="24"/>
        </w:rPr>
      </w:pPr>
    </w:p>
    <w:p>
      <w:pPr>
        <w:spacing w:line="360" w:lineRule="auto"/>
        <w:rPr>
          <w:rFonts w:ascii="宋体"/>
          <w:b/>
          <w:sz w:val="24"/>
        </w:rPr>
      </w:pPr>
    </w:p>
    <w:p>
      <w:pPr>
        <w:spacing w:line="360" w:lineRule="auto"/>
        <w:ind w:firstLine="2125" w:firstLineChars="882"/>
        <w:jc w:val="center"/>
        <w:rPr>
          <w:rFonts w:ascii="宋体"/>
          <w:b/>
          <w:sz w:val="24"/>
        </w:rPr>
      </w:pPr>
      <w:r>
        <w:rPr>
          <w:rFonts w:hint="eastAsia" w:ascii="宋体"/>
          <w:b/>
          <w:sz w:val="24"/>
        </w:rPr>
        <w:t xml:space="preserve">                          投标人（单位公章）：</w:t>
      </w:r>
    </w:p>
    <w:p>
      <w:pPr>
        <w:spacing w:line="360" w:lineRule="auto"/>
        <w:ind w:firstLine="2125" w:firstLineChars="882"/>
        <w:jc w:val="center"/>
        <w:rPr>
          <w:rFonts w:ascii="宋体"/>
          <w:b/>
          <w:sz w:val="24"/>
        </w:rPr>
      </w:pPr>
      <w:r>
        <w:rPr>
          <w:rFonts w:hint="eastAsia" w:ascii="宋体"/>
          <w:b/>
          <w:sz w:val="24"/>
        </w:rPr>
        <w:t xml:space="preserve">                   法定代表人或授权代表（签字或盖章）：</w:t>
      </w:r>
    </w:p>
    <w:p>
      <w:pPr>
        <w:jc w:val="center"/>
        <w:rPr>
          <w:rFonts w:cs="宋体"/>
          <w:kern w:val="0"/>
          <w:sz w:val="24"/>
          <w:szCs w:val="24"/>
        </w:rPr>
        <w:sectPr>
          <w:pgSz w:w="11906" w:h="16838"/>
          <w:pgMar w:top="1440" w:right="1797" w:bottom="1440" w:left="1797" w:header="851" w:footer="992" w:gutter="0"/>
          <w:cols w:space="720" w:num="1"/>
          <w:docGrid w:type="lines" w:linePitch="312" w:charSpace="0"/>
        </w:sectPr>
      </w:pPr>
      <w:r>
        <w:rPr>
          <w:rFonts w:hint="eastAsia"/>
          <w:b/>
          <w:sz w:val="24"/>
        </w:rPr>
        <w:t xml:space="preserve">                                   日期：年月日</w:t>
      </w:r>
    </w:p>
    <w:p>
      <w:pPr>
        <w:pStyle w:val="4"/>
        <w:spacing w:line="460" w:lineRule="exact"/>
        <w:jc w:val="center"/>
        <w:rPr>
          <w:rFonts w:ascii="宋体" w:eastAsia="Times New Roman"/>
          <w:bCs w:val="0"/>
        </w:rPr>
      </w:pPr>
      <w:r>
        <w:rPr>
          <w:rFonts w:hint="eastAsia" w:ascii="宋体" w:eastAsia="Times New Roman"/>
          <w:bCs w:val="0"/>
        </w:rPr>
        <w:t>现场踏勘证明书</w:t>
      </w:r>
    </w:p>
    <w:tbl>
      <w:tblPr>
        <w:tblStyle w:val="12"/>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856"/>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292" w:type="dxa"/>
          </w:tcPr>
          <w:p>
            <w:pPr>
              <w:pStyle w:val="30"/>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2856" w:type="dxa"/>
          </w:tcPr>
          <w:p>
            <w:pPr>
              <w:pStyle w:val="30"/>
              <w:spacing w:line="440" w:lineRule="exact"/>
              <w:rPr>
                <w:rFonts w:asciiTheme="minorEastAsia" w:hAnsiTheme="minorEastAsia" w:eastAsiaTheme="minorEastAsia"/>
                <w:sz w:val="28"/>
                <w:szCs w:val="28"/>
              </w:rPr>
            </w:pPr>
          </w:p>
        </w:tc>
        <w:tc>
          <w:tcPr>
            <w:tcW w:w="1470" w:type="dxa"/>
          </w:tcPr>
          <w:p>
            <w:pPr>
              <w:pStyle w:val="30"/>
              <w:spacing w:line="440" w:lineRule="exact"/>
              <w:ind w:right="104"/>
              <w:jc w:val="both"/>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2025" w:type="dxa"/>
          </w:tcPr>
          <w:p>
            <w:pPr>
              <w:pStyle w:val="30"/>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292" w:type="dxa"/>
          </w:tcPr>
          <w:p>
            <w:pPr>
              <w:pStyle w:val="30"/>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采购单位名称</w:t>
            </w:r>
          </w:p>
        </w:tc>
        <w:tc>
          <w:tcPr>
            <w:tcW w:w="2856" w:type="dxa"/>
          </w:tcPr>
          <w:p>
            <w:pPr>
              <w:pStyle w:val="30"/>
              <w:spacing w:line="440" w:lineRule="exact"/>
              <w:rPr>
                <w:rFonts w:asciiTheme="minorEastAsia" w:hAnsiTheme="minorEastAsia" w:eastAsiaTheme="minorEastAsia"/>
                <w:sz w:val="28"/>
                <w:szCs w:val="28"/>
              </w:rPr>
            </w:pPr>
          </w:p>
        </w:tc>
        <w:tc>
          <w:tcPr>
            <w:tcW w:w="1470" w:type="dxa"/>
          </w:tcPr>
          <w:p>
            <w:pPr>
              <w:pStyle w:val="30"/>
              <w:spacing w:line="440" w:lineRule="exact"/>
              <w:ind w:right="104"/>
              <w:rPr>
                <w:rFonts w:asciiTheme="minorEastAsia" w:hAnsiTheme="minorEastAsia" w:eastAsiaTheme="minorEastAsia"/>
                <w:sz w:val="28"/>
                <w:szCs w:val="28"/>
              </w:rPr>
            </w:pPr>
            <w:r>
              <w:rPr>
                <w:rFonts w:asciiTheme="minorEastAsia" w:hAnsiTheme="minorEastAsia" w:eastAsiaTheme="minorEastAsia"/>
                <w:sz w:val="28"/>
                <w:szCs w:val="28"/>
              </w:rPr>
              <w:t>工程地点</w:t>
            </w:r>
          </w:p>
        </w:tc>
        <w:tc>
          <w:tcPr>
            <w:tcW w:w="2025" w:type="dxa"/>
          </w:tcPr>
          <w:p>
            <w:pPr>
              <w:pStyle w:val="30"/>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292" w:type="dxa"/>
          </w:tcPr>
          <w:p>
            <w:pPr>
              <w:pStyle w:val="30"/>
              <w:spacing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现场踏勘时间</w:t>
            </w:r>
          </w:p>
        </w:tc>
        <w:tc>
          <w:tcPr>
            <w:tcW w:w="6351" w:type="dxa"/>
            <w:gridSpan w:val="3"/>
          </w:tcPr>
          <w:p>
            <w:pPr>
              <w:pStyle w:val="30"/>
              <w:tabs>
                <w:tab w:val="left" w:pos="2845"/>
                <w:tab w:val="left" w:pos="3580"/>
                <w:tab w:val="left" w:pos="4300"/>
                <w:tab w:val="left" w:pos="4900"/>
              </w:tabs>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92" w:type="dxa"/>
          </w:tcPr>
          <w:p>
            <w:pPr>
              <w:pStyle w:val="30"/>
              <w:spacing w:before="174" w:line="440" w:lineRule="exact"/>
              <w:ind w:right="520"/>
              <w:rPr>
                <w:rFonts w:asciiTheme="minorEastAsia" w:hAnsiTheme="minorEastAsia" w:eastAsiaTheme="minorEastAsia"/>
                <w:sz w:val="28"/>
                <w:szCs w:val="28"/>
              </w:rPr>
            </w:pPr>
            <w:r>
              <w:rPr>
                <w:rFonts w:asciiTheme="minorEastAsia" w:hAnsiTheme="minorEastAsia" w:eastAsiaTheme="minorEastAsia"/>
                <w:sz w:val="28"/>
                <w:szCs w:val="28"/>
              </w:rPr>
              <w:t>投标人名称</w:t>
            </w:r>
          </w:p>
        </w:tc>
        <w:tc>
          <w:tcPr>
            <w:tcW w:w="2856" w:type="dxa"/>
          </w:tcPr>
          <w:p>
            <w:pPr>
              <w:pStyle w:val="30"/>
              <w:spacing w:line="440" w:lineRule="exact"/>
              <w:rPr>
                <w:rFonts w:asciiTheme="minorEastAsia" w:hAnsiTheme="minorEastAsia" w:eastAsiaTheme="minorEastAsia"/>
                <w:sz w:val="28"/>
                <w:szCs w:val="28"/>
              </w:rPr>
            </w:pPr>
          </w:p>
        </w:tc>
        <w:tc>
          <w:tcPr>
            <w:tcW w:w="1470" w:type="dxa"/>
          </w:tcPr>
          <w:p>
            <w:pPr>
              <w:pStyle w:val="30"/>
              <w:spacing w:before="174" w:line="440" w:lineRule="exact"/>
              <w:ind w:right="104"/>
              <w:rPr>
                <w:rFonts w:asciiTheme="minorEastAsia" w:hAnsiTheme="minorEastAsia" w:eastAsiaTheme="minorEastAsia"/>
                <w:sz w:val="28"/>
                <w:szCs w:val="28"/>
              </w:rPr>
            </w:pPr>
            <w:r>
              <w:rPr>
                <w:rFonts w:asciiTheme="minorEastAsia" w:hAnsiTheme="minorEastAsia" w:eastAsiaTheme="minorEastAsia"/>
                <w:sz w:val="28"/>
                <w:szCs w:val="28"/>
              </w:rPr>
              <w:t>授权代表姓名</w:t>
            </w:r>
          </w:p>
        </w:tc>
        <w:tc>
          <w:tcPr>
            <w:tcW w:w="2025" w:type="dxa"/>
          </w:tcPr>
          <w:p>
            <w:pPr>
              <w:pStyle w:val="30"/>
              <w:spacing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30"/>
              <w:spacing w:before="88" w:line="440" w:lineRule="exact"/>
              <w:ind w:left="108"/>
              <w:rPr>
                <w:rFonts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踏勘</w:t>
            </w:r>
            <w:r>
              <w:rPr>
                <w:rFonts w:hint="eastAsia" w:asciiTheme="minorEastAsia" w:hAnsiTheme="minorEastAsia" w:eastAsiaTheme="minorEastAsia"/>
                <w:b/>
                <w:bCs/>
                <w:sz w:val="28"/>
                <w:szCs w:val="28"/>
                <w:lang w:eastAsia="zh-CN"/>
              </w:rPr>
              <w:t>情况说明</w:t>
            </w:r>
            <w:r>
              <w:rPr>
                <w:rFonts w:asciiTheme="minorEastAsia" w:hAnsiTheme="minorEastAsia" w:eastAsiaTheme="minorEastAsia"/>
                <w:sz w:val="28"/>
                <w:szCs w:val="28"/>
                <w:lang w:eastAsia="zh-CN"/>
              </w:rPr>
              <w:t>：</w:t>
            </w:r>
          </w:p>
          <w:p>
            <w:pPr>
              <w:pStyle w:val="30"/>
              <w:spacing w:line="440" w:lineRule="exact"/>
              <w:rPr>
                <w:rFonts w:asciiTheme="minorEastAsia" w:hAnsiTheme="minorEastAsia" w:eastAsiaTheme="minorEastAsia"/>
                <w:b/>
                <w:sz w:val="28"/>
                <w:szCs w:val="28"/>
                <w:lang w:eastAsia="zh-CN"/>
              </w:rPr>
            </w:pPr>
          </w:p>
          <w:p>
            <w:pPr>
              <w:pStyle w:val="30"/>
              <w:spacing w:line="440" w:lineRule="exact"/>
              <w:rPr>
                <w:rFonts w:asciiTheme="minorEastAsia" w:hAnsiTheme="minorEastAsia" w:eastAsiaTheme="minorEastAsia"/>
                <w:b/>
                <w:sz w:val="28"/>
                <w:szCs w:val="28"/>
                <w:lang w:eastAsia="zh-CN"/>
              </w:rPr>
            </w:pPr>
          </w:p>
          <w:p>
            <w:pPr>
              <w:pStyle w:val="30"/>
              <w:spacing w:before="8" w:line="440" w:lineRule="exact"/>
              <w:rPr>
                <w:rFonts w:asciiTheme="minorEastAsia" w:hAnsiTheme="minorEastAsia" w:eastAsiaTheme="minorEastAsia"/>
                <w:b/>
                <w:sz w:val="28"/>
                <w:szCs w:val="28"/>
                <w:lang w:eastAsia="zh-CN"/>
              </w:rPr>
            </w:pPr>
          </w:p>
          <w:p>
            <w:pPr>
              <w:pStyle w:val="30"/>
              <w:spacing w:line="440" w:lineRule="exact"/>
              <w:ind w:left="108"/>
              <w:rPr>
                <w:rFonts w:asciiTheme="minorEastAsia" w:hAnsiTheme="minorEastAsia" w:eastAsiaTheme="minorEastAsia"/>
                <w:sz w:val="28"/>
                <w:szCs w:val="28"/>
                <w:lang w:eastAsia="zh-CN"/>
              </w:rPr>
            </w:pPr>
          </w:p>
          <w:p>
            <w:pPr>
              <w:pStyle w:val="30"/>
              <w:spacing w:line="440" w:lineRule="exact"/>
              <w:ind w:left="108"/>
              <w:rPr>
                <w:rFonts w:asciiTheme="minorEastAsia" w:hAnsiTheme="minorEastAsia" w:eastAsiaTheme="minorEastAsia"/>
                <w:sz w:val="28"/>
                <w:szCs w:val="28"/>
                <w:lang w:eastAsia="zh-CN"/>
              </w:rPr>
            </w:pPr>
          </w:p>
          <w:p>
            <w:pPr>
              <w:pStyle w:val="30"/>
              <w:spacing w:line="440" w:lineRule="exact"/>
              <w:ind w:left="108"/>
              <w:rPr>
                <w:rFonts w:asciiTheme="minorEastAsia" w:hAnsiTheme="minorEastAsia" w:eastAsiaTheme="minorEastAsia"/>
                <w:sz w:val="28"/>
                <w:szCs w:val="28"/>
                <w:lang w:eastAsia="zh-CN"/>
              </w:rPr>
            </w:pPr>
          </w:p>
          <w:p>
            <w:pPr>
              <w:pStyle w:val="30"/>
              <w:spacing w:line="440" w:lineRule="exact"/>
              <w:ind w:left="108"/>
              <w:rPr>
                <w:rFonts w:asciiTheme="minorEastAsia" w:hAnsiTheme="minorEastAsia" w:eastAsiaTheme="minorEastAsia"/>
                <w:sz w:val="28"/>
                <w:szCs w:val="28"/>
                <w:lang w:eastAsia="zh-CN"/>
              </w:rPr>
            </w:pPr>
          </w:p>
          <w:p>
            <w:pPr>
              <w:pStyle w:val="30"/>
              <w:spacing w:line="440" w:lineRule="exact"/>
              <w:ind w:left="108"/>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采购单位现场踏勘验证人签字并加盖单位公章：</w:t>
            </w:r>
          </w:p>
        </w:tc>
      </w:tr>
    </w:tbl>
    <w:p>
      <w:pPr>
        <w:pStyle w:val="6"/>
        <w:spacing w:line="440" w:lineRule="exact"/>
        <w:ind w:left="113" w:leftChars="54" w:right="496" w:firstLine="703" w:firstLineChars="250"/>
        <w:rPr>
          <w:rFonts w:cs="宋体"/>
          <w:b w:val="0"/>
          <w:bCs w:val="0"/>
          <w:sz w:val="30"/>
          <w:szCs w:val="30"/>
        </w:rPr>
      </w:pPr>
      <w:r>
        <w:rPr>
          <w:rFonts w:hint="eastAsia" w:cs="宋体" w:asciiTheme="minorEastAsia" w:hAnsiTheme="minorEastAsia" w:eastAsiaTheme="minorEastAsia"/>
        </w:rPr>
        <w:t>注：参与现场踏勘的投标人，需携带此表，由采购人签字确认。并且将此《现场踏勘证明书》原件附到报价文件正本中，否则视为无效投标。</w:t>
      </w:r>
    </w:p>
    <w:p>
      <w:pPr>
        <w:pStyle w:val="27"/>
        <w:jc w:val="center"/>
        <w:rPr>
          <w:rFonts w:ascii="仿宋_GB2312" w:hAnsi="宋体" w:cs="Arial"/>
          <w:b/>
          <w:sz w:val="36"/>
          <w:szCs w:val="36"/>
        </w:rPr>
      </w:pPr>
    </w:p>
    <w:p>
      <w:pPr>
        <w:pStyle w:val="27"/>
        <w:jc w:val="center"/>
        <w:rPr>
          <w:rFonts w:ascii="仿宋_GB2312" w:hAnsi="宋体" w:cs="Arial"/>
          <w:b/>
          <w:sz w:val="36"/>
          <w:szCs w:val="36"/>
        </w:rPr>
      </w:pPr>
    </w:p>
    <w:p>
      <w:pPr>
        <w:pStyle w:val="27"/>
        <w:jc w:val="center"/>
        <w:rPr>
          <w:rFonts w:ascii="仿宋_GB2312" w:hAnsi="宋体" w:cs="Arial"/>
          <w:b/>
          <w:sz w:val="36"/>
          <w:szCs w:val="36"/>
        </w:rPr>
      </w:pPr>
    </w:p>
    <w:p>
      <w:pPr>
        <w:pStyle w:val="27"/>
        <w:jc w:val="center"/>
        <w:rPr>
          <w:rFonts w:ascii="仿宋_GB2312" w:hAnsi="宋体" w:cs="Arial"/>
          <w:b/>
          <w:sz w:val="36"/>
          <w:szCs w:val="36"/>
        </w:rPr>
      </w:pPr>
    </w:p>
    <w:p>
      <w:pPr>
        <w:pStyle w:val="27"/>
        <w:jc w:val="center"/>
        <w:rPr>
          <w:rFonts w:ascii="仿宋_GB2312" w:hAnsi="宋体" w:cs="Arial"/>
          <w:b/>
          <w:sz w:val="36"/>
          <w:szCs w:val="36"/>
        </w:rPr>
      </w:pPr>
    </w:p>
    <w:p>
      <w:pPr>
        <w:pStyle w:val="27"/>
        <w:jc w:val="center"/>
        <w:rPr>
          <w:rFonts w:ascii="仿宋_GB2312" w:hAnsi="宋体" w:cs="Arial"/>
          <w:b/>
          <w:sz w:val="36"/>
          <w:szCs w:val="36"/>
        </w:rPr>
      </w:pPr>
    </w:p>
    <w:p>
      <w:pPr>
        <w:pStyle w:val="27"/>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7"/>
        <w:jc w:val="center"/>
        <w:rPr>
          <w:rFonts w:ascii="仿宋_GB2312" w:hAnsi="宋体" w:cs="Arial"/>
          <w:b/>
          <w:sz w:val="36"/>
          <w:szCs w:val="36"/>
        </w:rPr>
      </w:pPr>
      <w:r>
        <w:rPr>
          <w:rFonts w:hint="eastAsia" w:ascii="仿宋_GB2312" w:hAnsi="宋体" w:cs="Arial"/>
          <w:b/>
          <w:sz w:val="36"/>
          <w:szCs w:val="36"/>
        </w:rPr>
        <w:t>和询价人认为需要提供的其他材料</w:t>
      </w:r>
    </w:p>
    <w:p>
      <w:pPr>
        <w:widowControl/>
        <w:spacing w:line="500" w:lineRule="exact"/>
        <w:jc w:val="cente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隶书">
    <w:altName w:val="微软雅黑"/>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DengXian">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945"/>
        <w:tab w:val="center" w:pos="4819"/>
      </w:tabs>
      <w:rPr>
        <w:sz w:val="24"/>
        <w:szCs w:val="24"/>
      </w:rPr>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20hw026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D61C"/>
    <w:multiLevelType w:val="singleLevel"/>
    <w:tmpl w:val="19F3D61C"/>
    <w:lvl w:ilvl="0" w:tentative="0">
      <w:start w:val="4"/>
      <w:numFmt w:val="chineseCounting"/>
      <w:suff w:val="space"/>
      <w:lvlText w:val="第%1部分"/>
      <w:lvlJc w:val="left"/>
      <w:rPr>
        <w:rFonts w:hint="eastAsia"/>
      </w:rPr>
    </w:lvl>
  </w:abstractNum>
  <w:abstractNum w:abstractNumId="1">
    <w:nsid w:val="4066E282"/>
    <w:multiLevelType w:val="singleLevel"/>
    <w:tmpl w:val="4066E28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0728"/>
    <w:rsid w:val="00004D55"/>
    <w:rsid w:val="00033553"/>
    <w:rsid w:val="00044966"/>
    <w:rsid w:val="00123662"/>
    <w:rsid w:val="00132C39"/>
    <w:rsid w:val="003108A5"/>
    <w:rsid w:val="003C0977"/>
    <w:rsid w:val="00441B3D"/>
    <w:rsid w:val="00515609"/>
    <w:rsid w:val="00515F7A"/>
    <w:rsid w:val="0059475E"/>
    <w:rsid w:val="005E5A24"/>
    <w:rsid w:val="006A28FC"/>
    <w:rsid w:val="006C1E55"/>
    <w:rsid w:val="006F7CC5"/>
    <w:rsid w:val="007078E3"/>
    <w:rsid w:val="00722A94"/>
    <w:rsid w:val="00750B1B"/>
    <w:rsid w:val="0078567A"/>
    <w:rsid w:val="007918EB"/>
    <w:rsid w:val="007F0EAC"/>
    <w:rsid w:val="007F6DFC"/>
    <w:rsid w:val="00810728"/>
    <w:rsid w:val="00820499"/>
    <w:rsid w:val="00867658"/>
    <w:rsid w:val="00975B25"/>
    <w:rsid w:val="009D18AE"/>
    <w:rsid w:val="00A164BF"/>
    <w:rsid w:val="00AF46D8"/>
    <w:rsid w:val="00B12086"/>
    <w:rsid w:val="00BF1ACB"/>
    <w:rsid w:val="00CA3D2F"/>
    <w:rsid w:val="00CE0F0A"/>
    <w:rsid w:val="00CF151E"/>
    <w:rsid w:val="00D33DC6"/>
    <w:rsid w:val="00D3566C"/>
    <w:rsid w:val="00E67940"/>
    <w:rsid w:val="00EA12C4"/>
    <w:rsid w:val="00EB079A"/>
    <w:rsid w:val="00F662E8"/>
    <w:rsid w:val="00F9264A"/>
    <w:rsid w:val="00F96FAB"/>
    <w:rsid w:val="00FE204A"/>
    <w:rsid w:val="13D9136F"/>
    <w:rsid w:val="196168D4"/>
    <w:rsid w:val="21916583"/>
    <w:rsid w:val="24496F1C"/>
    <w:rsid w:val="251C120B"/>
    <w:rsid w:val="43E16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3"/>
    <w:link w:val="1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9"/>
    <w:semiHidden/>
    <w:unhideWhenUsed/>
    <w:qFormat/>
    <w:uiPriority w:val="9"/>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7">
    <w:name w:val="annotation text"/>
    <w:basedOn w:val="1"/>
    <w:link w:val="28"/>
    <w:qFormat/>
    <w:uiPriority w:val="0"/>
    <w:pPr>
      <w:jc w:val="left"/>
    </w:pPr>
    <w:rPr>
      <w:szCs w:val="24"/>
    </w:rPr>
  </w:style>
  <w:style w:type="paragraph" w:styleId="8">
    <w:name w:val="Plain Text"/>
    <w:basedOn w:val="1"/>
    <w:link w:val="24"/>
    <w:qFormat/>
    <w:uiPriority w:val="0"/>
    <w:rPr>
      <w:rFonts w:ascii="宋体" w:hAnsi="Courier New"/>
      <w:kern w:val="0"/>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Hyperlink"/>
    <w:uiPriority w:val="0"/>
    <w:rPr>
      <w:color w:val="0000FF"/>
      <w:u w:val="single"/>
    </w:rPr>
  </w:style>
  <w:style w:type="character" w:customStyle="1" w:styleId="15">
    <w:name w:val="标题 3 Char"/>
    <w:basedOn w:val="13"/>
    <w:link w:val="4"/>
    <w:qFormat/>
    <w:uiPriority w:val="0"/>
    <w:rPr>
      <w:rFonts w:ascii="Times New Roman" w:hAnsi="Times New Roman" w:eastAsia="宋体" w:cs="Times New Roman"/>
      <w:b/>
      <w:bCs/>
      <w:sz w:val="32"/>
      <w:szCs w:val="32"/>
    </w:rPr>
  </w:style>
  <w:style w:type="paragraph" w:customStyle="1" w:styleId="16">
    <w:name w:val="段"/>
    <w:next w:val="17"/>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7">
    <w:name w:val="正文 A"/>
    <w:next w:val="16"/>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8">
    <w:name w:val="纯文本 Char"/>
    <w:basedOn w:val="13"/>
    <w:qFormat/>
    <w:uiPriority w:val="0"/>
    <w:rPr>
      <w:rFonts w:ascii="宋体" w:hAnsi="Courier New" w:eastAsia="宋体" w:cs="Courier New"/>
      <w:szCs w:val="21"/>
    </w:rPr>
  </w:style>
  <w:style w:type="character" w:customStyle="1" w:styleId="19">
    <w:name w:val="页脚 Char"/>
    <w:basedOn w:val="13"/>
    <w:link w:val="9"/>
    <w:qFormat/>
    <w:uiPriority w:val="99"/>
    <w:rPr>
      <w:rFonts w:ascii="Times New Roman" w:hAnsi="Times New Roman" w:eastAsia="宋体" w:cs="Times New Roman"/>
      <w:sz w:val="18"/>
      <w:szCs w:val="18"/>
    </w:rPr>
  </w:style>
  <w:style w:type="character" w:customStyle="1" w:styleId="20">
    <w:name w:val="页眉 Char"/>
    <w:basedOn w:val="13"/>
    <w:link w:val="10"/>
    <w:qFormat/>
    <w:uiPriority w:val="0"/>
    <w:rPr>
      <w:rFonts w:ascii="Times New Roman" w:hAnsi="Times New Roman" w:eastAsia="宋体" w:cs="Times New Roman"/>
      <w:kern w:val="0"/>
      <w:sz w:val="18"/>
      <w:szCs w:val="18"/>
    </w:rPr>
  </w:style>
  <w:style w:type="character" w:customStyle="1" w:styleId="21">
    <w:name w:val="NormalCharacter"/>
    <w:semiHidden/>
    <w:qFormat/>
    <w:uiPriority w:val="0"/>
  </w:style>
  <w:style w:type="paragraph" w:customStyle="1" w:styleId="22">
    <w:name w:val="正文1"/>
    <w:qFormat/>
    <w:uiPriority w:val="0"/>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23">
    <w:name w:val="No Spacing"/>
    <w:link w:val="25"/>
    <w:qFormat/>
    <w:uiPriority w:val="5"/>
    <w:pPr>
      <w:widowControl w:val="0"/>
      <w:jc w:val="both"/>
    </w:pPr>
    <w:rPr>
      <w:rFonts w:ascii="Calibri" w:hAnsi="Calibri" w:eastAsia="宋体" w:cs="Times New Roman"/>
      <w:kern w:val="2"/>
      <w:sz w:val="21"/>
      <w:szCs w:val="22"/>
      <w:lang w:val="en-US" w:eastAsia="zh-CN" w:bidi="ar-SA"/>
    </w:rPr>
  </w:style>
  <w:style w:type="character" w:customStyle="1" w:styleId="24">
    <w:name w:val="纯文本 Char1"/>
    <w:link w:val="8"/>
    <w:qFormat/>
    <w:uiPriority w:val="99"/>
    <w:rPr>
      <w:rFonts w:ascii="宋体" w:hAnsi="Courier New" w:eastAsia="宋体" w:cs="Times New Roman"/>
      <w:kern w:val="0"/>
      <w:szCs w:val="21"/>
    </w:rPr>
  </w:style>
  <w:style w:type="character" w:customStyle="1" w:styleId="25">
    <w:name w:val="无间隔 Char"/>
    <w:link w:val="23"/>
    <w:qFormat/>
    <w:uiPriority w:val="5"/>
    <w:rPr>
      <w:rFonts w:ascii="Calibri" w:hAnsi="Calibri" w:eastAsia="宋体" w:cs="Times New Roman"/>
    </w:rPr>
  </w:style>
  <w:style w:type="paragraph" w:styleId="2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7">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8">
    <w:name w:val="批注文字 Char"/>
    <w:basedOn w:val="13"/>
    <w:link w:val="7"/>
    <w:qFormat/>
    <w:uiPriority w:val="0"/>
    <w:rPr>
      <w:rFonts w:ascii="Times New Roman" w:hAnsi="Times New Roman" w:eastAsia="宋体" w:cs="Times New Roman"/>
      <w:kern w:val="2"/>
      <w:sz w:val="21"/>
      <w:szCs w:val="24"/>
    </w:rPr>
  </w:style>
  <w:style w:type="character" w:customStyle="1" w:styleId="29">
    <w:name w:val="标题 5 Char"/>
    <w:basedOn w:val="13"/>
    <w:link w:val="6"/>
    <w:semiHidden/>
    <w:qFormat/>
    <w:uiPriority w:val="9"/>
    <w:rPr>
      <w:rFonts w:ascii="Times New Roman" w:hAnsi="Times New Roman" w:eastAsia="宋体" w:cs="Times New Roman"/>
      <w:b/>
      <w:bCs/>
      <w:kern w:val="2"/>
      <w:sz w:val="28"/>
      <w:szCs w:val="28"/>
    </w:rPr>
  </w:style>
  <w:style w:type="paragraph" w:customStyle="1" w:styleId="30">
    <w:name w:val="Table Paragraph"/>
    <w:basedOn w:val="1"/>
    <w:qFormat/>
    <w:uiPriority w:val="0"/>
    <w:pPr>
      <w:jc w:val="left"/>
    </w:pPr>
    <w:rPr>
      <w:rFonts w:ascii="Calibri" w:hAnsi="Calibri" w:cs="Calibri"/>
      <w:kern w:val="0"/>
      <w:sz w:val="22"/>
      <w:szCs w:val="22"/>
      <w:lang w:eastAsia="en-US"/>
    </w:rPr>
  </w:style>
  <w:style w:type="character" w:customStyle="1" w:styleId="31">
    <w:name w:val="标题 2 Char"/>
    <w:basedOn w:val="13"/>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31</Pages>
  <Words>2383</Words>
  <Characters>13585</Characters>
  <Lines>113</Lines>
  <Paragraphs>31</Paragraphs>
  <TotalTime>8</TotalTime>
  <ScaleCrop>false</ScaleCrop>
  <LinksUpToDate>false</LinksUpToDate>
  <CharactersWithSpaces>15937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2020-10-21T13:11:00Z</dcterms:created>
  <dc:creator>盐城幼儿师范高等专科学校(填报)</dc:creator>
  <cp:lastModifiedBy>盐城幼儿师范高等专科学校(填报)</cp:lastModifiedBy>
  <dcterms:modified xsi:type="dcterms:W3CDTF">2020-12-07T06:45:59Z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